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AE2F" w14:textId="77777777" w:rsidR="001B03FE" w:rsidRDefault="001B03FE" w:rsidP="00172651">
      <w:pPr>
        <w:spacing w:line="362" w:lineRule="auto"/>
        <w:ind w:right="1133"/>
        <w:jc w:val="center"/>
        <w:rPr>
          <w:b/>
        </w:rPr>
      </w:pPr>
      <w:r>
        <w:rPr>
          <w:b/>
        </w:rPr>
        <w:t xml:space="preserve">                  BỘ GIÁO DỤC VÀ ĐÀO TẠO</w:t>
      </w:r>
    </w:p>
    <w:p w14:paraId="5DCF47B8" w14:textId="77777777" w:rsidR="001B03FE" w:rsidRDefault="001B03FE" w:rsidP="00172651">
      <w:pPr>
        <w:spacing w:line="362" w:lineRule="auto"/>
        <w:ind w:right="1133"/>
        <w:jc w:val="center"/>
        <w:rPr>
          <w:b/>
        </w:rPr>
      </w:pPr>
      <w:r>
        <w:rPr>
          <w:b/>
        </w:rPr>
        <w:t xml:space="preserve">               TRƯỜNG</w:t>
      </w:r>
      <w:r>
        <w:rPr>
          <w:b/>
          <w:spacing w:val="-11"/>
        </w:rPr>
        <w:t xml:space="preserve"> </w:t>
      </w:r>
      <w:r>
        <w:rPr>
          <w:b/>
        </w:rPr>
        <w:t>ĐẠI</w:t>
      </w:r>
      <w:r>
        <w:rPr>
          <w:b/>
          <w:spacing w:val="-7"/>
        </w:rPr>
        <w:t xml:space="preserve"> </w:t>
      </w:r>
      <w:r>
        <w:rPr>
          <w:b/>
        </w:rPr>
        <w:t>HỌC</w:t>
      </w:r>
      <w:r>
        <w:rPr>
          <w:b/>
          <w:spacing w:val="-8"/>
        </w:rPr>
        <w:t xml:space="preserve"> </w:t>
      </w:r>
      <w:r>
        <w:rPr>
          <w:b/>
        </w:rPr>
        <w:t>MỎ</w:t>
      </w:r>
      <w:r>
        <w:rPr>
          <w:b/>
          <w:spacing w:val="-8"/>
        </w:rPr>
        <w:t xml:space="preserve"> </w:t>
      </w:r>
      <w:r>
        <w:rPr>
          <w:b/>
        </w:rPr>
        <w:t>ĐỊA</w:t>
      </w:r>
      <w:r>
        <w:rPr>
          <w:b/>
          <w:spacing w:val="-7"/>
        </w:rPr>
        <w:t xml:space="preserve"> </w:t>
      </w:r>
      <w:r>
        <w:rPr>
          <w:b/>
        </w:rPr>
        <w:t>CHẤT</w:t>
      </w:r>
    </w:p>
    <w:p w14:paraId="73FF476A" w14:textId="77777777" w:rsidR="001B03FE" w:rsidRDefault="001B03FE" w:rsidP="001B03FE">
      <w:pPr>
        <w:pStyle w:val="BodyText"/>
        <w:jc w:val="center"/>
        <w:rPr>
          <w:b/>
        </w:rPr>
      </w:pPr>
    </w:p>
    <w:p w14:paraId="2363AB17" w14:textId="77777777" w:rsidR="001B03FE" w:rsidRDefault="001B03FE" w:rsidP="001B03FE">
      <w:pPr>
        <w:pStyle w:val="BodyText"/>
        <w:rPr>
          <w:b/>
        </w:rPr>
      </w:pPr>
    </w:p>
    <w:p w14:paraId="41A75551" w14:textId="77777777" w:rsidR="001B03FE" w:rsidRDefault="001B03FE" w:rsidP="001B03FE">
      <w:pPr>
        <w:pStyle w:val="BodyText"/>
        <w:rPr>
          <w:b/>
        </w:rPr>
      </w:pPr>
    </w:p>
    <w:p w14:paraId="4B80D499" w14:textId="77777777" w:rsidR="001B03FE" w:rsidRDefault="001B03FE" w:rsidP="001B03FE">
      <w:pPr>
        <w:pStyle w:val="BodyText"/>
        <w:rPr>
          <w:b/>
        </w:rPr>
      </w:pPr>
    </w:p>
    <w:p w14:paraId="2868D90F" w14:textId="77777777" w:rsidR="001B03FE" w:rsidRDefault="001B03FE" w:rsidP="001B03FE">
      <w:pPr>
        <w:pStyle w:val="BodyText"/>
        <w:spacing w:before="295"/>
        <w:rPr>
          <w:b/>
        </w:rPr>
      </w:pPr>
    </w:p>
    <w:p w14:paraId="595BE85E" w14:textId="77777777" w:rsidR="001B03FE" w:rsidRPr="002A1776" w:rsidRDefault="001B03FE" w:rsidP="001B03FE">
      <w:pPr>
        <w:jc w:val="center"/>
        <w:rPr>
          <w:b/>
          <w:sz w:val="28"/>
          <w:szCs w:val="28"/>
          <w:lang w:val="es-ES"/>
        </w:rPr>
      </w:pPr>
      <w:r w:rsidRPr="002A1776">
        <w:rPr>
          <w:b/>
          <w:sz w:val="28"/>
          <w:szCs w:val="28"/>
          <w:lang w:val="es-ES"/>
        </w:rPr>
        <w:t xml:space="preserve">BÁO CÁO HỌC THUẬT </w:t>
      </w:r>
    </w:p>
    <w:p w14:paraId="35EE48C6" w14:textId="77777777" w:rsidR="001B03FE" w:rsidRDefault="001B03FE" w:rsidP="001B03FE">
      <w:pPr>
        <w:pStyle w:val="BodyText"/>
        <w:rPr>
          <w:b/>
        </w:rPr>
      </w:pPr>
    </w:p>
    <w:p w14:paraId="116A999E" w14:textId="77777777" w:rsidR="001B03FE" w:rsidRDefault="001B03FE" w:rsidP="001B03FE">
      <w:pPr>
        <w:pStyle w:val="BodyText"/>
        <w:rPr>
          <w:b/>
        </w:rPr>
      </w:pPr>
    </w:p>
    <w:p w14:paraId="4193F307" w14:textId="77777777" w:rsidR="001B03FE" w:rsidRDefault="001B03FE" w:rsidP="001B03FE">
      <w:pPr>
        <w:pStyle w:val="BodyText"/>
        <w:rPr>
          <w:b/>
        </w:rPr>
      </w:pPr>
    </w:p>
    <w:p w14:paraId="63DF28F6" w14:textId="77777777" w:rsidR="001B03FE" w:rsidRDefault="001B03FE" w:rsidP="001B03FE">
      <w:pPr>
        <w:pStyle w:val="BodyText"/>
        <w:rPr>
          <w:b/>
        </w:rPr>
      </w:pPr>
    </w:p>
    <w:p w14:paraId="033341E8" w14:textId="77777777" w:rsidR="001B03FE" w:rsidRDefault="001B03FE" w:rsidP="001B03FE">
      <w:pPr>
        <w:pStyle w:val="BodyText"/>
        <w:rPr>
          <w:b/>
        </w:rPr>
      </w:pPr>
    </w:p>
    <w:p w14:paraId="60742145" w14:textId="77777777" w:rsidR="001B03FE" w:rsidRDefault="001B03FE" w:rsidP="001B03FE">
      <w:pPr>
        <w:pStyle w:val="BodyText"/>
        <w:rPr>
          <w:b/>
        </w:rPr>
      </w:pPr>
    </w:p>
    <w:p w14:paraId="7AF93DEF" w14:textId="1F60E413" w:rsidR="001B03FE" w:rsidRPr="009E6960" w:rsidRDefault="001B03FE" w:rsidP="00D94AFD">
      <w:pPr>
        <w:pStyle w:val="BodyText"/>
        <w:jc w:val="center"/>
        <w:rPr>
          <w:b/>
        </w:rPr>
      </w:pPr>
      <w:r w:rsidRPr="009E6960">
        <w:rPr>
          <w:b/>
        </w:rPr>
        <w:t>SỬ DỤNG VẬT LIỆU COMPOSIT BIOCHAR TỪ MACCA VÀ SPION ĐỂ HẤP PHỤ TETRACYLIN</w:t>
      </w:r>
    </w:p>
    <w:p w14:paraId="46C9FD8C" w14:textId="77777777" w:rsidR="001B03FE" w:rsidRDefault="001B03FE" w:rsidP="001B03FE">
      <w:pPr>
        <w:pStyle w:val="BodyText"/>
        <w:rPr>
          <w:b/>
        </w:rPr>
      </w:pPr>
    </w:p>
    <w:p w14:paraId="4E10CA23" w14:textId="77777777" w:rsidR="001B03FE" w:rsidRDefault="001B03FE" w:rsidP="001B03FE">
      <w:pPr>
        <w:pStyle w:val="BodyText"/>
        <w:rPr>
          <w:b/>
        </w:rPr>
      </w:pPr>
    </w:p>
    <w:p w14:paraId="7527783A" w14:textId="77777777" w:rsidR="001B03FE" w:rsidRDefault="001B03FE" w:rsidP="001B03FE">
      <w:pPr>
        <w:pStyle w:val="BodyText"/>
        <w:rPr>
          <w:b/>
        </w:rPr>
      </w:pPr>
    </w:p>
    <w:p w14:paraId="063C4F45" w14:textId="77777777" w:rsidR="001B03FE" w:rsidRDefault="001B03FE" w:rsidP="001B03FE">
      <w:pPr>
        <w:pStyle w:val="BodyText"/>
        <w:rPr>
          <w:b/>
        </w:rPr>
      </w:pPr>
    </w:p>
    <w:p w14:paraId="52B9C9D4" w14:textId="77777777" w:rsidR="001B03FE" w:rsidRDefault="001B03FE" w:rsidP="001B03FE">
      <w:pPr>
        <w:pStyle w:val="BodyText"/>
        <w:rPr>
          <w:b/>
        </w:rPr>
      </w:pPr>
    </w:p>
    <w:p w14:paraId="3C80B9F6" w14:textId="77777777" w:rsidR="001B03FE" w:rsidRDefault="001B03FE" w:rsidP="001B03FE">
      <w:pPr>
        <w:pStyle w:val="BodyText"/>
        <w:rPr>
          <w:b/>
        </w:rPr>
      </w:pPr>
    </w:p>
    <w:p w14:paraId="316AD415" w14:textId="77777777" w:rsidR="001B03FE" w:rsidRDefault="001B03FE" w:rsidP="001B03FE">
      <w:pPr>
        <w:rPr>
          <w:b/>
          <w:bCs/>
          <w:iCs/>
          <w:sz w:val="30"/>
          <w:szCs w:val="30"/>
          <w:lang w:val="es-ES"/>
        </w:rPr>
      </w:pPr>
      <w:r w:rsidRPr="009E6960">
        <w:rPr>
          <w:b/>
          <w:lang w:val="vi"/>
        </w:rPr>
        <w:t xml:space="preserve">                                             </w:t>
      </w:r>
      <w:r>
        <w:rPr>
          <w:b/>
          <w:bCs/>
          <w:iCs/>
          <w:sz w:val="30"/>
          <w:szCs w:val="30"/>
          <w:lang w:val="es-ES"/>
        </w:rPr>
        <w:t xml:space="preserve">Thành viên tham gia </w:t>
      </w:r>
    </w:p>
    <w:p w14:paraId="6A56E891" w14:textId="77777777" w:rsidR="001B03FE" w:rsidRDefault="001B03FE" w:rsidP="001B03FE">
      <w:pPr>
        <w:jc w:val="center"/>
        <w:rPr>
          <w:b/>
          <w:bCs/>
          <w:iCs/>
          <w:sz w:val="30"/>
          <w:szCs w:val="30"/>
          <w:lang w:val="es-ES"/>
        </w:rPr>
      </w:pPr>
      <w:r>
        <w:rPr>
          <w:b/>
          <w:bCs/>
          <w:iCs/>
          <w:sz w:val="30"/>
          <w:szCs w:val="30"/>
          <w:lang w:val="es-ES"/>
        </w:rPr>
        <w:t>ThS. Đỗ Thị Hải</w:t>
      </w:r>
    </w:p>
    <w:p w14:paraId="2324F2B2" w14:textId="77777777" w:rsidR="001B03FE" w:rsidRPr="00337E67" w:rsidRDefault="001B03FE" w:rsidP="001B03FE">
      <w:pPr>
        <w:pStyle w:val="BodyText"/>
        <w:rPr>
          <w:b/>
          <w:lang w:val="en-US"/>
        </w:rPr>
      </w:pPr>
    </w:p>
    <w:p w14:paraId="5B7F5F58" w14:textId="77777777" w:rsidR="001B03FE" w:rsidRDefault="001B03FE" w:rsidP="001B03FE">
      <w:pPr>
        <w:pStyle w:val="BodyText"/>
        <w:rPr>
          <w:b/>
          <w:lang w:val="en-US"/>
        </w:rPr>
      </w:pPr>
    </w:p>
    <w:p w14:paraId="40799427" w14:textId="77777777" w:rsidR="001B03FE" w:rsidRDefault="001B03FE" w:rsidP="001B03FE">
      <w:pPr>
        <w:pStyle w:val="BodyText"/>
        <w:rPr>
          <w:b/>
          <w:lang w:val="en-US"/>
        </w:rPr>
      </w:pPr>
    </w:p>
    <w:p w14:paraId="13356633" w14:textId="77777777" w:rsidR="001B03FE" w:rsidRPr="00796E1D" w:rsidRDefault="001B03FE" w:rsidP="001B03FE">
      <w:pPr>
        <w:pStyle w:val="BodyText"/>
        <w:rPr>
          <w:b/>
          <w:lang w:val="en-US"/>
        </w:rPr>
      </w:pPr>
    </w:p>
    <w:p w14:paraId="029E77B1" w14:textId="77777777" w:rsidR="001B03FE" w:rsidRDefault="001B03FE" w:rsidP="001B03FE">
      <w:pPr>
        <w:pStyle w:val="BodyText"/>
        <w:spacing w:before="74"/>
        <w:rPr>
          <w:b/>
        </w:rPr>
      </w:pPr>
    </w:p>
    <w:p w14:paraId="14626784" w14:textId="77777777" w:rsidR="001B03FE" w:rsidRPr="009E6960" w:rsidRDefault="001B03FE" w:rsidP="001B03FE">
      <w:pPr>
        <w:ind w:left="714" w:right="1417"/>
        <w:jc w:val="center"/>
        <w:rPr>
          <w:b/>
          <w:lang w:val="vi"/>
        </w:rPr>
      </w:pPr>
      <w:r w:rsidRPr="009E6960">
        <w:rPr>
          <w:b/>
          <w:lang w:val="vi"/>
        </w:rPr>
        <w:t>HÀ</w:t>
      </w:r>
      <w:r w:rsidRPr="009E6960">
        <w:rPr>
          <w:b/>
          <w:spacing w:val="-5"/>
          <w:lang w:val="vi"/>
        </w:rPr>
        <w:t xml:space="preserve"> </w:t>
      </w:r>
      <w:r w:rsidRPr="009E6960">
        <w:rPr>
          <w:b/>
          <w:lang w:val="vi"/>
        </w:rPr>
        <w:t>NỘI,</w:t>
      </w:r>
      <w:r w:rsidRPr="009E6960">
        <w:rPr>
          <w:b/>
          <w:spacing w:val="-2"/>
          <w:lang w:val="vi"/>
        </w:rPr>
        <w:t xml:space="preserve"> </w:t>
      </w:r>
      <w:r w:rsidRPr="009E6960">
        <w:rPr>
          <w:b/>
          <w:spacing w:val="-4"/>
          <w:lang w:val="vi"/>
        </w:rPr>
        <w:t>2026</w:t>
      </w:r>
    </w:p>
    <w:p w14:paraId="1E29FEDC" w14:textId="77777777" w:rsidR="001B03FE" w:rsidRPr="009E6960" w:rsidRDefault="001B03FE" w:rsidP="001B03FE">
      <w:pPr>
        <w:rPr>
          <w:rFonts w:cs="Times New Roman"/>
          <w:b/>
          <w:sz w:val="24"/>
          <w:szCs w:val="26"/>
          <w:lang w:val="vi"/>
        </w:rPr>
        <w:sectPr w:rsidR="001B03FE" w:rsidRPr="009E6960" w:rsidSect="005E6DF4">
          <w:pgSz w:w="11906" w:h="16838" w:code="9"/>
          <w:pgMar w:top="1418" w:right="1134" w:bottom="1418" w:left="1701" w:header="720" w:footer="720" w:gutter="0"/>
          <w:pgBorders>
            <w:top w:val="thinThickSmallGap" w:sz="36" w:space="1" w:color="auto"/>
            <w:left w:val="thinThickSmallGap" w:sz="36" w:space="4" w:color="auto"/>
            <w:bottom w:val="thickThinSmallGap" w:sz="36" w:space="1" w:color="auto"/>
            <w:right w:val="thickThinSmallGap" w:sz="36" w:space="4" w:color="auto"/>
          </w:pgBorders>
          <w:cols w:space="720"/>
          <w:docGrid w:linePitch="360"/>
        </w:sectPr>
      </w:pPr>
    </w:p>
    <w:p w14:paraId="4C23087A" w14:textId="492213C4" w:rsidR="001B03FE" w:rsidRPr="009E6960" w:rsidRDefault="001B03FE" w:rsidP="00C41FBB">
      <w:pPr>
        <w:spacing w:line="362" w:lineRule="auto"/>
        <w:ind w:right="2267"/>
        <w:jc w:val="center"/>
        <w:rPr>
          <w:b/>
          <w:lang w:val="vi"/>
        </w:rPr>
      </w:pPr>
      <w:r w:rsidRPr="009E6960">
        <w:rPr>
          <w:b/>
          <w:lang w:val="vi"/>
        </w:rPr>
        <w:lastRenderedPageBreak/>
        <w:t xml:space="preserve">              </w:t>
      </w:r>
      <w:r w:rsidR="00C41FBB" w:rsidRPr="009E6960">
        <w:rPr>
          <w:b/>
          <w:lang w:val="vi"/>
        </w:rPr>
        <w:t xml:space="preserve">                </w:t>
      </w:r>
      <w:r w:rsidRPr="009E6960">
        <w:rPr>
          <w:b/>
          <w:lang w:val="vi"/>
        </w:rPr>
        <w:t>BỘ GIÁO DỤC VÀ ĐÀO TẠO</w:t>
      </w:r>
    </w:p>
    <w:p w14:paraId="7708FFE4" w14:textId="3B5D1D32" w:rsidR="001B03FE" w:rsidRPr="009E6960" w:rsidRDefault="001B03FE" w:rsidP="00C41FBB">
      <w:pPr>
        <w:spacing w:line="362" w:lineRule="auto"/>
        <w:ind w:right="1700"/>
        <w:jc w:val="center"/>
        <w:rPr>
          <w:b/>
          <w:lang w:val="vi"/>
        </w:rPr>
      </w:pPr>
      <w:r w:rsidRPr="009E6960">
        <w:rPr>
          <w:b/>
          <w:lang w:val="vi"/>
        </w:rPr>
        <w:t xml:space="preserve">           </w:t>
      </w:r>
      <w:r w:rsidR="00C41FBB" w:rsidRPr="009E6960">
        <w:rPr>
          <w:b/>
          <w:lang w:val="vi"/>
        </w:rPr>
        <w:t xml:space="preserve">         </w:t>
      </w:r>
      <w:r w:rsidRPr="009E6960">
        <w:rPr>
          <w:b/>
          <w:lang w:val="vi"/>
        </w:rPr>
        <w:t>TRƯỜNG</w:t>
      </w:r>
      <w:r w:rsidRPr="009E6960">
        <w:rPr>
          <w:b/>
          <w:spacing w:val="-11"/>
          <w:lang w:val="vi"/>
        </w:rPr>
        <w:t xml:space="preserve"> </w:t>
      </w:r>
      <w:r w:rsidRPr="009E6960">
        <w:rPr>
          <w:b/>
          <w:lang w:val="vi"/>
        </w:rPr>
        <w:t>ĐẠI</w:t>
      </w:r>
      <w:r w:rsidRPr="009E6960">
        <w:rPr>
          <w:b/>
          <w:spacing w:val="-7"/>
          <w:lang w:val="vi"/>
        </w:rPr>
        <w:t xml:space="preserve"> </w:t>
      </w:r>
      <w:r w:rsidRPr="009E6960">
        <w:rPr>
          <w:b/>
          <w:lang w:val="vi"/>
        </w:rPr>
        <w:t>HỌC</w:t>
      </w:r>
      <w:r w:rsidRPr="009E6960">
        <w:rPr>
          <w:b/>
          <w:spacing w:val="-8"/>
          <w:lang w:val="vi"/>
        </w:rPr>
        <w:t xml:space="preserve"> </w:t>
      </w:r>
      <w:r w:rsidRPr="009E6960">
        <w:rPr>
          <w:b/>
          <w:lang w:val="vi"/>
        </w:rPr>
        <w:t>MỎ</w:t>
      </w:r>
      <w:r w:rsidRPr="009E6960">
        <w:rPr>
          <w:b/>
          <w:spacing w:val="-8"/>
          <w:lang w:val="vi"/>
        </w:rPr>
        <w:t xml:space="preserve"> </w:t>
      </w:r>
      <w:r w:rsidRPr="009E6960">
        <w:rPr>
          <w:b/>
          <w:lang w:val="vi"/>
        </w:rPr>
        <w:t>ĐỊA</w:t>
      </w:r>
      <w:r w:rsidRPr="009E6960">
        <w:rPr>
          <w:b/>
          <w:spacing w:val="-7"/>
          <w:lang w:val="vi"/>
        </w:rPr>
        <w:t xml:space="preserve"> </w:t>
      </w:r>
      <w:r w:rsidRPr="009E6960">
        <w:rPr>
          <w:b/>
          <w:lang w:val="vi"/>
        </w:rPr>
        <w:t>CHẤT</w:t>
      </w:r>
    </w:p>
    <w:p w14:paraId="2F4DCA49" w14:textId="77777777" w:rsidR="001B03FE" w:rsidRDefault="001B03FE" w:rsidP="001B03FE">
      <w:pPr>
        <w:pStyle w:val="BodyText"/>
        <w:jc w:val="center"/>
        <w:rPr>
          <w:b/>
        </w:rPr>
      </w:pPr>
    </w:p>
    <w:p w14:paraId="5656211E" w14:textId="77777777" w:rsidR="001B03FE" w:rsidRDefault="001B03FE" w:rsidP="001B03FE">
      <w:pPr>
        <w:pStyle w:val="BodyText"/>
        <w:rPr>
          <w:b/>
        </w:rPr>
      </w:pPr>
    </w:p>
    <w:p w14:paraId="41416A7E" w14:textId="77777777" w:rsidR="001B03FE" w:rsidRPr="009E6960" w:rsidRDefault="001B03FE" w:rsidP="001B03FE">
      <w:pPr>
        <w:pStyle w:val="BodyText"/>
        <w:spacing w:before="294"/>
        <w:rPr>
          <w:b/>
        </w:rPr>
      </w:pPr>
    </w:p>
    <w:p w14:paraId="16AA1AB7" w14:textId="77777777" w:rsidR="00C41FBB" w:rsidRPr="002A1776" w:rsidRDefault="00C41FBB" w:rsidP="00C41FBB">
      <w:pPr>
        <w:jc w:val="center"/>
        <w:rPr>
          <w:b/>
          <w:sz w:val="28"/>
          <w:szCs w:val="28"/>
          <w:lang w:val="es-ES"/>
        </w:rPr>
      </w:pPr>
      <w:r w:rsidRPr="002A1776">
        <w:rPr>
          <w:b/>
          <w:sz w:val="28"/>
          <w:szCs w:val="28"/>
          <w:lang w:val="es-ES"/>
        </w:rPr>
        <w:t xml:space="preserve">BÁO CÁO HỌC THUẬT </w:t>
      </w:r>
    </w:p>
    <w:p w14:paraId="059F4183" w14:textId="77777777" w:rsidR="001B03FE" w:rsidRPr="009E6960" w:rsidRDefault="001B03FE" w:rsidP="001B03FE">
      <w:pPr>
        <w:pStyle w:val="BodyText"/>
        <w:spacing w:before="294"/>
        <w:rPr>
          <w:b/>
        </w:rPr>
      </w:pPr>
    </w:p>
    <w:p w14:paraId="49A0FAFB" w14:textId="77777777" w:rsidR="001B03FE" w:rsidRDefault="001B03FE" w:rsidP="001B03FE">
      <w:pPr>
        <w:pStyle w:val="BodyText"/>
        <w:rPr>
          <w:b/>
        </w:rPr>
      </w:pPr>
    </w:p>
    <w:p w14:paraId="3FC95875" w14:textId="77777777" w:rsidR="001B03FE" w:rsidRDefault="001B03FE" w:rsidP="001B03FE">
      <w:pPr>
        <w:pStyle w:val="BodyText"/>
        <w:rPr>
          <w:b/>
        </w:rPr>
      </w:pPr>
    </w:p>
    <w:p w14:paraId="2A536236" w14:textId="77777777" w:rsidR="001B03FE" w:rsidRDefault="001B03FE" w:rsidP="001B03FE">
      <w:pPr>
        <w:pStyle w:val="BodyText"/>
        <w:spacing w:before="296"/>
        <w:rPr>
          <w:b/>
        </w:rPr>
      </w:pPr>
    </w:p>
    <w:p w14:paraId="5BEB860F" w14:textId="16CF8F56" w:rsidR="001B03FE" w:rsidRPr="009E6960" w:rsidRDefault="00C41FBB" w:rsidP="001B03FE">
      <w:pPr>
        <w:ind w:left="714" w:right="1427"/>
        <w:jc w:val="center"/>
        <w:rPr>
          <w:b/>
          <w:lang w:val="vi"/>
        </w:rPr>
      </w:pPr>
      <w:r w:rsidRPr="009E6960">
        <w:rPr>
          <w:b/>
          <w:lang w:val="vi"/>
        </w:rPr>
        <w:t xml:space="preserve">TÊN </w:t>
      </w:r>
      <w:r w:rsidR="001B03FE" w:rsidRPr="009E6960">
        <w:rPr>
          <w:b/>
          <w:lang w:val="vi"/>
        </w:rPr>
        <w:t>ĐỀ</w:t>
      </w:r>
      <w:r w:rsidR="001B03FE" w:rsidRPr="009E6960">
        <w:rPr>
          <w:b/>
          <w:spacing w:val="-3"/>
          <w:lang w:val="vi"/>
        </w:rPr>
        <w:t xml:space="preserve"> </w:t>
      </w:r>
      <w:r w:rsidR="001B03FE" w:rsidRPr="009E6960">
        <w:rPr>
          <w:b/>
          <w:spacing w:val="-4"/>
          <w:lang w:val="vi"/>
        </w:rPr>
        <w:t>TÀI:</w:t>
      </w:r>
    </w:p>
    <w:p w14:paraId="577B2B2B" w14:textId="77777777" w:rsidR="00D94AFD" w:rsidRPr="009E6960" w:rsidRDefault="00D94AFD" w:rsidP="00D94AFD">
      <w:pPr>
        <w:pStyle w:val="BodyText"/>
        <w:jc w:val="center"/>
        <w:rPr>
          <w:b/>
        </w:rPr>
      </w:pPr>
      <w:r w:rsidRPr="009E6960">
        <w:rPr>
          <w:b/>
        </w:rPr>
        <w:t>SỬ DỤNG VẬT LIỆU COMPOSIT BIOCHAR TỪ MACCA VÀ SPION ĐỂ HẤP PHỤ TETRACYLIN</w:t>
      </w:r>
    </w:p>
    <w:p w14:paraId="2B33EDE9" w14:textId="77777777" w:rsidR="00D94AFD" w:rsidRDefault="00D94AFD" w:rsidP="00D94AFD">
      <w:pPr>
        <w:pStyle w:val="BodyText"/>
        <w:jc w:val="center"/>
        <w:rPr>
          <w:b/>
        </w:rPr>
      </w:pPr>
    </w:p>
    <w:p w14:paraId="023ABC98" w14:textId="77777777" w:rsidR="00D94AFD" w:rsidRDefault="00D94AFD" w:rsidP="00D94AFD">
      <w:pPr>
        <w:pStyle w:val="BodyText"/>
        <w:jc w:val="center"/>
        <w:rPr>
          <w:b/>
        </w:rPr>
      </w:pPr>
    </w:p>
    <w:p w14:paraId="00DF94F4" w14:textId="77777777" w:rsidR="001B03FE" w:rsidRDefault="001B03FE" w:rsidP="00D94AFD">
      <w:pPr>
        <w:pStyle w:val="BodyText"/>
        <w:jc w:val="center"/>
        <w:rPr>
          <w:b/>
          <w:sz w:val="20"/>
        </w:rPr>
      </w:pPr>
    </w:p>
    <w:p w14:paraId="1C61FBC1" w14:textId="77777777" w:rsidR="001B03FE" w:rsidRDefault="001B03FE" w:rsidP="001B03FE">
      <w:pPr>
        <w:pStyle w:val="BodyText"/>
        <w:rPr>
          <w:b/>
          <w:sz w:val="20"/>
        </w:rPr>
      </w:pPr>
    </w:p>
    <w:p w14:paraId="7603EDE8" w14:textId="77777777" w:rsidR="001B03FE" w:rsidRDefault="001B03FE" w:rsidP="001B03FE">
      <w:pPr>
        <w:pStyle w:val="BodyText"/>
        <w:rPr>
          <w:b/>
          <w:sz w:val="20"/>
        </w:rPr>
      </w:pPr>
    </w:p>
    <w:p w14:paraId="0FCADDF9" w14:textId="77777777" w:rsidR="001B03FE" w:rsidRDefault="001B03FE" w:rsidP="001B03FE">
      <w:pPr>
        <w:pStyle w:val="BodyText"/>
        <w:rPr>
          <w:b/>
          <w:sz w:val="20"/>
        </w:rPr>
      </w:pPr>
    </w:p>
    <w:p w14:paraId="74B25EEA" w14:textId="77777777" w:rsidR="001B03FE" w:rsidRDefault="001B03FE" w:rsidP="001B03FE">
      <w:pPr>
        <w:pStyle w:val="BodyText"/>
        <w:rPr>
          <w:b/>
          <w:sz w:val="20"/>
        </w:rPr>
      </w:pPr>
    </w:p>
    <w:p w14:paraId="79F01F74" w14:textId="77777777" w:rsidR="001B03FE" w:rsidRDefault="001B03FE" w:rsidP="001B03FE">
      <w:pPr>
        <w:pStyle w:val="BodyText"/>
        <w:rPr>
          <w:b/>
          <w:sz w:val="20"/>
        </w:rPr>
      </w:pPr>
    </w:p>
    <w:p w14:paraId="0BF3AD4A" w14:textId="77777777" w:rsidR="001B03FE" w:rsidRDefault="001B03FE" w:rsidP="001B03FE">
      <w:pPr>
        <w:pStyle w:val="BodyText"/>
        <w:rPr>
          <w:b/>
          <w:sz w:val="20"/>
        </w:rPr>
      </w:pPr>
    </w:p>
    <w:p w14:paraId="1E4BA502" w14:textId="77777777" w:rsidR="001B03FE" w:rsidRPr="009E6960" w:rsidRDefault="001B03FE" w:rsidP="001B03FE">
      <w:pPr>
        <w:pStyle w:val="BodyText"/>
        <w:jc w:val="center"/>
        <w:rPr>
          <w:b/>
          <w:sz w:val="28"/>
          <w:szCs w:val="28"/>
        </w:rPr>
      </w:pPr>
      <w:r w:rsidRPr="009E6960">
        <w:rPr>
          <w:b/>
          <w:sz w:val="28"/>
          <w:szCs w:val="28"/>
        </w:rPr>
        <w:t>Xác nhận của bộ môn</w:t>
      </w:r>
    </w:p>
    <w:p w14:paraId="57060F3F" w14:textId="77777777" w:rsidR="001B03FE" w:rsidRDefault="001B03FE" w:rsidP="001B03FE">
      <w:pPr>
        <w:pStyle w:val="BodyText"/>
        <w:spacing w:before="52"/>
        <w:rPr>
          <w:b/>
          <w:sz w:val="20"/>
        </w:rPr>
      </w:pPr>
    </w:p>
    <w:p w14:paraId="1E83D5B5" w14:textId="77777777" w:rsidR="001B03FE" w:rsidRPr="009E6960" w:rsidRDefault="001B03FE" w:rsidP="001B03FE">
      <w:pPr>
        <w:spacing w:before="1"/>
        <w:ind w:left="714" w:right="1417"/>
        <w:jc w:val="center"/>
        <w:rPr>
          <w:b/>
          <w:lang w:val="vi"/>
        </w:rPr>
      </w:pPr>
    </w:p>
    <w:p w14:paraId="42AA30DC" w14:textId="77777777" w:rsidR="001B03FE" w:rsidRPr="009E6960" w:rsidRDefault="001B03FE" w:rsidP="001B03FE">
      <w:pPr>
        <w:spacing w:before="1"/>
        <w:ind w:left="714" w:right="1417"/>
        <w:jc w:val="center"/>
        <w:rPr>
          <w:b/>
          <w:lang w:val="vi"/>
        </w:rPr>
      </w:pPr>
    </w:p>
    <w:p w14:paraId="162132EE" w14:textId="77777777" w:rsidR="001B03FE" w:rsidRPr="009E6960" w:rsidRDefault="001B03FE" w:rsidP="001B03FE">
      <w:pPr>
        <w:spacing w:before="1"/>
        <w:ind w:left="714" w:right="1417"/>
        <w:jc w:val="center"/>
        <w:rPr>
          <w:b/>
          <w:lang w:val="vi"/>
        </w:rPr>
      </w:pPr>
    </w:p>
    <w:p w14:paraId="12AB811F" w14:textId="77777777" w:rsidR="001B03FE" w:rsidRPr="009E6960" w:rsidRDefault="001B03FE" w:rsidP="001B03FE">
      <w:pPr>
        <w:spacing w:before="1"/>
        <w:ind w:left="714" w:right="1417"/>
        <w:jc w:val="center"/>
        <w:rPr>
          <w:b/>
          <w:lang w:val="vi"/>
        </w:rPr>
      </w:pPr>
    </w:p>
    <w:p w14:paraId="58853FA0" w14:textId="77777777" w:rsidR="001B03FE" w:rsidRPr="009E6960" w:rsidRDefault="001B03FE" w:rsidP="001B03FE">
      <w:pPr>
        <w:spacing w:before="1"/>
        <w:ind w:left="714" w:right="1417"/>
        <w:jc w:val="center"/>
        <w:rPr>
          <w:b/>
          <w:lang w:val="vi"/>
        </w:rPr>
      </w:pPr>
    </w:p>
    <w:p w14:paraId="0AE6D444" w14:textId="77777777" w:rsidR="001B03FE" w:rsidRPr="009E6960" w:rsidRDefault="001B03FE" w:rsidP="001B03FE">
      <w:pPr>
        <w:spacing w:before="1"/>
        <w:ind w:left="714" w:right="1417"/>
        <w:jc w:val="center"/>
        <w:rPr>
          <w:b/>
          <w:lang w:val="vi"/>
        </w:rPr>
      </w:pPr>
    </w:p>
    <w:p w14:paraId="5469E0D6" w14:textId="77777777" w:rsidR="001B03FE" w:rsidRPr="009E6960" w:rsidRDefault="001B03FE" w:rsidP="001B03FE">
      <w:pPr>
        <w:spacing w:before="1"/>
        <w:ind w:left="714" w:right="1417"/>
        <w:jc w:val="center"/>
        <w:rPr>
          <w:b/>
          <w:lang w:val="vi"/>
        </w:rPr>
      </w:pPr>
    </w:p>
    <w:p w14:paraId="7E35DC94" w14:textId="77777777" w:rsidR="00C41FBB" w:rsidRPr="009E6960" w:rsidRDefault="001B03FE" w:rsidP="001B03FE">
      <w:pPr>
        <w:spacing w:before="1"/>
        <w:ind w:left="714" w:right="1417"/>
        <w:jc w:val="center"/>
        <w:rPr>
          <w:b/>
          <w:lang w:val="vi"/>
        </w:rPr>
      </w:pPr>
      <w:r w:rsidRPr="009E6960">
        <w:rPr>
          <w:b/>
          <w:lang w:val="vi"/>
        </w:rPr>
        <w:tab/>
      </w:r>
      <w:r w:rsidRPr="009E6960">
        <w:rPr>
          <w:b/>
          <w:lang w:val="vi"/>
        </w:rPr>
        <w:tab/>
      </w:r>
      <w:r w:rsidR="00C41FBB" w:rsidRPr="009E6960">
        <w:rPr>
          <w:b/>
          <w:lang w:val="vi"/>
        </w:rPr>
        <w:t xml:space="preserve">   </w:t>
      </w:r>
    </w:p>
    <w:p w14:paraId="2FC48C30" w14:textId="77777777" w:rsidR="00C41FBB" w:rsidRPr="009E6960" w:rsidRDefault="00C41FBB" w:rsidP="001B03FE">
      <w:pPr>
        <w:spacing w:before="1"/>
        <w:ind w:left="714" w:right="1417"/>
        <w:jc w:val="center"/>
        <w:rPr>
          <w:b/>
          <w:lang w:val="vi"/>
        </w:rPr>
      </w:pPr>
    </w:p>
    <w:p w14:paraId="7CE34B0E" w14:textId="735C1CAA" w:rsidR="001B03FE" w:rsidRPr="009E6960" w:rsidRDefault="001B03FE" w:rsidP="001B03FE">
      <w:pPr>
        <w:spacing w:before="1"/>
        <w:ind w:left="714" w:right="1417"/>
        <w:jc w:val="center"/>
        <w:rPr>
          <w:b/>
          <w:lang w:val="vi"/>
        </w:rPr>
      </w:pPr>
      <w:r w:rsidRPr="009E6960">
        <w:rPr>
          <w:b/>
          <w:lang w:val="vi"/>
        </w:rPr>
        <w:t>HÀ</w:t>
      </w:r>
      <w:r w:rsidRPr="009E6960">
        <w:rPr>
          <w:b/>
          <w:spacing w:val="-5"/>
          <w:lang w:val="vi"/>
        </w:rPr>
        <w:t xml:space="preserve"> </w:t>
      </w:r>
      <w:r w:rsidRPr="009E6960">
        <w:rPr>
          <w:b/>
          <w:lang w:val="vi"/>
        </w:rPr>
        <w:t>NỘI, 6/</w:t>
      </w:r>
      <w:r w:rsidRPr="009E6960">
        <w:rPr>
          <w:b/>
          <w:spacing w:val="-2"/>
          <w:lang w:val="vi"/>
        </w:rPr>
        <w:t xml:space="preserve"> </w:t>
      </w:r>
      <w:r w:rsidRPr="009E6960">
        <w:rPr>
          <w:b/>
          <w:spacing w:val="-4"/>
          <w:lang w:val="vi"/>
        </w:rPr>
        <w:t>2026</w:t>
      </w:r>
    </w:p>
    <w:p w14:paraId="36C345B5" w14:textId="77777777" w:rsidR="001B03FE" w:rsidRPr="009E6960" w:rsidRDefault="001B03FE" w:rsidP="001B03FE">
      <w:pPr>
        <w:pStyle w:val="BodyText"/>
        <w:rPr>
          <w:b/>
        </w:rPr>
      </w:pPr>
    </w:p>
    <w:p w14:paraId="7C5600B3" w14:textId="77777777" w:rsidR="001B03FE" w:rsidRDefault="001B03FE" w:rsidP="001B03FE">
      <w:pPr>
        <w:pStyle w:val="BodyText"/>
        <w:rPr>
          <w:b/>
        </w:rPr>
      </w:pPr>
    </w:p>
    <w:p w14:paraId="0A65CBF7" w14:textId="77777777" w:rsidR="001B03FE" w:rsidRDefault="001B03FE" w:rsidP="001B03FE">
      <w:pPr>
        <w:pStyle w:val="BodyText"/>
        <w:jc w:val="center"/>
        <w:rPr>
          <w:b/>
        </w:rPr>
      </w:pPr>
    </w:p>
    <w:p w14:paraId="7E4E7CA6" w14:textId="77777777" w:rsidR="001B03FE" w:rsidRDefault="001B03FE" w:rsidP="001B03FE">
      <w:pPr>
        <w:pStyle w:val="BodyText"/>
        <w:rPr>
          <w:b/>
        </w:rPr>
      </w:pPr>
    </w:p>
    <w:p w14:paraId="2410D5CE" w14:textId="77777777" w:rsidR="001B03FE" w:rsidRDefault="001B03FE" w:rsidP="001B03FE">
      <w:pPr>
        <w:pStyle w:val="BodyText"/>
        <w:rPr>
          <w:b/>
        </w:rPr>
      </w:pPr>
    </w:p>
    <w:p w14:paraId="53DE8D5F" w14:textId="77777777" w:rsidR="000171EF" w:rsidRPr="009E6960" w:rsidRDefault="000171EF" w:rsidP="000171EF">
      <w:pPr>
        <w:rPr>
          <w:rFonts w:cs="Times New Roman"/>
          <w:b/>
          <w:sz w:val="24"/>
          <w:szCs w:val="26"/>
          <w:lang w:val="vi"/>
        </w:rPr>
        <w:sectPr w:rsidR="000171EF" w:rsidRPr="009E6960" w:rsidSect="005E6DF4">
          <w:pgSz w:w="11906" w:h="16838" w:code="9"/>
          <w:pgMar w:top="1418" w:right="1134" w:bottom="1418" w:left="1701" w:header="720" w:footer="720" w:gutter="0"/>
          <w:pgBorders>
            <w:top w:val="thinThickSmallGap" w:sz="36" w:space="1" w:color="auto"/>
            <w:left w:val="thinThickSmallGap" w:sz="36" w:space="4" w:color="auto"/>
            <w:bottom w:val="thickThinSmallGap" w:sz="36" w:space="1" w:color="auto"/>
            <w:right w:val="thickThinSmallGap" w:sz="36" w:space="4" w:color="auto"/>
          </w:pgBorders>
          <w:cols w:space="720"/>
          <w:docGrid w:linePitch="360"/>
        </w:sectPr>
      </w:pPr>
    </w:p>
    <w:sdt>
      <w:sdtPr>
        <w:rPr>
          <w:rFonts w:eastAsiaTheme="minorEastAsia" w:cstheme="minorBidi"/>
          <w:b w:val="0"/>
          <w:sz w:val="26"/>
          <w:szCs w:val="22"/>
        </w:rPr>
        <w:id w:val="680783491"/>
        <w:docPartObj>
          <w:docPartGallery w:val="Table of Contents"/>
          <w:docPartUnique/>
        </w:docPartObj>
      </w:sdtPr>
      <w:sdtEndPr>
        <w:rPr>
          <w:bCs/>
          <w:noProof/>
        </w:rPr>
      </w:sdtEndPr>
      <w:sdtContent>
        <w:p w14:paraId="39C63084" w14:textId="6874CF51" w:rsidR="00CB4C87" w:rsidRPr="00F12B8B" w:rsidRDefault="00CB4C87" w:rsidP="00CB4C87">
          <w:pPr>
            <w:pStyle w:val="TOCHeading"/>
            <w:numPr>
              <w:ilvl w:val="0"/>
              <w:numId w:val="0"/>
            </w:numPr>
            <w:rPr>
              <w:rStyle w:val="Heading1Char"/>
              <w:b/>
              <w:bCs/>
            </w:rPr>
          </w:pPr>
          <w:r w:rsidRPr="00F12B8B">
            <w:rPr>
              <w:rStyle w:val="Heading1Char"/>
              <w:b/>
              <w:bCs/>
            </w:rPr>
            <w:t>MỤC LỤC</w:t>
          </w:r>
        </w:p>
        <w:p w14:paraId="1DE0F212" w14:textId="597F2410" w:rsidR="00172651" w:rsidRDefault="00CB4C87">
          <w:pPr>
            <w:pStyle w:val="TOC1"/>
            <w:rPr>
              <w:rFonts w:asciiTheme="minorHAnsi" w:hAnsiTheme="minorHAnsi"/>
              <w:noProof/>
              <w:sz w:val="22"/>
            </w:rPr>
          </w:pPr>
          <w:r>
            <w:fldChar w:fldCharType="begin"/>
          </w:r>
          <w:r>
            <w:instrText xml:space="preserve"> TOC \o "1-4" \h \z \u </w:instrText>
          </w:r>
          <w:r>
            <w:fldChar w:fldCharType="separate"/>
          </w:r>
          <w:hyperlink w:anchor="_Toc233142621" w:history="1">
            <w:r w:rsidR="00172651" w:rsidRPr="002B71DE">
              <w:rPr>
                <w:rStyle w:val="Hyperlink"/>
                <w:noProof/>
              </w:rPr>
              <w:t>CHƯƠNG 1: TỔNG QUAN</w:t>
            </w:r>
            <w:r w:rsidR="00172651">
              <w:rPr>
                <w:noProof/>
                <w:webHidden/>
              </w:rPr>
              <w:tab/>
            </w:r>
            <w:r w:rsidR="00172651">
              <w:rPr>
                <w:noProof/>
                <w:webHidden/>
              </w:rPr>
              <w:fldChar w:fldCharType="begin"/>
            </w:r>
            <w:r w:rsidR="00172651">
              <w:rPr>
                <w:noProof/>
                <w:webHidden/>
              </w:rPr>
              <w:instrText xml:space="preserve"> PAGEREF _Toc233142621 \h </w:instrText>
            </w:r>
            <w:r w:rsidR="00172651">
              <w:rPr>
                <w:noProof/>
                <w:webHidden/>
              </w:rPr>
            </w:r>
            <w:r w:rsidR="00172651">
              <w:rPr>
                <w:noProof/>
                <w:webHidden/>
              </w:rPr>
              <w:fldChar w:fldCharType="separate"/>
            </w:r>
            <w:r w:rsidR="00172651">
              <w:rPr>
                <w:noProof/>
                <w:webHidden/>
              </w:rPr>
              <w:t>1</w:t>
            </w:r>
            <w:r w:rsidR="00172651">
              <w:rPr>
                <w:noProof/>
                <w:webHidden/>
              </w:rPr>
              <w:fldChar w:fldCharType="end"/>
            </w:r>
          </w:hyperlink>
        </w:p>
        <w:p w14:paraId="59B360B9" w14:textId="5D057259" w:rsidR="00172651" w:rsidRDefault="00172651">
          <w:pPr>
            <w:pStyle w:val="TOC2"/>
            <w:rPr>
              <w:rFonts w:asciiTheme="minorHAnsi" w:hAnsiTheme="minorHAnsi"/>
              <w:noProof/>
              <w:sz w:val="22"/>
            </w:rPr>
          </w:pPr>
          <w:hyperlink w:anchor="_Toc233142622" w:history="1">
            <w:r w:rsidRPr="002B71DE">
              <w:rPr>
                <w:rStyle w:val="Hyperlink"/>
                <w:noProof/>
              </w:rPr>
              <w:t>1.1. Kháng sinh Tetracycline</w:t>
            </w:r>
            <w:r>
              <w:rPr>
                <w:noProof/>
                <w:webHidden/>
              </w:rPr>
              <w:tab/>
            </w:r>
            <w:r>
              <w:rPr>
                <w:noProof/>
                <w:webHidden/>
              </w:rPr>
              <w:fldChar w:fldCharType="begin"/>
            </w:r>
            <w:r>
              <w:rPr>
                <w:noProof/>
                <w:webHidden/>
              </w:rPr>
              <w:instrText xml:space="preserve"> PAGEREF _Toc233142622 \h </w:instrText>
            </w:r>
            <w:r>
              <w:rPr>
                <w:noProof/>
                <w:webHidden/>
              </w:rPr>
            </w:r>
            <w:r>
              <w:rPr>
                <w:noProof/>
                <w:webHidden/>
              </w:rPr>
              <w:fldChar w:fldCharType="separate"/>
            </w:r>
            <w:r>
              <w:rPr>
                <w:noProof/>
                <w:webHidden/>
              </w:rPr>
              <w:t>1</w:t>
            </w:r>
            <w:r>
              <w:rPr>
                <w:noProof/>
                <w:webHidden/>
              </w:rPr>
              <w:fldChar w:fldCharType="end"/>
            </w:r>
          </w:hyperlink>
        </w:p>
        <w:p w14:paraId="519289C9" w14:textId="53322E63" w:rsidR="00172651" w:rsidRDefault="00172651">
          <w:pPr>
            <w:pStyle w:val="TOC3"/>
            <w:rPr>
              <w:rFonts w:asciiTheme="minorHAnsi" w:hAnsiTheme="minorHAnsi"/>
              <w:noProof/>
              <w:sz w:val="22"/>
            </w:rPr>
          </w:pPr>
          <w:hyperlink w:anchor="_Toc233142623" w:history="1">
            <w:r w:rsidRPr="002B71DE">
              <w:rPr>
                <w:rStyle w:val="Hyperlink"/>
                <w:noProof/>
              </w:rPr>
              <w:t>1.1.1. Hiện trạng ô nhiễm kháng sinh Tetracycline</w:t>
            </w:r>
            <w:r>
              <w:rPr>
                <w:noProof/>
                <w:webHidden/>
              </w:rPr>
              <w:tab/>
            </w:r>
            <w:r>
              <w:rPr>
                <w:noProof/>
                <w:webHidden/>
              </w:rPr>
              <w:fldChar w:fldCharType="begin"/>
            </w:r>
            <w:r>
              <w:rPr>
                <w:noProof/>
                <w:webHidden/>
              </w:rPr>
              <w:instrText xml:space="preserve"> PAGEREF _Toc233142623 \h </w:instrText>
            </w:r>
            <w:r>
              <w:rPr>
                <w:noProof/>
                <w:webHidden/>
              </w:rPr>
            </w:r>
            <w:r>
              <w:rPr>
                <w:noProof/>
                <w:webHidden/>
              </w:rPr>
              <w:fldChar w:fldCharType="separate"/>
            </w:r>
            <w:r>
              <w:rPr>
                <w:noProof/>
                <w:webHidden/>
              </w:rPr>
              <w:t>2</w:t>
            </w:r>
            <w:r>
              <w:rPr>
                <w:noProof/>
                <w:webHidden/>
              </w:rPr>
              <w:fldChar w:fldCharType="end"/>
            </w:r>
          </w:hyperlink>
        </w:p>
        <w:p w14:paraId="7DBCCDD1" w14:textId="7F9EF44A" w:rsidR="00172651" w:rsidRDefault="00172651">
          <w:pPr>
            <w:pStyle w:val="TOC2"/>
            <w:rPr>
              <w:rFonts w:asciiTheme="minorHAnsi" w:hAnsiTheme="minorHAnsi"/>
              <w:noProof/>
              <w:sz w:val="22"/>
            </w:rPr>
          </w:pPr>
          <w:hyperlink w:anchor="_Toc233142624" w:history="1">
            <w:r w:rsidRPr="002B71DE">
              <w:rPr>
                <w:rStyle w:val="Hyperlink"/>
                <w:noProof/>
              </w:rPr>
              <w:t>1.2. Ảnh hưởng của ô nhiễm kháng sinh Tetracycline</w:t>
            </w:r>
            <w:r>
              <w:rPr>
                <w:noProof/>
                <w:webHidden/>
              </w:rPr>
              <w:tab/>
            </w:r>
            <w:r>
              <w:rPr>
                <w:noProof/>
                <w:webHidden/>
              </w:rPr>
              <w:fldChar w:fldCharType="begin"/>
            </w:r>
            <w:r>
              <w:rPr>
                <w:noProof/>
                <w:webHidden/>
              </w:rPr>
              <w:instrText xml:space="preserve"> PAGEREF _Toc233142624 \h </w:instrText>
            </w:r>
            <w:r>
              <w:rPr>
                <w:noProof/>
                <w:webHidden/>
              </w:rPr>
            </w:r>
            <w:r>
              <w:rPr>
                <w:noProof/>
                <w:webHidden/>
              </w:rPr>
              <w:fldChar w:fldCharType="separate"/>
            </w:r>
            <w:r>
              <w:rPr>
                <w:noProof/>
                <w:webHidden/>
              </w:rPr>
              <w:t>3</w:t>
            </w:r>
            <w:r>
              <w:rPr>
                <w:noProof/>
                <w:webHidden/>
              </w:rPr>
              <w:fldChar w:fldCharType="end"/>
            </w:r>
          </w:hyperlink>
        </w:p>
        <w:p w14:paraId="4F30B70C" w14:textId="3E2CCFAC" w:rsidR="00172651" w:rsidRDefault="00172651">
          <w:pPr>
            <w:pStyle w:val="TOC2"/>
            <w:rPr>
              <w:rFonts w:asciiTheme="minorHAnsi" w:hAnsiTheme="minorHAnsi"/>
              <w:noProof/>
              <w:sz w:val="22"/>
            </w:rPr>
          </w:pPr>
          <w:hyperlink w:anchor="_Toc233142625" w:history="1">
            <w:r w:rsidRPr="002B71DE">
              <w:rPr>
                <w:rStyle w:val="Hyperlink"/>
                <w:noProof/>
              </w:rPr>
              <w:t>1.3. Phương pháp xử lý kháng sinh Tetracycline</w:t>
            </w:r>
            <w:r>
              <w:rPr>
                <w:noProof/>
                <w:webHidden/>
              </w:rPr>
              <w:tab/>
            </w:r>
            <w:r>
              <w:rPr>
                <w:noProof/>
                <w:webHidden/>
              </w:rPr>
              <w:fldChar w:fldCharType="begin"/>
            </w:r>
            <w:r>
              <w:rPr>
                <w:noProof/>
                <w:webHidden/>
              </w:rPr>
              <w:instrText xml:space="preserve"> PAGEREF _Toc233142625 \h </w:instrText>
            </w:r>
            <w:r>
              <w:rPr>
                <w:noProof/>
                <w:webHidden/>
              </w:rPr>
            </w:r>
            <w:r>
              <w:rPr>
                <w:noProof/>
                <w:webHidden/>
              </w:rPr>
              <w:fldChar w:fldCharType="separate"/>
            </w:r>
            <w:r>
              <w:rPr>
                <w:noProof/>
                <w:webHidden/>
              </w:rPr>
              <w:t>3</w:t>
            </w:r>
            <w:r>
              <w:rPr>
                <w:noProof/>
                <w:webHidden/>
              </w:rPr>
              <w:fldChar w:fldCharType="end"/>
            </w:r>
          </w:hyperlink>
        </w:p>
        <w:p w14:paraId="1AEB2566" w14:textId="5BF6DFFC" w:rsidR="00172651" w:rsidRDefault="00172651">
          <w:pPr>
            <w:pStyle w:val="TOC3"/>
            <w:rPr>
              <w:rFonts w:asciiTheme="minorHAnsi" w:hAnsiTheme="minorHAnsi"/>
              <w:noProof/>
              <w:sz w:val="22"/>
            </w:rPr>
          </w:pPr>
          <w:hyperlink w:anchor="_Toc233142626" w:history="1">
            <w:r w:rsidRPr="002B71DE">
              <w:rPr>
                <w:rStyle w:val="Hyperlink"/>
                <w:noProof/>
              </w:rPr>
              <w:t>1.3.1. Cơ chế hấp phụ kháng sinh Tetracycline</w:t>
            </w:r>
            <w:r>
              <w:rPr>
                <w:noProof/>
                <w:webHidden/>
              </w:rPr>
              <w:tab/>
            </w:r>
            <w:r>
              <w:rPr>
                <w:noProof/>
                <w:webHidden/>
              </w:rPr>
              <w:fldChar w:fldCharType="begin"/>
            </w:r>
            <w:r>
              <w:rPr>
                <w:noProof/>
                <w:webHidden/>
              </w:rPr>
              <w:instrText xml:space="preserve"> PAGEREF _Toc233142626 \h </w:instrText>
            </w:r>
            <w:r>
              <w:rPr>
                <w:noProof/>
                <w:webHidden/>
              </w:rPr>
            </w:r>
            <w:r>
              <w:rPr>
                <w:noProof/>
                <w:webHidden/>
              </w:rPr>
              <w:fldChar w:fldCharType="separate"/>
            </w:r>
            <w:r>
              <w:rPr>
                <w:noProof/>
                <w:webHidden/>
              </w:rPr>
              <w:t>4</w:t>
            </w:r>
            <w:r>
              <w:rPr>
                <w:noProof/>
                <w:webHidden/>
              </w:rPr>
              <w:fldChar w:fldCharType="end"/>
            </w:r>
          </w:hyperlink>
        </w:p>
        <w:p w14:paraId="4A066BF5" w14:textId="67BE2577" w:rsidR="00172651" w:rsidRDefault="00172651">
          <w:pPr>
            <w:pStyle w:val="TOC1"/>
            <w:rPr>
              <w:rFonts w:asciiTheme="minorHAnsi" w:hAnsiTheme="minorHAnsi"/>
              <w:noProof/>
              <w:sz w:val="22"/>
            </w:rPr>
          </w:pPr>
          <w:hyperlink w:anchor="_Toc233142627" w:history="1">
            <w:r w:rsidRPr="002B71DE">
              <w:rPr>
                <w:rStyle w:val="Hyperlink"/>
                <w:noProof/>
              </w:rPr>
              <w:t>CHƯƠNG 2: VẬT LIỆU VÀ PHƯƠNG PHÁP</w:t>
            </w:r>
            <w:r>
              <w:rPr>
                <w:noProof/>
                <w:webHidden/>
              </w:rPr>
              <w:tab/>
            </w:r>
            <w:r>
              <w:rPr>
                <w:noProof/>
                <w:webHidden/>
              </w:rPr>
              <w:fldChar w:fldCharType="begin"/>
            </w:r>
            <w:r>
              <w:rPr>
                <w:noProof/>
                <w:webHidden/>
              </w:rPr>
              <w:instrText xml:space="preserve"> PAGEREF _Toc233142627 \h </w:instrText>
            </w:r>
            <w:r>
              <w:rPr>
                <w:noProof/>
                <w:webHidden/>
              </w:rPr>
            </w:r>
            <w:r>
              <w:rPr>
                <w:noProof/>
                <w:webHidden/>
              </w:rPr>
              <w:fldChar w:fldCharType="separate"/>
            </w:r>
            <w:r>
              <w:rPr>
                <w:noProof/>
                <w:webHidden/>
              </w:rPr>
              <w:t>6</w:t>
            </w:r>
            <w:r>
              <w:rPr>
                <w:noProof/>
                <w:webHidden/>
              </w:rPr>
              <w:fldChar w:fldCharType="end"/>
            </w:r>
          </w:hyperlink>
        </w:p>
        <w:p w14:paraId="73686ECB" w14:textId="78D400AF" w:rsidR="00172651" w:rsidRDefault="00172651">
          <w:pPr>
            <w:pStyle w:val="TOC2"/>
            <w:rPr>
              <w:rFonts w:asciiTheme="minorHAnsi" w:hAnsiTheme="minorHAnsi"/>
              <w:noProof/>
              <w:sz w:val="22"/>
            </w:rPr>
          </w:pPr>
          <w:hyperlink w:anchor="_Toc233142628" w:history="1">
            <w:r w:rsidRPr="002B71DE">
              <w:rPr>
                <w:rStyle w:val="Hyperlink"/>
                <w:noProof/>
              </w:rPr>
              <w:t>2.1.</w:t>
            </w:r>
            <w:r w:rsidRPr="002B71DE">
              <w:rPr>
                <w:rStyle w:val="Hyperlink"/>
                <w:noProof/>
                <w:lang w:val="vi-VN"/>
              </w:rPr>
              <w:t xml:space="preserve"> Nguyên liệu</w:t>
            </w:r>
            <w:r w:rsidRPr="002B71DE">
              <w:rPr>
                <w:rStyle w:val="Hyperlink"/>
                <w:noProof/>
              </w:rPr>
              <w:t xml:space="preserve"> và hoá chất</w:t>
            </w:r>
            <w:r>
              <w:rPr>
                <w:noProof/>
                <w:webHidden/>
              </w:rPr>
              <w:tab/>
            </w:r>
            <w:r>
              <w:rPr>
                <w:noProof/>
                <w:webHidden/>
              </w:rPr>
              <w:fldChar w:fldCharType="begin"/>
            </w:r>
            <w:r>
              <w:rPr>
                <w:noProof/>
                <w:webHidden/>
              </w:rPr>
              <w:instrText xml:space="preserve"> PAGEREF _Toc233142628 \h </w:instrText>
            </w:r>
            <w:r>
              <w:rPr>
                <w:noProof/>
                <w:webHidden/>
              </w:rPr>
            </w:r>
            <w:r>
              <w:rPr>
                <w:noProof/>
                <w:webHidden/>
              </w:rPr>
              <w:fldChar w:fldCharType="separate"/>
            </w:r>
            <w:r>
              <w:rPr>
                <w:noProof/>
                <w:webHidden/>
              </w:rPr>
              <w:t>6</w:t>
            </w:r>
            <w:r>
              <w:rPr>
                <w:noProof/>
                <w:webHidden/>
              </w:rPr>
              <w:fldChar w:fldCharType="end"/>
            </w:r>
          </w:hyperlink>
        </w:p>
        <w:p w14:paraId="086F44F4" w14:textId="127233C1" w:rsidR="00172651" w:rsidRDefault="00172651">
          <w:pPr>
            <w:pStyle w:val="TOC2"/>
            <w:rPr>
              <w:rFonts w:asciiTheme="minorHAnsi" w:hAnsiTheme="minorHAnsi"/>
              <w:noProof/>
              <w:sz w:val="22"/>
            </w:rPr>
          </w:pPr>
          <w:hyperlink w:anchor="_Toc233142629" w:history="1">
            <w:r w:rsidRPr="002B71DE">
              <w:rPr>
                <w:rStyle w:val="Hyperlink"/>
                <w:noProof/>
              </w:rPr>
              <w:t>2.2. Quy trình tổng hợp vật liệu hấp phụ</w:t>
            </w:r>
            <w:r>
              <w:rPr>
                <w:noProof/>
                <w:webHidden/>
              </w:rPr>
              <w:tab/>
            </w:r>
            <w:r>
              <w:rPr>
                <w:noProof/>
                <w:webHidden/>
              </w:rPr>
              <w:fldChar w:fldCharType="begin"/>
            </w:r>
            <w:r>
              <w:rPr>
                <w:noProof/>
                <w:webHidden/>
              </w:rPr>
              <w:instrText xml:space="preserve"> PAGEREF _Toc233142629 \h </w:instrText>
            </w:r>
            <w:r>
              <w:rPr>
                <w:noProof/>
                <w:webHidden/>
              </w:rPr>
            </w:r>
            <w:r>
              <w:rPr>
                <w:noProof/>
                <w:webHidden/>
              </w:rPr>
              <w:fldChar w:fldCharType="separate"/>
            </w:r>
            <w:r>
              <w:rPr>
                <w:noProof/>
                <w:webHidden/>
              </w:rPr>
              <w:t>6</w:t>
            </w:r>
            <w:r>
              <w:rPr>
                <w:noProof/>
                <w:webHidden/>
              </w:rPr>
              <w:fldChar w:fldCharType="end"/>
            </w:r>
          </w:hyperlink>
        </w:p>
        <w:p w14:paraId="2FB50B00" w14:textId="28B9FA7A" w:rsidR="00172651" w:rsidRDefault="00172651">
          <w:pPr>
            <w:pStyle w:val="TOC2"/>
            <w:rPr>
              <w:rFonts w:asciiTheme="minorHAnsi" w:hAnsiTheme="minorHAnsi"/>
              <w:noProof/>
              <w:sz w:val="22"/>
            </w:rPr>
          </w:pPr>
          <w:hyperlink w:anchor="_Toc233142630" w:history="1">
            <w:r w:rsidRPr="002B71DE">
              <w:rPr>
                <w:rStyle w:val="Hyperlink"/>
                <w:noProof/>
              </w:rPr>
              <w:t>2.3. Khảo sát khả năng hấp phụ Tetracycline của vật liệu</w:t>
            </w:r>
            <w:r>
              <w:rPr>
                <w:noProof/>
                <w:webHidden/>
              </w:rPr>
              <w:tab/>
            </w:r>
            <w:r>
              <w:rPr>
                <w:noProof/>
                <w:webHidden/>
              </w:rPr>
              <w:fldChar w:fldCharType="begin"/>
            </w:r>
            <w:r>
              <w:rPr>
                <w:noProof/>
                <w:webHidden/>
              </w:rPr>
              <w:instrText xml:space="preserve"> PAGEREF _Toc233142630 \h </w:instrText>
            </w:r>
            <w:r>
              <w:rPr>
                <w:noProof/>
                <w:webHidden/>
              </w:rPr>
            </w:r>
            <w:r>
              <w:rPr>
                <w:noProof/>
                <w:webHidden/>
              </w:rPr>
              <w:fldChar w:fldCharType="separate"/>
            </w:r>
            <w:r>
              <w:rPr>
                <w:noProof/>
                <w:webHidden/>
              </w:rPr>
              <w:t>6</w:t>
            </w:r>
            <w:r>
              <w:rPr>
                <w:noProof/>
                <w:webHidden/>
              </w:rPr>
              <w:fldChar w:fldCharType="end"/>
            </w:r>
          </w:hyperlink>
        </w:p>
        <w:p w14:paraId="4F73C7FB" w14:textId="410189C9" w:rsidR="00172651" w:rsidRDefault="00172651">
          <w:pPr>
            <w:pStyle w:val="TOC3"/>
            <w:rPr>
              <w:rFonts w:asciiTheme="minorHAnsi" w:hAnsiTheme="minorHAnsi"/>
              <w:noProof/>
              <w:sz w:val="22"/>
            </w:rPr>
          </w:pPr>
          <w:hyperlink w:anchor="_Toc233142631" w:history="1">
            <w:r w:rsidRPr="002B71DE">
              <w:rPr>
                <w:rStyle w:val="Hyperlink"/>
                <w:noProof/>
                <w:lang w:val="vi-VN"/>
              </w:rPr>
              <w:t>2.3.1. Khảo sát hấp phụ kháng sinh TC qua hệ mẻ</w:t>
            </w:r>
            <w:r>
              <w:rPr>
                <w:noProof/>
                <w:webHidden/>
              </w:rPr>
              <w:tab/>
            </w:r>
            <w:r>
              <w:rPr>
                <w:noProof/>
                <w:webHidden/>
              </w:rPr>
              <w:fldChar w:fldCharType="begin"/>
            </w:r>
            <w:r>
              <w:rPr>
                <w:noProof/>
                <w:webHidden/>
              </w:rPr>
              <w:instrText xml:space="preserve"> PAGEREF _Toc233142631 \h </w:instrText>
            </w:r>
            <w:r>
              <w:rPr>
                <w:noProof/>
                <w:webHidden/>
              </w:rPr>
            </w:r>
            <w:r>
              <w:rPr>
                <w:noProof/>
                <w:webHidden/>
              </w:rPr>
              <w:fldChar w:fldCharType="separate"/>
            </w:r>
            <w:r>
              <w:rPr>
                <w:noProof/>
                <w:webHidden/>
              </w:rPr>
              <w:t>6</w:t>
            </w:r>
            <w:r>
              <w:rPr>
                <w:noProof/>
                <w:webHidden/>
              </w:rPr>
              <w:fldChar w:fldCharType="end"/>
            </w:r>
          </w:hyperlink>
        </w:p>
        <w:p w14:paraId="27CBBEE1" w14:textId="3479347B" w:rsidR="00172651" w:rsidRDefault="00172651">
          <w:pPr>
            <w:pStyle w:val="TOC3"/>
            <w:rPr>
              <w:rFonts w:asciiTheme="minorHAnsi" w:hAnsiTheme="minorHAnsi"/>
              <w:noProof/>
              <w:sz w:val="22"/>
            </w:rPr>
          </w:pPr>
          <w:hyperlink w:anchor="_Toc233142632" w:history="1">
            <w:r w:rsidRPr="002B71DE">
              <w:rPr>
                <w:rStyle w:val="Hyperlink"/>
                <w:noProof/>
                <w:lang w:val="vi-VN"/>
              </w:rPr>
              <w:t>2.3.2. Nghiên cứu động học hấp phụ</w:t>
            </w:r>
            <w:r>
              <w:rPr>
                <w:noProof/>
                <w:webHidden/>
              </w:rPr>
              <w:tab/>
            </w:r>
            <w:r>
              <w:rPr>
                <w:noProof/>
                <w:webHidden/>
              </w:rPr>
              <w:fldChar w:fldCharType="begin"/>
            </w:r>
            <w:r>
              <w:rPr>
                <w:noProof/>
                <w:webHidden/>
              </w:rPr>
              <w:instrText xml:space="preserve"> PAGEREF _Toc233142632 \h </w:instrText>
            </w:r>
            <w:r>
              <w:rPr>
                <w:noProof/>
                <w:webHidden/>
              </w:rPr>
            </w:r>
            <w:r>
              <w:rPr>
                <w:noProof/>
                <w:webHidden/>
              </w:rPr>
              <w:fldChar w:fldCharType="separate"/>
            </w:r>
            <w:r>
              <w:rPr>
                <w:noProof/>
                <w:webHidden/>
              </w:rPr>
              <w:t>7</w:t>
            </w:r>
            <w:r>
              <w:rPr>
                <w:noProof/>
                <w:webHidden/>
              </w:rPr>
              <w:fldChar w:fldCharType="end"/>
            </w:r>
          </w:hyperlink>
        </w:p>
        <w:p w14:paraId="4E667748" w14:textId="6366BA3B" w:rsidR="00172651" w:rsidRDefault="00172651">
          <w:pPr>
            <w:pStyle w:val="TOC3"/>
            <w:rPr>
              <w:rFonts w:asciiTheme="minorHAnsi" w:hAnsiTheme="minorHAnsi"/>
              <w:noProof/>
              <w:sz w:val="22"/>
            </w:rPr>
          </w:pPr>
          <w:hyperlink w:anchor="_Toc233142633" w:history="1">
            <w:r w:rsidRPr="002B71DE">
              <w:rPr>
                <w:rStyle w:val="Hyperlink"/>
                <w:noProof/>
                <w:lang w:val="vi-VN"/>
              </w:rPr>
              <w:t>2.3.3. Nghiên cứu cơ chế hấp phụ đẳng nhiệt</w:t>
            </w:r>
            <w:r>
              <w:rPr>
                <w:noProof/>
                <w:webHidden/>
              </w:rPr>
              <w:tab/>
            </w:r>
            <w:r>
              <w:rPr>
                <w:noProof/>
                <w:webHidden/>
              </w:rPr>
              <w:fldChar w:fldCharType="begin"/>
            </w:r>
            <w:r>
              <w:rPr>
                <w:noProof/>
                <w:webHidden/>
              </w:rPr>
              <w:instrText xml:space="preserve"> PAGEREF _Toc233142633 \h </w:instrText>
            </w:r>
            <w:r>
              <w:rPr>
                <w:noProof/>
                <w:webHidden/>
              </w:rPr>
            </w:r>
            <w:r>
              <w:rPr>
                <w:noProof/>
                <w:webHidden/>
              </w:rPr>
              <w:fldChar w:fldCharType="separate"/>
            </w:r>
            <w:r>
              <w:rPr>
                <w:noProof/>
                <w:webHidden/>
              </w:rPr>
              <w:t>9</w:t>
            </w:r>
            <w:r>
              <w:rPr>
                <w:noProof/>
                <w:webHidden/>
              </w:rPr>
              <w:fldChar w:fldCharType="end"/>
            </w:r>
          </w:hyperlink>
        </w:p>
        <w:p w14:paraId="4BFAF22D" w14:textId="5C4B0582" w:rsidR="00172651" w:rsidRDefault="00172651">
          <w:pPr>
            <w:pStyle w:val="TOC1"/>
            <w:rPr>
              <w:rFonts w:asciiTheme="minorHAnsi" w:hAnsiTheme="minorHAnsi"/>
              <w:noProof/>
              <w:sz w:val="22"/>
            </w:rPr>
          </w:pPr>
          <w:hyperlink w:anchor="_Toc233142634" w:history="1">
            <w:r w:rsidRPr="002B71DE">
              <w:rPr>
                <w:rStyle w:val="Hyperlink"/>
                <w:noProof/>
              </w:rPr>
              <w:t>CHƯƠNG 3: KẾT QUẢ VÀ THẢO LUẬN</w:t>
            </w:r>
            <w:r>
              <w:rPr>
                <w:noProof/>
                <w:webHidden/>
              </w:rPr>
              <w:tab/>
            </w:r>
            <w:r>
              <w:rPr>
                <w:noProof/>
                <w:webHidden/>
              </w:rPr>
              <w:fldChar w:fldCharType="begin"/>
            </w:r>
            <w:r>
              <w:rPr>
                <w:noProof/>
                <w:webHidden/>
              </w:rPr>
              <w:instrText xml:space="preserve"> PAGEREF _Toc233142634 \h </w:instrText>
            </w:r>
            <w:r>
              <w:rPr>
                <w:noProof/>
                <w:webHidden/>
              </w:rPr>
            </w:r>
            <w:r>
              <w:rPr>
                <w:noProof/>
                <w:webHidden/>
              </w:rPr>
              <w:fldChar w:fldCharType="separate"/>
            </w:r>
            <w:r>
              <w:rPr>
                <w:noProof/>
                <w:webHidden/>
              </w:rPr>
              <w:t>11</w:t>
            </w:r>
            <w:r>
              <w:rPr>
                <w:noProof/>
                <w:webHidden/>
              </w:rPr>
              <w:fldChar w:fldCharType="end"/>
            </w:r>
          </w:hyperlink>
        </w:p>
        <w:p w14:paraId="75298D33" w14:textId="51A156FB" w:rsidR="00172651" w:rsidRDefault="00172651">
          <w:pPr>
            <w:pStyle w:val="TOC2"/>
            <w:rPr>
              <w:rFonts w:asciiTheme="minorHAnsi" w:hAnsiTheme="minorHAnsi"/>
              <w:noProof/>
              <w:sz w:val="22"/>
            </w:rPr>
          </w:pPr>
          <w:hyperlink w:anchor="_Toc233142635" w:history="1">
            <w:r w:rsidRPr="002B71DE">
              <w:rPr>
                <w:rStyle w:val="Hyperlink"/>
                <w:noProof/>
              </w:rPr>
              <w:t>3.1. Đánh giá và phân tích đặc tính cấu trúc và tính chất từ của vật liệu</w:t>
            </w:r>
            <w:r>
              <w:rPr>
                <w:noProof/>
                <w:webHidden/>
              </w:rPr>
              <w:tab/>
            </w:r>
            <w:r>
              <w:rPr>
                <w:noProof/>
                <w:webHidden/>
              </w:rPr>
              <w:fldChar w:fldCharType="begin"/>
            </w:r>
            <w:r>
              <w:rPr>
                <w:noProof/>
                <w:webHidden/>
              </w:rPr>
              <w:instrText xml:space="preserve"> PAGEREF _Toc233142635 \h </w:instrText>
            </w:r>
            <w:r>
              <w:rPr>
                <w:noProof/>
                <w:webHidden/>
              </w:rPr>
            </w:r>
            <w:r>
              <w:rPr>
                <w:noProof/>
                <w:webHidden/>
              </w:rPr>
              <w:fldChar w:fldCharType="separate"/>
            </w:r>
            <w:r>
              <w:rPr>
                <w:noProof/>
                <w:webHidden/>
              </w:rPr>
              <w:t>11</w:t>
            </w:r>
            <w:r>
              <w:rPr>
                <w:noProof/>
                <w:webHidden/>
              </w:rPr>
              <w:fldChar w:fldCharType="end"/>
            </w:r>
          </w:hyperlink>
        </w:p>
        <w:p w14:paraId="561ACA19" w14:textId="36C3B374" w:rsidR="00172651" w:rsidRDefault="00172651">
          <w:pPr>
            <w:pStyle w:val="TOC2"/>
            <w:rPr>
              <w:rFonts w:asciiTheme="minorHAnsi" w:hAnsiTheme="minorHAnsi"/>
              <w:noProof/>
              <w:sz w:val="22"/>
            </w:rPr>
          </w:pPr>
          <w:hyperlink w:anchor="_Toc233142636" w:history="1">
            <w:r w:rsidRPr="002B71DE">
              <w:rPr>
                <w:rStyle w:val="Hyperlink"/>
                <w:noProof/>
              </w:rPr>
              <w:t>3.2. Kết quả khảo sát kháng sinh Tetracycline bằng vật liệu MGC/Fe</w:t>
            </w:r>
            <w:r w:rsidRPr="002B71DE">
              <w:rPr>
                <w:rStyle w:val="Hyperlink"/>
                <w:noProof/>
                <w:vertAlign w:val="subscript"/>
              </w:rPr>
              <w:t>3</w:t>
            </w:r>
            <w:r w:rsidRPr="002B71DE">
              <w:rPr>
                <w:rStyle w:val="Hyperlink"/>
                <w:noProof/>
              </w:rPr>
              <w:t>O</w:t>
            </w:r>
            <w:r w:rsidRPr="002B71DE">
              <w:rPr>
                <w:rStyle w:val="Hyperlink"/>
                <w:noProof/>
                <w:vertAlign w:val="subscript"/>
              </w:rPr>
              <w:t>4</w:t>
            </w:r>
            <w:r>
              <w:rPr>
                <w:noProof/>
                <w:webHidden/>
              </w:rPr>
              <w:tab/>
            </w:r>
            <w:r>
              <w:rPr>
                <w:noProof/>
                <w:webHidden/>
              </w:rPr>
              <w:fldChar w:fldCharType="begin"/>
            </w:r>
            <w:r>
              <w:rPr>
                <w:noProof/>
                <w:webHidden/>
              </w:rPr>
              <w:instrText xml:space="preserve"> PAGEREF _Toc233142636 \h </w:instrText>
            </w:r>
            <w:r>
              <w:rPr>
                <w:noProof/>
                <w:webHidden/>
              </w:rPr>
            </w:r>
            <w:r>
              <w:rPr>
                <w:noProof/>
                <w:webHidden/>
              </w:rPr>
              <w:fldChar w:fldCharType="separate"/>
            </w:r>
            <w:r>
              <w:rPr>
                <w:noProof/>
                <w:webHidden/>
              </w:rPr>
              <w:t>11</w:t>
            </w:r>
            <w:r>
              <w:rPr>
                <w:noProof/>
                <w:webHidden/>
              </w:rPr>
              <w:fldChar w:fldCharType="end"/>
            </w:r>
          </w:hyperlink>
        </w:p>
        <w:p w14:paraId="5CC80290" w14:textId="30997404" w:rsidR="00172651" w:rsidRDefault="00172651">
          <w:pPr>
            <w:pStyle w:val="TOC3"/>
            <w:rPr>
              <w:rFonts w:asciiTheme="minorHAnsi" w:hAnsiTheme="minorHAnsi"/>
              <w:noProof/>
              <w:sz w:val="22"/>
            </w:rPr>
          </w:pPr>
          <w:hyperlink w:anchor="_Toc233142637" w:history="1">
            <w:r w:rsidRPr="002B71DE">
              <w:rPr>
                <w:rStyle w:val="Hyperlink"/>
                <w:noProof/>
              </w:rPr>
              <w:t>3.2.1. Đường chuẩn kháng sinh Tetracycline</w:t>
            </w:r>
            <w:r>
              <w:rPr>
                <w:noProof/>
                <w:webHidden/>
              </w:rPr>
              <w:tab/>
            </w:r>
            <w:r>
              <w:rPr>
                <w:noProof/>
                <w:webHidden/>
              </w:rPr>
              <w:fldChar w:fldCharType="begin"/>
            </w:r>
            <w:r>
              <w:rPr>
                <w:noProof/>
                <w:webHidden/>
              </w:rPr>
              <w:instrText xml:space="preserve"> PAGEREF _Toc233142637 \h </w:instrText>
            </w:r>
            <w:r>
              <w:rPr>
                <w:noProof/>
                <w:webHidden/>
              </w:rPr>
            </w:r>
            <w:r>
              <w:rPr>
                <w:noProof/>
                <w:webHidden/>
              </w:rPr>
              <w:fldChar w:fldCharType="separate"/>
            </w:r>
            <w:r>
              <w:rPr>
                <w:noProof/>
                <w:webHidden/>
              </w:rPr>
              <w:t>11</w:t>
            </w:r>
            <w:r>
              <w:rPr>
                <w:noProof/>
                <w:webHidden/>
              </w:rPr>
              <w:fldChar w:fldCharType="end"/>
            </w:r>
          </w:hyperlink>
        </w:p>
        <w:p w14:paraId="00173438" w14:textId="41F5E7C7" w:rsidR="00172651" w:rsidRDefault="00172651">
          <w:pPr>
            <w:pStyle w:val="TOC3"/>
            <w:rPr>
              <w:rFonts w:asciiTheme="minorHAnsi" w:hAnsiTheme="minorHAnsi"/>
              <w:noProof/>
              <w:sz w:val="22"/>
            </w:rPr>
          </w:pPr>
          <w:hyperlink w:anchor="_Toc233142638" w:history="1">
            <w:r w:rsidRPr="002B71DE">
              <w:rPr>
                <w:rStyle w:val="Hyperlink"/>
                <w:noProof/>
              </w:rPr>
              <w:t>3.2.2. Kết quả khảo sát tổng quan khả năng hấp phụ TC của từng vật liệu</w:t>
            </w:r>
            <w:r>
              <w:rPr>
                <w:noProof/>
                <w:webHidden/>
              </w:rPr>
              <w:tab/>
            </w:r>
            <w:r>
              <w:rPr>
                <w:noProof/>
                <w:webHidden/>
              </w:rPr>
              <w:fldChar w:fldCharType="begin"/>
            </w:r>
            <w:r>
              <w:rPr>
                <w:noProof/>
                <w:webHidden/>
              </w:rPr>
              <w:instrText xml:space="preserve"> PAGEREF _Toc233142638 \h </w:instrText>
            </w:r>
            <w:r>
              <w:rPr>
                <w:noProof/>
                <w:webHidden/>
              </w:rPr>
            </w:r>
            <w:r>
              <w:rPr>
                <w:noProof/>
                <w:webHidden/>
              </w:rPr>
              <w:fldChar w:fldCharType="separate"/>
            </w:r>
            <w:r>
              <w:rPr>
                <w:noProof/>
                <w:webHidden/>
              </w:rPr>
              <w:t>12</w:t>
            </w:r>
            <w:r>
              <w:rPr>
                <w:noProof/>
                <w:webHidden/>
              </w:rPr>
              <w:fldChar w:fldCharType="end"/>
            </w:r>
          </w:hyperlink>
        </w:p>
        <w:p w14:paraId="153AFD05" w14:textId="20210242" w:rsidR="00172651" w:rsidRDefault="00172651">
          <w:pPr>
            <w:pStyle w:val="TOC3"/>
            <w:rPr>
              <w:rFonts w:asciiTheme="minorHAnsi" w:hAnsiTheme="minorHAnsi"/>
              <w:noProof/>
              <w:sz w:val="22"/>
            </w:rPr>
          </w:pPr>
          <w:hyperlink w:anchor="_Toc233142639" w:history="1">
            <w:r w:rsidRPr="002B71DE">
              <w:rPr>
                <w:rStyle w:val="Hyperlink"/>
                <w:noProof/>
              </w:rPr>
              <w:t>3.2.3. Kết quả khảo sát khối lượng</w:t>
            </w:r>
            <w:r>
              <w:rPr>
                <w:noProof/>
                <w:webHidden/>
              </w:rPr>
              <w:tab/>
            </w:r>
            <w:r>
              <w:rPr>
                <w:noProof/>
                <w:webHidden/>
              </w:rPr>
              <w:fldChar w:fldCharType="begin"/>
            </w:r>
            <w:r>
              <w:rPr>
                <w:noProof/>
                <w:webHidden/>
              </w:rPr>
              <w:instrText xml:space="preserve"> PAGEREF _Toc233142639 \h </w:instrText>
            </w:r>
            <w:r>
              <w:rPr>
                <w:noProof/>
                <w:webHidden/>
              </w:rPr>
            </w:r>
            <w:r>
              <w:rPr>
                <w:noProof/>
                <w:webHidden/>
              </w:rPr>
              <w:fldChar w:fldCharType="separate"/>
            </w:r>
            <w:r>
              <w:rPr>
                <w:noProof/>
                <w:webHidden/>
              </w:rPr>
              <w:t>13</w:t>
            </w:r>
            <w:r>
              <w:rPr>
                <w:noProof/>
                <w:webHidden/>
              </w:rPr>
              <w:fldChar w:fldCharType="end"/>
            </w:r>
          </w:hyperlink>
        </w:p>
        <w:p w14:paraId="130976E5" w14:textId="4DD3C8E8" w:rsidR="00172651" w:rsidRDefault="00172651">
          <w:pPr>
            <w:pStyle w:val="TOC3"/>
            <w:rPr>
              <w:rFonts w:asciiTheme="minorHAnsi" w:hAnsiTheme="minorHAnsi"/>
              <w:noProof/>
              <w:sz w:val="22"/>
            </w:rPr>
          </w:pPr>
          <w:hyperlink w:anchor="_Toc233142640" w:history="1">
            <w:r w:rsidRPr="002B71DE">
              <w:rPr>
                <w:rStyle w:val="Hyperlink"/>
                <w:noProof/>
              </w:rPr>
              <w:t>3.2.4. Kết quả khảo sát thời gian hấp phụ</w:t>
            </w:r>
            <w:r>
              <w:rPr>
                <w:noProof/>
                <w:webHidden/>
              </w:rPr>
              <w:tab/>
            </w:r>
            <w:r>
              <w:rPr>
                <w:noProof/>
                <w:webHidden/>
              </w:rPr>
              <w:fldChar w:fldCharType="begin"/>
            </w:r>
            <w:r>
              <w:rPr>
                <w:noProof/>
                <w:webHidden/>
              </w:rPr>
              <w:instrText xml:space="preserve"> PAGEREF _Toc233142640 \h </w:instrText>
            </w:r>
            <w:r>
              <w:rPr>
                <w:noProof/>
                <w:webHidden/>
              </w:rPr>
            </w:r>
            <w:r>
              <w:rPr>
                <w:noProof/>
                <w:webHidden/>
              </w:rPr>
              <w:fldChar w:fldCharType="separate"/>
            </w:r>
            <w:r>
              <w:rPr>
                <w:noProof/>
                <w:webHidden/>
              </w:rPr>
              <w:t>14</w:t>
            </w:r>
            <w:r>
              <w:rPr>
                <w:noProof/>
                <w:webHidden/>
              </w:rPr>
              <w:fldChar w:fldCharType="end"/>
            </w:r>
          </w:hyperlink>
        </w:p>
        <w:p w14:paraId="6D22FAA9" w14:textId="728C283A" w:rsidR="00172651" w:rsidRDefault="00172651">
          <w:pPr>
            <w:pStyle w:val="TOC3"/>
            <w:rPr>
              <w:rFonts w:asciiTheme="minorHAnsi" w:hAnsiTheme="minorHAnsi"/>
              <w:noProof/>
              <w:sz w:val="22"/>
            </w:rPr>
          </w:pPr>
          <w:hyperlink w:anchor="_Toc233142641" w:history="1">
            <w:r w:rsidRPr="002B71DE">
              <w:rPr>
                <w:rStyle w:val="Hyperlink"/>
                <w:noProof/>
              </w:rPr>
              <w:t>3.2.5. Kết quả khảo sát pH</w:t>
            </w:r>
            <w:r>
              <w:rPr>
                <w:noProof/>
                <w:webHidden/>
              </w:rPr>
              <w:tab/>
            </w:r>
            <w:r>
              <w:rPr>
                <w:noProof/>
                <w:webHidden/>
              </w:rPr>
              <w:fldChar w:fldCharType="begin"/>
            </w:r>
            <w:r>
              <w:rPr>
                <w:noProof/>
                <w:webHidden/>
              </w:rPr>
              <w:instrText xml:space="preserve"> PAGEREF _Toc233142641 \h </w:instrText>
            </w:r>
            <w:r>
              <w:rPr>
                <w:noProof/>
                <w:webHidden/>
              </w:rPr>
            </w:r>
            <w:r>
              <w:rPr>
                <w:noProof/>
                <w:webHidden/>
              </w:rPr>
              <w:fldChar w:fldCharType="separate"/>
            </w:r>
            <w:r>
              <w:rPr>
                <w:noProof/>
                <w:webHidden/>
              </w:rPr>
              <w:t>16</w:t>
            </w:r>
            <w:r>
              <w:rPr>
                <w:noProof/>
                <w:webHidden/>
              </w:rPr>
              <w:fldChar w:fldCharType="end"/>
            </w:r>
          </w:hyperlink>
        </w:p>
        <w:p w14:paraId="71F71A60" w14:textId="5A7D0E9D" w:rsidR="00172651" w:rsidRDefault="00172651">
          <w:pPr>
            <w:pStyle w:val="TOC3"/>
            <w:rPr>
              <w:rFonts w:asciiTheme="minorHAnsi" w:hAnsiTheme="minorHAnsi"/>
              <w:noProof/>
              <w:sz w:val="22"/>
            </w:rPr>
          </w:pPr>
          <w:hyperlink w:anchor="_Toc233142642" w:history="1">
            <w:r w:rsidRPr="002B71DE">
              <w:rPr>
                <w:rStyle w:val="Hyperlink"/>
                <w:noProof/>
              </w:rPr>
              <w:t>3.2.6. Kết quả khảo sát nồng độ và phân tích đẳng nhiệt</w:t>
            </w:r>
            <w:r>
              <w:rPr>
                <w:noProof/>
                <w:webHidden/>
              </w:rPr>
              <w:tab/>
            </w:r>
            <w:r>
              <w:rPr>
                <w:noProof/>
                <w:webHidden/>
              </w:rPr>
              <w:fldChar w:fldCharType="begin"/>
            </w:r>
            <w:r>
              <w:rPr>
                <w:noProof/>
                <w:webHidden/>
              </w:rPr>
              <w:instrText xml:space="preserve"> PAGEREF _Toc233142642 \h </w:instrText>
            </w:r>
            <w:r>
              <w:rPr>
                <w:noProof/>
                <w:webHidden/>
              </w:rPr>
            </w:r>
            <w:r>
              <w:rPr>
                <w:noProof/>
                <w:webHidden/>
              </w:rPr>
              <w:fldChar w:fldCharType="separate"/>
            </w:r>
            <w:r>
              <w:rPr>
                <w:noProof/>
                <w:webHidden/>
              </w:rPr>
              <w:t>18</w:t>
            </w:r>
            <w:r>
              <w:rPr>
                <w:noProof/>
                <w:webHidden/>
              </w:rPr>
              <w:fldChar w:fldCharType="end"/>
            </w:r>
          </w:hyperlink>
        </w:p>
        <w:p w14:paraId="2FBBBBC1" w14:textId="2866BA20" w:rsidR="00172651" w:rsidRDefault="00172651">
          <w:pPr>
            <w:pStyle w:val="TOC1"/>
            <w:rPr>
              <w:rFonts w:asciiTheme="minorHAnsi" w:hAnsiTheme="minorHAnsi"/>
              <w:noProof/>
              <w:sz w:val="22"/>
            </w:rPr>
          </w:pPr>
          <w:hyperlink w:anchor="_Toc233142643" w:history="1">
            <w:r w:rsidRPr="002B71DE">
              <w:rPr>
                <w:rStyle w:val="Hyperlink"/>
                <w:noProof/>
                <w:lang w:val="vi-VN"/>
              </w:rPr>
              <w:t>KẾT LUẬN</w:t>
            </w:r>
            <w:r>
              <w:rPr>
                <w:noProof/>
                <w:webHidden/>
              </w:rPr>
              <w:tab/>
            </w:r>
            <w:r>
              <w:rPr>
                <w:noProof/>
                <w:webHidden/>
              </w:rPr>
              <w:fldChar w:fldCharType="begin"/>
            </w:r>
            <w:r>
              <w:rPr>
                <w:noProof/>
                <w:webHidden/>
              </w:rPr>
              <w:instrText xml:space="preserve"> PAGEREF _Toc233142643 \h </w:instrText>
            </w:r>
            <w:r>
              <w:rPr>
                <w:noProof/>
                <w:webHidden/>
              </w:rPr>
            </w:r>
            <w:r>
              <w:rPr>
                <w:noProof/>
                <w:webHidden/>
              </w:rPr>
              <w:fldChar w:fldCharType="separate"/>
            </w:r>
            <w:r>
              <w:rPr>
                <w:noProof/>
                <w:webHidden/>
              </w:rPr>
              <w:t>22</w:t>
            </w:r>
            <w:r>
              <w:rPr>
                <w:noProof/>
                <w:webHidden/>
              </w:rPr>
              <w:fldChar w:fldCharType="end"/>
            </w:r>
          </w:hyperlink>
        </w:p>
        <w:p w14:paraId="501E9DB9" w14:textId="01E94206" w:rsidR="00172651" w:rsidRDefault="00172651">
          <w:pPr>
            <w:pStyle w:val="TOC1"/>
            <w:rPr>
              <w:rFonts w:asciiTheme="minorHAnsi" w:hAnsiTheme="minorHAnsi"/>
              <w:noProof/>
              <w:sz w:val="22"/>
            </w:rPr>
          </w:pPr>
          <w:hyperlink w:anchor="_Toc233142644" w:history="1">
            <w:r w:rsidRPr="002B71DE">
              <w:rPr>
                <w:rStyle w:val="Hyperlink"/>
                <w:noProof/>
                <w:lang w:val="vi-VN"/>
              </w:rPr>
              <w:t>TÀI LIỆU THAM KHẢO</w:t>
            </w:r>
            <w:r>
              <w:rPr>
                <w:noProof/>
                <w:webHidden/>
              </w:rPr>
              <w:tab/>
            </w:r>
            <w:r>
              <w:rPr>
                <w:noProof/>
                <w:webHidden/>
              </w:rPr>
              <w:fldChar w:fldCharType="begin"/>
            </w:r>
            <w:r>
              <w:rPr>
                <w:noProof/>
                <w:webHidden/>
              </w:rPr>
              <w:instrText xml:space="preserve"> PAGEREF _Toc233142644 \h </w:instrText>
            </w:r>
            <w:r>
              <w:rPr>
                <w:noProof/>
                <w:webHidden/>
              </w:rPr>
            </w:r>
            <w:r>
              <w:rPr>
                <w:noProof/>
                <w:webHidden/>
              </w:rPr>
              <w:fldChar w:fldCharType="separate"/>
            </w:r>
            <w:r>
              <w:rPr>
                <w:noProof/>
                <w:webHidden/>
              </w:rPr>
              <w:t>23</w:t>
            </w:r>
            <w:r>
              <w:rPr>
                <w:noProof/>
                <w:webHidden/>
              </w:rPr>
              <w:fldChar w:fldCharType="end"/>
            </w:r>
          </w:hyperlink>
        </w:p>
        <w:p w14:paraId="7E19152F" w14:textId="4195AE67" w:rsidR="00CB4C87" w:rsidRDefault="00CB4C87" w:rsidP="00CB4C87">
          <w:pPr>
            <w:rPr>
              <w:bCs/>
              <w:noProof/>
            </w:rPr>
          </w:pPr>
          <w:r>
            <w:fldChar w:fldCharType="end"/>
          </w:r>
        </w:p>
      </w:sdtContent>
    </w:sdt>
    <w:p w14:paraId="2B578DEF" w14:textId="77777777" w:rsidR="003C11CC" w:rsidRDefault="003C11CC" w:rsidP="003C11CC">
      <w:pPr>
        <w:spacing w:after="160" w:line="278" w:lineRule="auto"/>
        <w:ind w:firstLine="0"/>
        <w:sectPr w:rsidR="003C11CC" w:rsidSect="005E6DF4">
          <w:headerReference w:type="default" r:id="rId8"/>
          <w:footerReference w:type="default" r:id="rId9"/>
          <w:pgSz w:w="11906" w:h="16838" w:code="9"/>
          <w:pgMar w:top="1418" w:right="1134" w:bottom="1701" w:left="1701" w:header="720" w:footer="720" w:gutter="0"/>
          <w:pgNumType w:fmt="lowerRoman" w:start="1"/>
          <w:cols w:space="720"/>
          <w:docGrid w:linePitch="360"/>
        </w:sectPr>
      </w:pPr>
    </w:p>
    <w:p w14:paraId="3FFD04F1" w14:textId="77777777" w:rsidR="008C004C" w:rsidRPr="008C004C" w:rsidRDefault="008C004C" w:rsidP="008C004C">
      <w:bookmarkStart w:id="0" w:name="_Toc195572573"/>
    </w:p>
    <w:p w14:paraId="31D07E03" w14:textId="60DE13EF" w:rsidR="00362619" w:rsidRDefault="00CF0DDB" w:rsidP="00CE4BC2">
      <w:pPr>
        <w:pStyle w:val="Heading1"/>
        <w:numPr>
          <w:ilvl w:val="0"/>
          <w:numId w:val="5"/>
        </w:numPr>
      </w:pPr>
      <w:bookmarkStart w:id="1" w:name="_Toc233142621"/>
      <w:bookmarkEnd w:id="0"/>
      <w:r>
        <w:t>TỔNG QUAN</w:t>
      </w:r>
      <w:bookmarkEnd w:id="1"/>
    </w:p>
    <w:p w14:paraId="72711D97" w14:textId="7DB0F499" w:rsidR="009E234D" w:rsidRPr="00A70516" w:rsidRDefault="005F0D78" w:rsidP="00172651">
      <w:pPr>
        <w:pStyle w:val="Heading2"/>
      </w:pPr>
      <w:r>
        <w:t xml:space="preserve"> </w:t>
      </w:r>
      <w:bookmarkStart w:id="2" w:name="_Toc233142622"/>
      <w:r w:rsidR="009E234D" w:rsidRPr="00A70516">
        <w:t>Kháng sinh Tetracycline</w:t>
      </w:r>
      <w:bookmarkEnd w:id="2"/>
    </w:p>
    <w:p w14:paraId="4A635C5B" w14:textId="53F1FDC9" w:rsidR="00B467DF" w:rsidRDefault="0047257F" w:rsidP="00446B0A">
      <w:pPr>
        <w:ind w:firstLine="390"/>
        <w:jc w:val="both"/>
        <w:rPr>
          <w:rFonts w:cs="Times New Roman"/>
          <w:bCs/>
          <w:szCs w:val="26"/>
        </w:rPr>
      </w:pPr>
      <w:r w:rsidRPr="0047257F">
        <w:t xml:space="preserve">Tetracycline </w:t>
      </w:r>
      <w:r w:rsidR="00BC43B8">
        <w:t xml:space="preserve">(TC) </w:t>
      </w:r>
      <w:r w:rsidRPr="0047257F">
        <w:t>là</w:t>
      </w:r>
      <w:r w:rsidR="00F94296">
        <w:t xml:space="preserve"> </w:t>
      </w:r>
      <w:r w:rsidRPr="0047257F">
        <w:t>tên của loại kháng sinh được nghiên cứu xử lý trong bài đồ án này và đồng thời cũng là tên đại diện của họ kháng sinh Tetracycline (TCs). Nhóm kháng sinh TCs được phát hiện lần đầu vào năm 1945 với hợp chất Chlortetracycline từ vi khuẩn Streptomyces aureofaciens [7]. Nhiều loại kháng sinh thuộc họ kháng sinh TCs đã được phát triển với nguồn gốc từ nhiều loài Streptomyces khác nhau tuy và hiện có khoảng hai mươi hợp chất được đưa ra thị trường để sử dụng hiện nay. Các loại kháng sinh được sử dụng phổ biến nhất trong nhóm kháng sinh này là:</w:t>
      </w:r>
      <w:r w:rsidR="00DF4070">
        <w:t xml:space="preserve"> </w:t>
      </w:r>
      <w:r w:rsidRPr="0047257F">
        <w:t xml:space="preserve">Tetracycline, Oxytetracycline và </w:t>
      </w:r>
      <w:r w:rsidR="000016F6">
        <w:t>Do</w:t>
      </w:r>
      <w:r w:rsidRPr="0047257F">
        <w:t>xycycline. So sánh khả năng điều trị với các loại kháng sinh khác, họ kháng sinh TCs là một họ kháng sinh phổ rộng, tức là có khả năng ức chế nhiều tác nhân gây bệnh bao gồm vi khuẩn Gram (+) và Gram (-), một số vi khuẩn nội bào như Ricketsia và một số loại vi khuẩn khác [9]. Với ưu điểm dược tính trên cùng chi phí sản xuất thấp nên nhóm kháng sinh này được sử dụng phổ biến rộng rãi trong việc điều trị bệnh cho con người, nuôi trồng thuỷ hải sản và chăn nuôi [7]. Trên phạm vi toàn cầu, TCs là nhóm kháng sinh có sản lượng lớn thứ hai và đứng đầu về nhu cầu tiêu thụ tại Trung Quốc [10]</w:t>
      </w:r>
      <w:r w:rsidR="003E7372">
        <w:t>.</w:t>
      </w:r>
    </w:p>
    <w:p w14:paraId="4C8F25A1" w14:textId="53310D21" w:rsidR="00DA4CA4" w:rsidRDefault="0047257F" w:rsidP="004A31B6">
      <w:pPr>
        <w:ind w:firstLine="390"/>
        <w:jc w:val="both"/>
        <w:rPr>
          <w:rFonts w:cs="Times New Roman"/>
          <w:bCs/>
          <w:szCs w:val="26"/>
        </w:rPr>
      </w:pPr>
      <w:r w:rsidRPr="006612D2">
        <w:rPr>
          <w:rFonts w:cs="Times New Roman"/>
          <w:bCs/>
          <w:szCs w:val="26"/>
        </w:rPr>
        <w:t>K</w:t>
      </w:r>
      <w:r w:rsidR="000B79D3" w:rsidRPr="006612D2">
        <w:rPr>
          <w:rFonts w:cs="Times New Roman"/>
          <w:bCs/>
          <w:szCs w:val="26"/>
        </w:rPr>
        <w:t>háng sin</w:t>
      </w:r>
      <w:r w:rsidR="00127C62">
        <w:rPr>
          <w:rFonts w:cs="Times New Roman"/>
          <w:bCs/>
          <w:szCs w:val="26"/>
        </w:rPr>
        <w:t xml:space="preserve">h </w:t>
      </w:r>
      <w:r w:rsidR="000B79D3" w:rsidRPr="006612D2">
        <w:rPr>
          <w:rFonts w:cs="Times New Roman"/>
          <w:bCs/>
          <w:szCs w:val="26"/>
        </w:rPr>
        <w:t>TC</w:t>
      </w:r>
      <w:r w:rsidR="00127C62">
        <w:rPr>
          <w:rFonts w:cs="Times New Roman"/>
          <w:bCs/>
          <w:szCs w:val="26"/>
        </w:rPr>
        <w:t xml:space="preserve"> có</w:t>
      </w:r>
      <w:r w:rsidR="002C7CBB">
        <w:rPr>
          <w:rFonts w:cs="Times New Roman"/>
          <w:bCs/>
          <w:szCs w:val="26"/>
        </w:rPr>
        <w:t xml:space="preserve"> thông tin được thể hiện</w:t>
      </w:r>
      <w:r w:rsidR="00CB5860">
        <w:rPr>
          <w:rFonts w:cs="Times New Roman"/>
          <w:bCs/>
          <w:szCs w:val="26"/>
        </w:rPr>
        <w:t xml:space="preserve"> </w:t>
      </w:r>
      <w:r w:rsidR="00014729">
        <w:t xml:space="preserve">Bảng </w:t>
      </w:r>
      <w:r w:rsidR="002C7CBB">
        <w:t>1.2</w:t>
      </w:r>
      <w:r w:rsidR="007E1EBF">
        <w:rPr>
          <w:rFonts w:cs="Times New Roman"/>
          <w:bCs/>
          <w:szCs w:val="26"/>
        </w:rPr>
        <w:t>.</w:t>
      </w:r>
      <w:r w:rsidR="00CB5860">
        <w:rPr>
          <w:rFonts w:cs="Times New Roman"/>
          <w:bCs/>
          <w:szCs w:val="26"/>
        </w:rPr>
        <w:t xml:space="preserve"> </w:t>
      </w:r>
      <w:r w:rsidR="000B79D3" w:rsidRPr="006612D2">
        <w:rPr>
          <w:rFonts w:cs="Times New Roman"/>
          <w:bCs/>
          <w:szCs w:val="26"/>
        </w:rPr>
        <w:t xml:space="preserve">Về ứng dụng thực tế, việc sử dụng TC trong y tế đã giảm </w:t>
      </w:r>
      <w:r w:rsidR="006612D2" w:rsidRPr="006612D2">
        <w:rPr>
          <w:rFonts w:cs="Times New Roman"/>
          <w:bCs/>
          <w:szCs w:val="26"/>
        </w:rPr>
        <w:t xml:space="preserve">dần </w:t>
      </w:r>
      <w:r w:rsidR="000B79D3" w:rsidRPr="006612D2">
        <w:rPr>
          <w:rFonts w:cs="Times New Roman"/>
          <w:bCs/>
          <w:szCs w:val="26"/>
        </w:rPr>
        <w:t>do</w:t>
      </w:r>
      <w:r w:rsidR="006612D2" w:rsidRPr="006612D2">
        <w:rPr>
          <w:rFonts w:cs="Times New Roman"/>
          <w:bCs/>
          <w:szCs w:val="26"/>
        </w:rPr>
        <w:t xml:space="preserve"> xuất hiện </w:t>
      </w:r>
      <w:r w:rsidR="000B79D3" w:rsidRPr="006612D2">
        <w:rPr>
          <w:rFonts w:cs="Times New Roman"/>
          <w:bCs/>
          <w:szCs w:val="26"/>
        </w:rPr>
        <w:t>sự</w:t>
      </w:r>
      <w:r w:rsidR="00002A14">
        <w:rPr>
          <w:rFonts w:cs="Times New Roman"/>
          <w:bCs/>
          <w:szCs w:val="26"/>
        </w:rPr>
        <w:t xml:space="preserve"> </w:t>
      </w:r>
      <w:r w:rsidR="000B79D3" w:rsidRPr="006612D2">
        <w:rPr>
          <w:rFonts w:cs="Times New Roman"/>
          <w:bCs/>
          <w:szCs w:val="26"/>
        </w:rPr>
        <w:t>kháng</w:t>
      </w:r>
      <w:r w:rsidR="00002A14">
        <w:rPr>
          <w:rFonts w:cs="Times New Roman"/>
          <w:bCs/>
          <w:szCs w:val="26"/>
        </w:rPr>
        <w:t xml:space="preserve"> kháng sinh</w:t>
      </w:r>
      <w:r w:rsidR="000B79D3" w:rsidRPr="006612D2">
        <w:rPr>
          <w:rFonts w:cs="Times New Roman"/>
          <w:bCs/>
          <w:szCs w:val="26"/>
        </w:rPr>
        <w:t xml:space="preserve"> và </w:t>
      </w:r>
      <w:r w:rsidR="006612D2" w:rsidRPr="006612D2">
        <w:rPr>
          <w:rFonts w:cs="Times New Roman"/>
          <w:bCs/>
          <w:szCs w:val="26"/>
        </w:rPr>
        <w:t xml:space="preserve">có </w:t>
      </w:r>
      <w:r w:rsidR="000B79D3" w:rsidRPr="006612D2">
        <w:rPr>
          <w:rFonts w:cs="Times New Roman"/>
          <w:bCs/>
          <w:szCs w:val="26"/>
        </w:rPr>
        <w:t>dược động học hạn chế (thời gian bán thải ngắn, hấp thu kém)</w:t>
      </w:r>
      <w:r w:rsidR="00DA1F7C">
        <w:rPr>
          <w:rFonts w:cs="Times New Roman"/>
          <w:bCs/>
          <w:szCs w:val="26"/>
        </w:rPr>
        <w:t xml:space="preserve"> </w:t>
      </w:r>
      <w:r w:rsidR="00DA1F7C">
        <w:rPr>
          <w:rFonts w:cs="Times New Roman"/>
          <w:bCs/>
          <w:szCs w:val="26"/>
        </w:rPr>
        <w:fldChar w:fldCharType="begin"/>
      </w:r>
      <w:r w:rsidR="000270E4">
        <w:rPr>
          <w:rFonts w:cs="Times New Roman"/>
          <w:bCs/>
          <w:szCs w:val="26"/>
        </w:rPr>
        <w:instrText xml:space="preserve"> ADDIN ZOTERO_ITEM CSL_CITATION {"citationID":"TXlFGc6x","properties":{"formattedCitation":"[49]","plainCitation":"[49]","noteIndex":0},"citationItems":[{"id":244,"uris":["http://zotero.org/users/12953706/items/PE57QKBR"],"itemData":{"id":244,"type":"article-journal","abstract":"The pharmacokinetics of tetracyclines and glycylcyclines are described in three groups. Group 1, the oldest group, represented by tetracycline, oxytetracycline, chlortetracycline, demeclocycline, lymecycline, methacycline and rolitetracycline is characterized by poor absorption after food. Group 2, represented by doxycycline and minocycline, is more reliably absorbed orally, while group 3, represented by the glycylcycline tigecycline, is injectable only, with an improved antibacterial spectrum compared with the tetracyclines. Though incompletely understood, the pharmacodynamic properties of the tetracyclines and glycylcyclines are summarized.","container-title":"The Journal of Antimicrobial Chemotherapy","DOI":"10.1093/jac/dkl224","ISSN":"0305-7453","issue":"2","journalAbbreviation":"J Antimicrob Chemother","language":"eng","note":"PMID: 16816396","page":"256-265","source":"PubMed","title":"Pharmacokinetics and pharmacodynamics of the tetracyclines including glycylcyclines","volume":"58","author":[{"family":"Agwuh","given":"Kenneth N."},{"family":"MacGowan","given":"Alasdair"}],"issued":{"date-parts":[["2006",8]]}}}],"schema":"https://github.com/citation-style-language/schema/raw/master/csl-citation.json"} </w:instrText>
      </w:r>
      <w:r w:rsidR="00DA1F7C">
        <w:rPr>
          <w:rFonts w:cs="Times New Roman"/>
          <w:bCs/>
          <w:szCs w:val="26"/>
        </w:rPr>
        <w:fldChar w:fldCharType="separate"/>
      </w:r>
      <w:r w:rsidR="000270E4" w:rsidRPr="000270E4">
        <w:rPr>
          <w:rFonts w:cs="Times New Roman"/>
        </w:rPr>
        <w:t>[49]</w:t>
      </w:r>
      <w:r w:rsidR="00DA1F7C">
        <w:rPr>
          <w:rFonts w:cs="Times New Roman"/>
          <w:bCs/>
          <w:szCs w:val="26"/>
        </w:rPr>
        <w:fldChar w:fldCharType="end"/>
      </w:r>
      <w:r w:rsidR="00C149AF">
        <w:rPr>
          <w:rFonts w:cs="Times New Roman"/>
          <w:bCs/>
          <w:szCs w:val="26"/>
        </w:rPr>
        <w:t>.</w:t>
      </w:r>
      <w:r w:rsidR="00F04CCA">
        <w:rPr>
          <w:rFonts w:cs="Times New Roman"/>
          <w:bCs/>
          <w:szCs w:val="26"/>
        </w:rPr>
        <w:t xml:space="preserve"> Tuy nhiên, </w:t>
      </w:r>
      <w:r w:rsidR="000B79D3" w:rsidRPr="006612D2">
        <w:rPr>
          <w:rFonts w:cs="Times New Roman"/>
          <w:bCs/>
          <w:szCs w:val="26"/>
        </w:rPr>
        <w:t>nhờ</w:t>
      </w:r>
      <w:r w:rsidR="00F04CCA">
        <w:rPr>
          <w:rFonts w:cs="Times New Roman"/>
          <w:bCs/>
          <w:szCs w:val="26"/>
        </w:rPr>
        <w:t xml:space="preserve"> giá thành rẻ</w:t>
      </w:r>
      <w:r w:rsidR="000B79D3" w:rsidRPr="006612D2">
        <w:rPr>
          <w:rFonts w:cs="Times New Roman"/>
          <w:bCs/>
          <w:szCs w:val="26"/>
        </w:rPr>
        <w:t xml:space="preserve">, đây vẫn là loại kháng sinh </w:t>
      </w:r>
      <w:r w:rsidR="00F04CCA">
        <w:rPr>
          <w:rFonts w:cs="Times New Roman"/>
          <w:bCs/>
          <w:szCs w:val="26"/>
        </w:rPr>
        <w:t>được sử dụng chính</w:t>
      </w:r>
      <w:r w:rsidR="000B79D3" w:rsidRPr="006612D2">
        <w:rPr>
          <w:rFonts w:cs="Times New Roman"/>
          <w:bCs/>
          <w:szCs w:val="26"/>
        </w:rPr>
        <w:t xml:space="preserve"> trong ngành chăn nuôi</w:t>
      </w:r>
      <w:r w:rsidR="00127C62">
        <w:rPr>
          <w:rFonts w:cs="Times New Roman"/>
          <w:bCs/>
          <w:szCs w:val="26"/>
        </w:rPr>
        <w:t xml:space="preserve"> như thú y hoặc nuôi trồng thuỷ h</w:t>
      </w:r>
      <w:r w:rsidR="00DA1F7C">
        <w:rPr>
          <w:rFonts w:cs="Times New Roman"/>
          <w:bCs/>
          <w:szCs w:val="26"/>
        </w:rPr>
        <w:t>ải sản</w:t>
      </w:r>
      <w:r w:rsidR="000B79D3" w:rsidRPr="006612D2">
        <w:rPr>
          <w:rFonts w:cs="Times New Roman"/>
          <w:bCs/>
          <w:szCs w:val="26"/>
        </w:rPr>
        <w:t xml:space="preserve"> toàn cầu</w:t>
      </w:r>
      <w:r w:rsidR="009F563D">
        <w:rPr>
          <w:rFonts w:cs="Times New Roman"/>
          <w:bCs/>
          <w:szCs w:val="26"/>
        </w:rPr>
        <w:t xml:space="preserve"> </w:t>
      </w:r>
      <w:r w:rsidR="009F563D">
        <w:rPr>
          <w:rFonts w:cs="Times New Roman"/>
          <w:bCs/>
          <w:szCs w:val="26"/>
        </w:rPr>
        <w:fldChar w:fldCharType="begin"/>
      </w:r>
      <w:r w:rsidR="000270E4">
        <w:rPr>
          <w:rFonts w:cs="Times New Roman"/>
          <w:bCs/>
          <w:szCs w:val="26"/>
        </w:rPr>
        <w:instrText xml:space="preserve"> ADDIN ZOTERO_ITEM CSL_CITATION {"citationID":"LR5aPPI8","properties":{"formattedCitation":"[49]","plainCitation":"[49]","noteIndex":0},"citationItems":[{"id":244,"uris":["http://zotero.org/users/12953706/items/PE57QKBR"],"itemData":{"id":244,"type":"article-journal","abstract":"The pharmacokinetics of tetracyclines and glycylcyclines are described in three groups. Group 1, the oldest group, represented by tetracycline, oxytetracycline, chlortetracycline, demeclocycline, lymecycline, methacycline and rolitetracycline is characterized by poor absorption after food. Group 2, represented by doxycycline and minocycline, is more reliably absorbed orally, while group 3, represented by the glycylcycline tigecycline, is injectable only, with an improved antibacterial spectrum compared with the tetracyclines. Though incompletely understood, the pharmacodynamic properties of the tetracyclines and glycylcyclines are summarized.","container-title":"The Journal of Antimicrobial Chemotherapy","DOI":"10.1093/jac/dkl224","ISSN":"0305-7453","issue":"2","journalAbbreviation":"J Antimicrob Chemother","language":"eng","note":"PMID: 16816396","page":"256-265","source":"PubMed","title":"Pharmacokinetics and pharmacodynamics of the tetracyclines including glycylcyclines","volume":"58","author":[{"family":"Agwuh","given":"Kenneth N."},{"family":"MacGowan","given":"Alasdair"}],"issued":{"date-parts":[["2006",8]]}}}],"schema":"https://github.com/citation-style-language/schema/raw/master/csl-citation.json"} </w:instrText>
      </w:r>
      <w:r w:rsidR="009F563D">
        <w:rPr>
          <w:rFonts w:cs="Times New Roman"/>
          <w:bCs/>
          <w:szCs w:val="26"/>
        </w:rPr>
        <w:fldChar w:fldCharType="separate"/>
      </w:r>
      <w:r w:rsidR="000270E4" w:rsidRPr="000270E4">
        <w:rPr>
          <w:rFonts w:cs="Times New Roman"/>
        </w:rPr>
        <w:t>[49]</w:t>
      </w:r>
      <w:r w:rsidR="009F563D">
        <w:rPr>
          <w:rFonts w:cs="Times New Roman"/>
          <w:bCs/>
          <w:szCs w:val="26"/>
        </w:rPr>
        <w:fldChar w:fldCharType="end"/>
      </w:r>
      <w:r w:rsidR="000B79D3" w:rsidRPr="006612D2">
        <w:rPr>
          <w:rFonts w:cs="Times New Roman"/>
          <w:bCs/>
          <w:szCs w:val="26"/>
        </w:rPr>
        <w:t xml:space="preserve">. </w:t>
      </w:r>
    </w:p>
    <w:p w14:paraId="26C64032" w14:textId="68A47C8C" w:rsidR="00D1647D" w:rsidRDefault="00D1647D" w:rsidP="00A36209">
      <w:pPr>
        <w:pStyle w:val="Caption"/>
        <w:keepNext/>
        <w:spacing w:after="240"/>
        <w:ind w:firstLine="0"/>
      </w:pPr>
      <w:bookmarkStart w:id="3" w:name="_Toc218004835"/>
      <w:r>
        <w:t xml:space="preserve">Bảng </w:t>
      </w:r>
      <w:r w:rsidR="00CF0C31">
        <w:fldChar w:fldCharType="begin"/>
      </w:r>
      <w:r w:rsidR="00CF0C31">
        <w:instrText xml:space="preserve"> STYLEREF 1 \</w:instrText>
      </w:r>
      <w:r w:rsidR="00CF0C31">
        <w:instrText xml:space="preserve">s </w:instrText>
      </w:r>
      <w:r w:rsidR="00CF0C31">
        <w:fldChar w:fldCharType="separate"/>
      </w:r>
      <w:r w:rsidR="009801F7">
        <w:rPr>
          <w:noProof/>
        </w:rPr>
        <w:t>1</w:t>
      </w:r>
      <w:r w:rsidR="00CF0C31">
        <w:rPr>
          <w:noProof/>
        </w:rPr>
        <w:fldChar w:fldCharType="end"/>
      </w:r>
      <w:r w:rsidR="00CF487F">
        <w:t>.</w:t>
      </w:r>
      <w:fldSimple w:instr=" SEQ Bảng_ \* ARABIC \s 1 ">
        <w:r w:rsidR="009801F7">
          <w:rPr>
            <w:noProof/>
          </w:rPr>
          <w:t>2</w:t>
        </w:r>
      </w:fldSimple>
      <w:r w:rsidR="00014729">
        <w:t>.</w:t>
      </w:r>
      <w:r>
        <w:t xml:space="preserve"> </w:t>
      </w:r>
      <w:r w:rsidR="004F4654">
        <w:t>Thông tin chung về kháng sinh TC</w:t>
      </w:r>
      <w:bookmarkEnd w:id="3"/>
    </w:p>
    <w:tbl>
      <w:tblPr>
        <w:tblStyle w:val="TableGrid"/>
        <w:tblW w:w="0" w:type="auto"/>
        <w:jc w:val="center"/>
        <w:tblLook w:val="04A0" w:firstRow="1" w:lastRow="0" w:firstColumn="1" w:lastColumn="0" w:noHBand="0" w:noVBand="1"/>
      </w:tblPr>
      <w:tblGrid>
        <w:gridCol w:w="2536"/>
        <w:gridCol w:w="5609"/>
      </w:tblGrid>
      <w:tr w:rsidR="00F838E7" w14:paraId="1C6098B1" w14:textId="77777777" w:rsidTr="000273F2">
        <w:trPr>
          <w:jc w:val="center"/>
        </w:trPr>
        <w:tc>
          <w:tcPr>
            <w:tcW w:w="2536" w:type="dxa"/>
          </w:tcPr>
          <w:p w14:paraId="286D1AF9" w14:textId="77777777" w:rsidR="00F838E7" w:rsidRDefault="00F838E7" w:rsidP="00F31D9D">
            <w:pPr>
              <w:ind w:firstLine="0"/>
              <w:rPr>
                <w:rFonts w:cs="Times New Roman"/>
                <w:bCs/>
                <w:szCs w:val="26"/>
              </w:rPr>
            </w:pPr>
            <w:r>
              <w:rPr>
                <w:rFonts w:cs="Times New Roman"/>
                <w:bCs/>
                <w:szCs w:val="26"/>
              </w:rPr>
              <w:t>Công thức phân tử</w:t>
            </w:r>
          </w:p>
        </w:tc>
        <w:tc>
          <w:tcPr>
            <w:tcW w:w="5609" w:type="dxa"/>
            <w:vAlign w:val="center"/>
          </w:tcPr>
          <w:p w14:paraId="7CB08EBB" w14:textId="77777777" w:rsidR="00F838E7" w:rsidRPr="00C66FEE" w:rsidRDefault="00F838E7" w:rsidP="0091644C">
            <w:pPr>
              <w:ind w:firstLine="0"/>
              <w:jc w:val="center"/>
              <w:rPr>
                <w:rFonts w:cs="Times New Roman"/>
                <w:bCs/>
                <w:szCs w:val="26"/>
                <w:vertAlign w:val="subscript"/>
              </w:rPr>
            </w:pPr>
            <w:r>
              <w:rPr>
                <w:rFonts w:cs="Times New Roman"/>
                <w:bCs/>
                <w:szCs w:val="26"/>
              </w:rPr>
              <w:t>C</w:t>
            </w:r>
            <w:r>
              <w:rPr>
                <w:rFonts w:cs="Times New Roman"/>
                <w:bCs/>
                <w:szCs w:val="26"/>
                <w:vertAlign w:val="subscript"/>
              </w:rPr>
              <w:t>22</w:t>
            </w:r>
            <w:r>
              <w:rPr>
                <w:rFonts w:cs="Times New Roman"/>
                <w:bCs/>
                <w:szCs w:val="26"/>
              </w:rPr>
              <w:t>H</w:t>
            </w:r>
            <w:r>
              <w:rPr>
                <w:rFonts w:cs="Times New Roman"/>
                <w:bCs/>
                <w:szCs w:val="26"/>
                <w:vertAlign w:val="subscript"/>
              </w:rPr>
              <w:t>24</w:t>
            </w:r>
            <w:r>
              <w:rPr>
                <w:rFonts w:cs="Times New Roman"/>
                <w:bCs/>
                <w:szCs w:val="26"/>
              </w:rPr>
              <w:t>N</w:t>
            </w:r>
            <w:r>
              <w:rPr>
                <w:rFonts w:cs="Times New Roman"/>
                <w:bCs/>
                <w:szCs w:val="26"/>
                <w:vertAlign w:val="subscript"/>
              </w:rPr>
              <w:t>2</w:t>
            </w:r>
            <w:r>
              <w:rPr>
                <w:rFonts w:cs="Times New Roman"/>
                <w:bCs/>
                <w:szCs w:val="26"/>
              </w:rPr>
              <w:t>O</w:t>
            </w:r>
            <w:r>
              <w:rPr>
                <w:rFonts w:cs="Times New Roman"/>
                <w:bCs/>
                <w:szCs w:val="26"/>
                <w:vertAlign w:val="subscript"/>
              </w:rPr>
              <w:t>8</w:t>
            </w:r>
          </w:p>
        </w:tc>
      </w:tr>
      <w:tr w:rsidR="00F838E7" w14:paraId="0974A0DA" w14:textId="77777777" w:rsidTr="000273F2">
        <w:trPr>
          <w:jc w:val="center"/>
        </w:trPr>
        <w:tc>
          <w:tcPr>
            <w:tcW w:w="2536" w:type="dxa"/>
          </w:tcPr>
          <w:p w14:paraId="40CE8269" w14:textId="77777777" w:rsidR="00F838E7" w:rsidRDefault="00F838E7" w:rsidP="00014729">
            <w:pPr>
              <w:ind w:firstLine="0"/>
              <w:rPr>
                <w:rFonts w:cs="Times New Roman"/>
                <w:bCs/>
                <w:szCs w:val="26"/>
              </w:rPr>
            </w:pPr>
            <w:r>
              <w:rPr>
                <w:rFonts w:cs="Times New Roman"/>
                <w:bCs/>
                <w:szCs w:val="26"/>
              </w:rPr>
              <w:t>Công thức cấu tạo</w:t>
            </w:r>
          </w:p>
        </w:tc>
        <w:tc>
          <w:tcPr>
            <w:tcW w:w="5609" w:type="dxa"/>
          </w:tcPr>
          <w:p w14:paraId="4D6DD441" w14:textId="188AEC33" w:rsidR="00F838E7" w:rsidRDefault="003169B6" w:rsidP="00D94AFD">
            <w:pPr>
              <w:jc w:val="center"/>
              <w:rPr>
                <w:rFonts w:cs="Times New Roman"/>
                <w:bCs/>
                <w:szCs w:val="26"/>
              </w:rPr>
            </w:pPr>
            <w:r>
              <w:rPr>
                <w:noProof/>
              </w:rPr>
              <w:t xml:space="preserve"> </w:t>
            </w:r>
            <w:r w:rsidR="00F838E7">
              <w:rPr>
                <w:noProof/>
                <w:lang w:eastAsia="en-US"/>
              </w:rPr>
              <w:drawing>
                <wp:inline distT="0" distB="0" distL="0" distR="0" wp14:anchorId="11EC82C0" wp14:editId="3960B8D9">
                  <wp:extent cx="2880000" cy="1522073"/>
                  <wp:effectExtent l="0" t="0" r="0" b="0"/>
                  <wp:docPr id="13" name="Picture 1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522073"/>
                          </a:xfrm>
                          <a:prstGeom prst="rect">
                            <a:avLst/>
                          </a:prstGeom>
                          <a:noFill/>
                          <a:ln>
                            <a:noFill/>
                          </a:ln>
                        </pic:spPr>
                      </pic:pic>
                    </a:graphicData>
                  </a:graphic>
                </wp:inline>
              </w:drawing>
            </w:r>
          </w:p>
        </w:tc>
      </w:tr>
      <w:tr w:rsidR="00F838E7" w14:paraId="1CF97378" w14:textId="77777777" w:rsidTr="000273F2">
        <w:trPr>
          <w:trHeight w:val="373"/>
          <w:jc w:val="center"/>
        </w:trPr>
        <w:tc>
          <w:tcPr>
            <w:tcW w:w="2536" w:type="dxa"/>
          </w:tcPr>
          <w:p w14:paraId="5A4B7980" w14:textId="601F88E7" w:rsidR="00F838E7" w:rsidRDefault="00F838E7" w:rsidP="00014729">
            <w:pPr>
              <w:ind w:firstLine="0"/>
              <w:rPr>
                <w:rFonts w:cs="Times New Roman"/>
                <w:bCs/>
                <w:szCs w:val="26"/>
              </w:rPr>
            </w:pPr>
            <w:r>
              <w:rPr>
                <w:rFonts w:cs="Times New Roman"/>
                <w:bCs/>
                <w:szCs w:val="26"/>
              </w:rPr>
              <w:lastRenderedPageBreak/>
              <w:t>Trọng lượng phân tử</w:t>
            </w:r>
          </w:p>
        </w:tc>
        <w:tc>
          <w:tcPr>
            <w:tcW w:w="5609" w:type="dxa"/>
          </w:tcPr>
          <w:p w14:paraId="1C810715" w14:textId="77777777" w:rsidR="00F838E7" w:rsidRDefault="00F838E7" w:rsidP="00D94AFD">
            <w:pPr>
              <w:jc w:val="center"/>
              <w:rPr>
                <w:rFonts w:cs="Times New Roman"/>
                <w:bCs/>
                <w:szCs w:val="26"/>
              </w:rPr>
            </w:pPr>
            <w:r>
              <w:rPr>
                <w:rFonts w:cs="Times New Roman"/>
                <w:bCs/>
                <w:szCs w:val="26"/>
              </w:rPr>
              <w:t>444,4 g/mol</w:t>
            </w:r>
          </w:p>
        </w:tc>
      </w:tr>
    </w:tbl>
    <w:p w14:paraId="67832511" w14:textId="1BA83B4F" w:rsidR="009E4D20" w:rsidRPr="00460134" w:rsidRDefault="00A2538B" w:rsidP="00A70516">
      <w:pPr>
        <w:pStyle w:val="Heading3"/>
      </w:pPr>
      <w:bookmarkStart w:id="4" w:name="_Toc233142623"/>
      <w:r w:rsidRPr="00460134">
        <w:t>Hiện trạng</w:t>
      </w:r>
      <w:r w:rsidR="009E4D20" w:rsidRPr="00460134">
        <w:t xml:space="preserve"> </w:t>
      </w:r>
      <w:r w:rsidR="00F62B6F">
        <w:t xml:space="preserve">ô </w:t>
      </w:r>
      <w:r w:rsidR="009E4D20" w:rsidRPr="00460134">
        <w:t>nhiễm kháng sinh Tetracycline</w:t>
      </w:r>
      <w:bookmarkEnd w:id="4"/>
    </w:p>
    <w:p w14:paraId="2203F543" w14:textId="3C417D0E" w:rsidR="005F4B2C" w:rsidRPr="00E34D3A" w:rsidRDefault="00F7787C" w:rsidP="0014416E">
      <w:pPr>
        <w:ind w:firstLine="454"/>
        <w:jc w:val="both"/>
      </w:pPr>
      <w:r>
        <w:t>Việc lạm dụng phổ biến hợp chất này trong nhiều thập kỷ qua đã</w:t>
      </w:r>
      <w:r w:rsidR="006E18C2">
        <w:t xml:space="preserve"> ghi nhận</w:t>
      </w:r>
      <w:r>
        <w:t xml:space="preserve"> </w:t>
      </w:r>
      <w:r w:rsidR="00293678">
        <w:t xml:space="preserve">ảnh hưởng </w:t>
      </w:r>
      <w:r w:rsidR="006E18C2">
        <w:t>của chúng</w:t>
      </w:r>
      <w:r w:rsidR="00293678">
        <w:t xml:space="preserve"> đến vấn đề ô nhiễm môi trường</w:t>
      </w:r>
      <w:r w:rsidR="006E18C2">
        <w:t xml:space="preserve"> nước thải. </w:t>
      </w:r>
      <w:r w:rsidR="00CB0D3C">
        <w:t xml:space="preserve">Khi </w:t>
      </w:r>
      <w:r w:rsidR="00293678">
        <w:t xml:space="preserve">được </w:t>
      </w:r>
      <w:r w:rsidR="00CB0D3C">
        <w:t xml:space="preserve">sử dụng, một phần kháng sinh TC </w:t>
      </w:r>
      <w:r w:rsidR="00BC1546">
        <w:t>được chuyển hoá thành các hợp chất không hoạt động</w:t>
      </w:r>
      <w:r w:rsidR="00453460">
        <w:t xml:space="preserve"> </w:t>
      </w:r>
      <w:r w:rsidR="00453460">
        <w:fldChar w:fldCharType="begin"/>
      </w:r>
      <w:r w:rsidR="000270E4">
        <w:instrText xml:space="preserve"> ADDIN ZOTERO_ITEM CSL_CITATION {"citationID":"z2QBXDiT","properties":{"formattedCitation":"[50]","plainCitation":"[50]","noteIndex":0},"citationItems":[{"id":246,"uris":["http://zotero.org/users/12953706/items/XAWGELDZ"],"itemData":{"id":246,"type":"article-journal","abstract":"Increasing attention is now being paid to antibiotic contamination as a serious environmental issue. Chlortetracycline has been widely used for decades as a human and veterinary medicine, which has resulted in environmental residues and damage to living organisms. In the present study, the physiological and potential genetic toxicity of chlortetracycline was investigated using a wheat (Triticum aestivum L.) bioassay at a concentration range of 0.0625 to 300 mg/L and an exposure time of 24, 48, and 72 h. The results indicated that chlortetracycline at the lower concentrations stimulated germination and cell mitotic division and growth, whereas higher concentrations significantly inhibited processes such as bud length (50-300 mg/L), percentage germination (25-300 mg/L), root length (25-300 mg/L), and mitotic index (MI) (25-300 mg/L). The lowest concentration of chlortetracycline slightly augmented the frequency of micronucleus (MN), chomosomal aberration (CA), and sister chomatid exchange (SCE) in the root tips; however, significant (p &lt; 0.05 and 0.01) levels of augmentation were observed at higher concentrations in a concentration-dependent manner, including the frequencies of MN (25-200 mg/L), CA (10-200 mg/L), and SCE (5-200 mg/L), respectively. The inducement of MN, CA, and SCE decreased at 250 and 300 mg/L as a result of acute cell toxicity. In addition, all endpoints showed a time-dependent increase at 0.0625 to 200 mg/L. These results imply that chlortetracycline (&gt;or=5 mg/L) may be genotoxic to plant cells, and exposure to chlortetracycline may pose a potential genotoxic risk to living organisms. Comparatively, SCE was the most sensitive, followed by CA, and MN was the least sensitive to chlortetracycline genotoxicity in wheat. The results also suggest that the wheat bioassay is efficient, simple, and reproducible for monitoring the genotoxicity of chlortetracycline in the environment.","container-title":"Environmental Toxicology and Chemistry","DOI":"10.1002/etc.79","ISSN":"0730-7268","issue":"4","journalAbbreviation":"Environ Toxicol Chem","language":"eng","note":"PMID: 20821522","page":"922-928","source":"PubMed","title":"Physiological and potential genetic toxicity of chlortetracycline as an emerging pollutant in wheat (Triticum aestivum L.)","volume":"29","author":[{"family":"Xie","given":"Xiujie"},{"family":"Zhou","given":"Qixing"},{"family":"He","given":"Zhangchun"},{"family":"Bao","given":"Yanyu"}],"issued":{"date-parts":[["2010",4]]}}}],"schema":"https://github.com/citation-style-language/schema/raw/master/csl-citation.json"} </w:instrText>
      </w:r>
      <w:r w:rsidR="00453460">
        <w:fldChar w:fldCharType="separate"/>
      </w:r>
      <w:r w:rsidR="000270E4" w:rsidRPr="000270E4">
        <w:rPr>
          <w:rFonts w:cs="Times New Roman"/>
        </w:rPr>
        <w:t>[50]</w:t>
      </w:r>
      <w:r w:rsidR="00453460">
        <w:fldChar w:fldCharType="end"/>
      </w:r>
      <w:r w:rsidR="00BC1546">
        <w:t>. Một phần khác không được hấp thụ và bài tiết ra dưới dạng các hợp chất ban đầu, sản phẩm chuyển hoá hoặc cả hai dạng trên</w:t>
      </w:r>
      <w:r w:rsidR="00192196">
        <w:t xml:space="preserve"> </w:t>
      </w:r>
      <w:r w:rsidR="00192196">
        <w:fldChar w:fldCharType="begin"/>
      </w:r>
      <w:r w:rsidR="000270E4">
        <w:instrText xml:space="preserve"> ADDIN ZOTERO_ITEM CSL_CITATION {"citationID":"YZPwLDi4","properties":{"formattedCitation":"[50]","plainCitation":"[50]","noteIndex":0},"citationItems":[{"id":246,"uris":["http://zotero.org/users/12953706/items/XAWGELDZ"],"itemData":{"id":246,"type":"article-journal","abstract":"Increasing attention is now being paid to antibiotic contamination as a serious environmental issue. Chlortetracycline has been widely used for decades as a human and veterinary medicine, which has resulted in environmental residues and damage to living organisms. In the present study, the physiological and potential genetic toxicity of chlortetracycline was investigated using a wheat (Triticum aestivum L.) bioassay at a concentration range of 0.0625 to 300 mg/L and an exposure time of 24, 48, and 72 h. The results indicated that chlortetracycline at the lower concentrations stimulated germination and cell mitotic division and growth, whereas higher concentrations significantly inhibited processes such as bud length (50-300 mg/L), percentage germination (25-300 mg/L), root length (25-300 mg/L), and mitotic index (MI) (25-300 mg/L). The lowest concentration of chlortetracycline slightly augmented the frequency of micronucleus (MN), chomosomal aberration (CA), and sister chomatid exchange (SCE) in the root tips; however, significant (p &lt; 0.05 and 0.01) levels of augmentation were observed at higher concentrations in a concentration-dependent manner, including the frequencies of MN (25-200 mg/L), CA (10-200 mg/L), and SCE (5-200 mg/L), respectively. The inducement of MN, CA, and SCE decreased at 250 and 300 mg/L as a result of acute cell toxicity. In addition, all endpoints showed a time-dependent increase at 0.0625 to 200 mg/L. These results imply that chlortetracycline (&gt;or=5 mg/L) may be genotoxic to plant cells, and exposure to chlortetracycline may pose a potential genotoxic risk to living organisms. Comparatively, SCE was the most sensitive, followed by CA, and MN was the least sensitive to chlortetracycline genotoxicity in wheat. The results also suggest that the wheat bioassay is efficient, simple, and reproducible for monitoring the genotoxicity of chlortetracycline in the environment.","container-title":"Environmental Toxicology and Chemistry","DOI":"10.1002/etc.79","ISSN":"0730-7268","issue":"4","journalAbbreviation":"Environ Toxicol Chem","language":"eng","note":"PMID: 20821522","page":"922-928","source":"PubMed","title":"Physiological and potential genetic toxicity of chlortetracycline as an emerging pollutant in wheat (Triticum aestivum L.)","volume":"29","author":[{"family":"Xie","given":"Xiujie"},{"family":"Zhou","given":"Qixing"},{"family":"He","given":"Zhangchun"},{"family":"Bao","given":"Yanyu"}],"issued":{"date-parts":[["2010",4]]}}}],"schema":"https://github.com/citation-style-language/schema/raw/master/csl-citation.json"} </w:instrText>
      </w:r>
      <w:r w:rsidR="00192196">
        <w:fldChar w:fldCharType="separate"/>
      </w:r>
      <w:r w:rsidR="000270E4" w:rsidRPr="000270E4">
        <w:rPr>
          <w:rFonts w:cs="Times New Roman"/>
        </w:rPr>
        <w:t>[50]</w:t>
      </w:r>
      <w:r w:rsidR="00192196">
        <w:fldChar w:fldCharType="end"/>
      </w:r>
      <w:r w:rsidR="00BC1546">
        <w:t xml:space="preserve">. </w:t>
      </w:r>
      <w:r w:rsidR="00C93DA9">
        <w:t>Loại kháng sinh này</w:t>
      </w:r>
      <w:r w:rsidR="00F344ED">
        <w:t xml:space="preserve"> có </w:t>
      </w:r>
      <w:r w:rsidR="00C93DA9">
        <w:t>tỷ lệ bài tiết tương đối cao, khoảng từ 80</w:t>
      </w:r>
      <w:r w:rsidR="00C35ED3">
        <w:t>–</w:t>
      </w:r>
      <w:r w:rsidR="00C93DA9">
        <w:t>90%</w:t>
      </w:r>
      <w:r w:rsidR="00192196">
        <w:t xml:space="preserve"> </w:t>
      </w:r>
      <w:r w:rsidR="00192196">
        <w:fldChar w:fldCharType="begin"/>
      </w:r>
      <w:r w:rsidR="000270E4">
        <w:instrText xml:space="preserve"> ADDIN ZOTERO_ITEM CSL_CITATION {"citationID":"zP3hBAz9","properties":{"formattedCitation":"[51]","plainCitation":"[51]","noteIndex":0},"citationItems":[{"id":248,"uris":["http://zotero.org/users/12953706/items/95GYK7PE"],"itemData":{"id":248,"type":"article-journal","abstract":"Among all emerging substances in water, pharmaceutical products (PPs) and residues are a lot of concern. These last two years, the number of studies has increased drastically, however much less for water resources and drinking water than for wastewater. This literature review based on recent works, deals with water resources (surface or groundwater), focusing on characteristics, occurrence and fate of numerous PPs studied, and drinking water including water quality. Through this review, it appears that the pharmaceutical risk must be considered even in drinking water where concentrations are very low. Moreover, there is a lack of research for by-products (metabolites and transformation products) characterization, occurrence and fate in all water types and especially in drinking water.","collection-title":"Pharmaceutical products in the environment: trends toward lowering presence and impact","container-title":"Environment International","DOI":"10.1016/j.envint.2008.10.008","ISSN":"0160-4120","issue":"5","journalAbbreviation":"Environment International","page":"803-814","source":"ScienceDirect","title":"Occurrence and fate of pharmaceutical products and by-products, from resource to drinking water","volume":"35","author":[{"family":"Mompelat","given":"S."},{"family":"Le Bot","given":"B."},{"family":"Thomas","given":"O."}],"issued":{"date-parts":[["2009",7,1]]}}}],"schema":"https://github.com/citation-style-language/schema/raw/master/csl-citation.json"} </w:instrText>
      </w:r>
      <w:r w:rsidR="00192196">
        <w:fldChar w:fldCharType="separate"/>
      </w:r>
      <w:r w:rsidR="000270E4" w:rsidRPr="000270E4">
        <w:rPr>
          <w:rFonts w:cs="Times New Roman"/>
        </w:rPr>
        <w:t>[51]</w:t>
      </w:r>
      <w:r w:rsidR="00192196">
        <w:fldChar w:fldCharType="end"/>
      </w:r>
      <w:r w:rsidR="00C93DA9">
        <w:t>.</w:t>
      </w:r>
      <w:r w:rsidR="00980925">
        <w:t xml:space="preserve"> Khi t</w:t>
      </w:r>
      <w:r w:rsidR="00D839B5">
        <w:t>hải ra</w:t>
      </w:r>
      <w:r w:rsidR="00980925">
        <w:t xml:space="preserve"> trong môi trường, nhóm kháng sinh TCs có thời gian bán huỷ dài trong môi trường nước (34</w:t>
      </w:r>
      <w:r w:rsidR="00882FCC" w:rsidRPr="00285EFA">
        <w:rPr>
          <w:rFonts w:eastAsia="Calibri"/>
          <w:lang w:eastAsia="en-US"/>
        </w:rPr>
        <w:t>–</w:t>
      </w:r>
      <w:r w:rsidR="00980925">
        <w:t xml:space="preserve">329 giờ) </w:t>
      </w:r>
      <w:r w:rsidR="000A3E9F">
        <w:fldChar w:fldCharType="begin"/>
      </w:r>
      <w:r w:rsidR="000270E4">
        <w:instrText xml:space="preserve"> ADDIN ZOTERO_ITEM CSL_CITATION {"citationID":"WCpSEHk8","properties":{"formattedCitation":"[52]","plainCitation":"[52]","noteIndex":0},"citationItems":[{"id":254,"uris":["http://zotero.org/users/12953706/items/FBBL6ZC4"],"itemData":{"id":254,"type":"article-journal","abstract":"Tetracyclines (TCs), used as human and veterinary medicines, are the most widely used antibiotics. More than 75% of TCs are excreted in an active form and released into the environment through human and animal urine and feces, causing adverse effects on the ecological system and human health. Few articles review the environmental occurrence and behaviors of TCs, as well as their risks and toxicities. Here, we comprehensively summarized the recent advances on the following important issues: (1) Environmental occurrence of TCs. TCs are used globally and their occurrence in the aquatic environment has been documented, including surface water, groundwater, drinking water, wastewater, sediment, and sludge. (2) Environmental behaviors of TCs, particularly the fate of TCs in wastewater treatment plants (WWTPs). Most WWTPs cannot effectively remove TCs from wastewater, so alternative methods for efficient removal of TCs need to be developed. The latest degradation methods of TCs are summarized, including adsorption, photocatalytic, photochemical and electrochemical, and biological degradations. (3) Toxicities and possible risks of TCs. The toxicological data of TCs indicate that several TCs are more toxic to algae than fish and daphnia. Risk assessments based on individual compound exposure indicate that the risks arising from the current concentrations of TCs in the aquatic environment cannot be ignored.","container-title":"Science of The Total Environment","DOI":"10.1016/j.scitotenv.2020.141975","ISSN":"0048-9697","journalAbbreviation":"Science of The Total Environment","page":"141975","source":"ScienceDirect","title":"Occurrence, fate, and risk assessment of typical tetracycline antibiotics in the aquatic environment: A review","title-short":"Occurrence, fate, and risk assessment of typical tetracycline antibiotics in the aquatic environment","volume":"753","author":[{"family":"Xu","given":"Longyao"},{"family":"Zhang","given":"He"},{"family":"Xiong","given":"Ping"},{"family":"Zhu","given":"Qingqing"},{"family":"Liao","given":"Chunyang"},{"family":"Jiang","given":"Guibin"}],"issued":{"date-parts":[["2021",1,20]]}}}],"schema":"https://github.com/citation-style-language/schema/raw/master/csl-citation.json"} </w:instrText>
      </w:r>
      <w:r w:rsidR="000A3E9F">
        <w:fldChar w:fldCharType="separate"/>
      </w:r>
      <w:r w:rsidR="000270E4" w:rsidRPr="000270E4">
        <w:rPr>
          <w:rFonts w:cs="Times New Roman"/>
        </w:rPr>
        <w:t>[52]</w:t>
      </w:r>
      <w:r w:rsidR="000A3E9F">
        <w:fldChar w:fldCharType="end"/>
      </w:r>
      <w:r w:rsidR="00980925">
        <w:t>.</w:t>
      </w:r>
      <w:r w:rsidR="004D023C">
        <w:t xml:space="preserve"> </w:t>
      </w:r>
      <w:r w:rsidR="00C149AF">
        <w:t>Phần lớn</w:t>
      </w:r>
      <w:r w:rsidR="00274A51">
        <w:t xml:space="preserve"> dư lượng</w:t>
      </w:r>
      <w:r w:rsidR="00C149AF">
        <w:t xml:space="preserve"> kháng sinh </w:t>
      </w:r>
      <w:r w:rsidR="00AD2B75">
        <w:t>TC</w:t>
      </w:r>
      <w:r w:rsidR="00C149AF">
        <w:t xml:space="preserve"> </w:t>
      </w:r>
      <w:r w:rsidR="00274A51">
        <w:t>phát hiện được ngoài môi trường có nguồn gốc là chất thải</w:t>
      </w:r>
      <w:r w:rsidR="00C149AF">
        <w:t xml:space="preserve"> ra qua nước tiểu và phân từ người và động vật sau khi dùng thuố</w:t>
      </w:r>
      <w:r w:rsidR="00C149AF" w:rsidRPr="003F1158">
        <w:t>c</w:t>
      </w:r>
      <w:r w:rsidR="00453460">
        <w:t xml:space="preserve"> </w:t>
      </w:r>
      <w:r w:rsidR="00453460">
        <w:fldChar w:fldCharType="begin"/>
      </w:r>
      <w:r w:rsidR="001B5639">
        <w:instrText xml:space="preserve"> ADDIN ZOTERO_ITEM CSL_CITATION {"citationID":"2cVIIMhv","properties":{"formattedCitation":"[7]","plainCitation":"[7]","noteIndex":0},"citationItems":[{"id":179,"uris":["http://zotero.org/users/12953706/items/AAQC5Z4R"],"itemData":{"id":179,"type":"article-journal","abstract":"Tetracycline antibiotics are one of the primarily antibiotics groups used for veterinary purposes, for human therapy and for agricultural purposes. Amongst the different antibiotics used, more attention is paid to tetracycline’s as it exhibits serious environmental problems including ecological risks and human health damages. Due to their extensive usage, most of the actual evidence suggests that tetracycline antibiotics are omnipresent compounds found in different ecological compartments. After medication, more than 70 % of tetracycline antibiotics are excreted and released in active form into the environment via urine and feces from humans and animals. Their highly hydrophilic character and low volatility have resulted in significant persistence in the aquatic environment. Very few studies describe the fate and toxicity of tetracycline antibiotics in the environment. Here, we review several important issues with regard to: (1) the toxicity of these compounds on aquatic and terrestrial organisms; (2) their estrogenic effects; (3) their behavior in different ecological systems and; (4) the by-products generated during water treatment. These antibiotics residues promote the development of antibiotic resistant microorganisms, which can induce adverse effect to human health by increasing the risk of certain infections. Based on recent research results, the occurrence of tetracycline antibiotics in the environment inhibits the growth of some terrestrial and aquatic species. Besides, the residual concentrations of such drugs could affect steroidogenic pathway and consequently may cause endocrine disruption of aquatic species. Most of the wastewater treatment plants are not capable of removing effectively the tetracycline antibiotics. Therefore, there is a need to develop alternative processes to remove them from waters. Advanced oxidation processes have been proposed as alternative methods to ensure higher degradation and mineralization of tetracycline antibiotics are present in waters.","container-title":"Environmental Chemistry Letters","DOI":"10.1007/s10311-013-0404-8","ISSN":"1610-3661","issue":"3","journalAbbreviation":"Environ Chem Lett","language":"en","page":"209-227","source":"Springer Link","title":"Tetracycline antibiotics in the environment: a review","title-short":"Tetracycline antibiotics in the environment","volume":"11","author":[{"family":"Daghrir","given":"R."},{"family":"Drogui","given":"P."}],"issued":{"date-parts":[["2013",9,1]]}}}],"schema":"https://github.com/citation-style-language/schema/raw/master/csl-citation.json"} </w:instrText>
      </w:r>
      <w:r w:rsidR="00453460">
        <w:fldChar w:fldCharType="separate"/>
      </w:r>
      <w:r w:rsidR="001B5639" w:rsidRPr="001B5639">
        <w:rPr>
          <w:rFonts w:cs="Times New Roman"/>
        </w:rPr>
        <w:t>[7]</w:t>
      </w:r>
      <w:r w:rsidR="00453460">
        <w:fldChar w:fldCharType="end"/>
      </w:r>
      <w:r w:rsidR="00C149AF" w:rsidRPr="003F1158">
        <w:t>.</w:t>
      </w:r>
      <w:r w:rsidR="00CD20E7">
        <w:t xml:space="preserve"> </w:t>
      </w:r>
      <w:r w:rsidR="00C149AF">
        <w:t>Khi kháng sinh tetracycline thải ra từ động vật, phân có thể làm ô nhiễm đất và hậu quả là làm ô nhiễm nước mặt và nước ngầm thông qua quá trình t</w:t>
      </w:r>
      <w:r w:rsidR="00383AF1">
        <w:t>rôi rửa hoặc t</w:t>
      </w:r>
      <w:r w:rsidR="00C149AF">
        <w:t>hẩm thấu</w:t>
      </w:r>
      <w:r w:rsidR="00453460">
        <w:t xml:space="preserve"> </w:t>
      </w:r>
      <w:r w:rsidR="00453460">
        <w:fldChar w:fldCharType="begin"/>
      </w:r>
      <w:r w:rsidR="001B5639">
        <w:instrText xml:space="preserve"> ADDIN ZOTERO_ITEM CSL_CITATION {"citationID":"G2LGnIAt","properties":{"formattedCitation":"[7]","plainCitation":"[7]","noteIndex":0},"citationItems":[{"id":179,"uris":["http://zotero.org/users/12953706/items/AAQC5Z4R"],"itemData":{"id":179,"type":"article-journal","abstract":"Tetracycline antibiotics are one of the primarily antibiotics groups used for veterinary purposes, for human therapy and for agricultural purposes. Amongst the different antibiotics used, more attention is paid to tetracycline’s as it exhibits serious environmental problems including ecological risks and human health damages. Due to their extensive usage, most of the actual evidence suggests that tetracycline antibiotics are omnipresent compounds found in different ecological compartments. After medication, more than 70 % of tetracycline antibiotics are excreted and released in active form into the environment via urine and feces from humans and animals. Their highly hydrophilic character and low volatility have resulted in significant persistence in the aquatic environment. Very few studies describe the fate and toxicity of tetracycline antibiotics in the environment. Here, we review several important issues with regard to: (1) the toxicity of these compounds on aquatic and terrestrial organisms; (2) their estrogenic effects; (3) their behavior in different ecological systems and; (4) the by-products generated during water treatment. These antibiotics residues promote the development of antibiotic resistant microorganisms, which can induce adverse effect to human health by increasing the risk of certain infections. Based on recent research results, the occurrence of tetracycline antibiotics in the environment inhibits the growth of some terrestrial and aquatic species. Besides, the residual concentrations of such drugs could affect steroidogenic pathway and consequently may cause endocrine disruption of aquatic species. Most of the wastewater treatment plants are not capable of removing effectively the tetracycline antibiotics. Therefore, there is a need to develop alternative processes to remove them from waters. Advanced oxidation processes have been proposed as alternative methods to ensure higher degradation and mineralization of tetracycline antibiotics are present in waters.","container-title":"Environmental Chemistry Letters","DOI":"10.1007/s10311-013-0404-8","ISSN":"1610-3661","issue":"3","journalAbbreviation":"Environ Chem Lett","language":"en","page":"209-227","source":"Springer Link","title":"Tetracycline antibiotics in the environment: a review","title-short":"Tetracycline antibiotics in the environment","volume":"11","author":[{"family":"Daghrir","given":"R."},{"family":"Drogui","given":"P."}],"issued":{"date-parts":[["2013",9,1]]}}}],"schema":"https://github.com/citation-style-language/schema/raw/master/csl-citation.json"} </w:instrText>
      </w:r>
      <w:r w:rsidR="00453460">
        <w:fldChar w:fldCharType="separate"/>
      </w:r>
      <w:r w:rsidR="001B5639" w:rsidRPr="001B5639">
        <w:rPr>
          <w:rFonts w:cs="Times New Roman"/>
        </w:rPr>
        <w:t>[7]</w:t>
      </w:r>
      <w:r w:rsidR="00453460">
        <w:fldChar w:fldCharType="end"/>
      </w:r>
      <w:r w:rsidR="00C149AF">
        <w:t xml:space="preserve">. Tương tự, kháng sinh </w:t>
      </w:r>
      <w:r w:rsidR="00D63186">
        <w:t>TC</w:t>
      </w:r>
      <w:r w:rsidR="00C149AF">
        <w:t xml:space="preserve"> từ người được đưa vào môi trường thông qua bài tiết, đi vào hệ thống cống rãnh và đến các nhà máy xử lý nước thải</w:t>
      </w:r>
      <w:r w:rsidR="00C00AB4">
        <w:t xml:space="preserve"> </w:t>
      </w:r>
      <w:r w:rsidR="00C00AB4">
        <w:fldChar w:fldCharType="begin"/>
      </w:r>
      <w:r w:rsidR="000270E4">
        <w:instrText xml:space="preserve"> ADDIN ZOTERO_ITEM CSL_CITATION {"citationID":"4cLAKxeV","properties":{"formattedCitation":"[53]","plainCitation":"[53]","noteIndex":0},"citationItems":[{"id":250,"uris":["http://zotero.org/users/12953706/items/CCGSRKWP"],"itemData":{"id":250,"type":"article-journal","abstract":"The presence and fate of pharmaceutical and personal care products (PPCPs) in the environment is undergoing increasing scrutiny. The existing clinical pharmacokinetics and pharmacodynamics data for 81 common compounds were examined for cues of ecotoxicity. Of these the proportions excreted were available for 60 compounds (i.e., 74%). The compounds had a low (</w:instrText>
      </w:r>
      <w:r w:rsidR="000270E4">
        <w:rPr>
          <w:rFonts w:ascii="Cambria Math" w:hAnsi="Cambria Math" w:cs="Cambria Math"/>
        </w:rPr>
        <w:instrText>⩽</w:instrText>
      </w:r>
      <w:r w:rsidR="000270E4">
        <w:instrText>0.5%), a moderately low (6–39%), a relatively high (40–69%), or a high (</w:instrText>
      </w:r>
      <w:r w:rsidR="000270E4">
        <w:rPr>
          <w:rFonts w:ascii="Cambria Math" w:hAnsi="Cambria Math" w:cs="Cambria Math"/>
        </w:rPr>
        <w:instrText>⩾</w:instrText>
      </w:r>
      <w:r w:rsidR="000270E4">
        <w:instrText xml:space="preserve">70%) proportion of the parent compound excreted. More than half of the compounds evaluated have low or moderately low proportions of the parent compound excreted. However, the proportions excreted were negatively but moderately correlated (r=-0.50; n=13; P=0.08) with the concentrations of the compounds in the aquatic environment, suggesting that the compounds that have low proportions excreted may also have inherently low degradability in the environment. Solubility, logKow, and pKa work well in predicting the behavior of PPCPs under clinical conditions and have been used in the environmental assessment of PPCPs prior to approval. However, these parameters did not correlate with the proportion of PPCPs excreted in the environment or their concentration in the environment, underscoring the need for research into the behavior of PPCPs in the environment. PPCPs occur in low concentrations in the environment and are unlikely to elicit acute toxicity. An ecotoxicity potential that is based on chronic toxicity, bioavailability, and duration of exposure to nontarget organisms is described as a guide in assessing the potency of these compounds in the environment.","collection-title":"The Role of High Mountains in the Global Transport of Persistent Organic Pollutants","container-title":"Ecotoxicology and Environmental Safety","DOI":"10.1016/j.ecoenv.2004.11.011","ISSN":"0147-6513","issue":"1","journalAbbreviation":"Ecotoxicology and Environmental Safety","page":"113-130","source":"ScienceDirect","title":"Excretion and ecotoxicity of pharmaceutical and personal care products in the environment","volume":"63","author":[{"family":"Jjemba","given":"Patrick K."}],"issued":{"date-parts":[["2006",1,1]]}}}],"schema":"https://github.com/citation-style-language/schema/raw/master/csl-citation.json"} </w:instrText>
      </w:r>
      <w:r w:rsidR="00C00AB4">
        <w:fldChar w:fldCharType="separate"/>
      </w:r>
      <w:r w:rsidR="000270E4" w:rsidRPr="000270E4">
        <w:rPr>
          <w:rFonts w:cs="Times New Roman"/>
        </w:rPr>
        <w:t>[53]</w:t>
      </w:r>
      <w:r w:rsidR="00C00AB4">
        <w:fldChar w:fldCharType="end"/>
      </w:r>
      <w:r w:rsidR="00C149AF">
        <w:t>.</w:t>
      </w:r>
      <w:r w:rsidR="00CD20E7">
        <w:t xml:space="preserve"> </w:t>
      </w:r>
      <w:r w:rsidR="00453460">
        <w:t>Tuy nhiên</w:t>
      </w:r>
      <w:r w:rsidR="00C00AB4">
        <w:t>,</w:t>
      </w:r>
      <w:r w:rsidR="007D41BF">
        <w:t xml:space="preserve"> </w:t>
      </w:r>
      <w:r w:rsidR="00D02C04">
        <w:t xml:space="preserve">khả năng xử lý dư lượng loại kháng sinh này trong các nhà máy </w:t>
      </w:r>
      <w:r w:rsidR="003B4BC4">
        <w:t xml:space="preserve">được đánh giá </w:t>
      </w:r>
      <w:r w:rsidR="00D02C04">
        <w:t>vẫn chưa đạt hiệu quả cao</w:t>
      </w:r>
      <w:r w:rsidR="00DE0A20">
        <w:t xml:space="preserve"> cho tới thời điểm </w:t>
      </w:r>
      <w:r w:rsidR="003B4BC4">
        <w:t>hiện tại</w:t>
      </w:r>
      <w:r w:rsidR="007D41BF">
        <w:t xml:space="preserve"> </w:t>
      </w:r>
      <w:r w:rsidR="00E452BE">
        <w:fldChar w:fldCharType="begin"/>
      </w:r>
      <w:r w:rsidR="001B5639">
        <w:instrText xml:space="preserve"> ADDIN ZOTERO_ITEM CSL_CITATION {"citationID":"yb8gN8kW","properties":{"formattedCitation":"[7]","plainCitation":"[7]","noteIndex":0},"citationItems":[{"id":179,"uris":["http://zotero.org/users/12953706/items/AAQC5Z4R"],"itemData":{"id":179,"type":"article-journal","abstract":"Tetracycline antibiotics are one of the primarily antibiotics groups used for veterinary purposes, for human therapy and for agricultural purposes. Amongst the different antibiotics used, more attention is paid to tetracycline’s as it exhibits serious environmental problems including ecological risks and human health damages. Due to their extensive usage, most of the actual evidence suggests that tetracycline antibiotics are omnipresent compounds found in different ecological compartments. After medication, more than 70 % of tetracycline antibiotics are excreted and released in active form into the environment via urine and feces from humans and animals. Their highly hydrophilic character and low volatility have resulted in significant persistence in the aquatic environment. Very few studies describe the fate and toxicity of tetracycline antibiotics in the environment. Here, we review several important issues with regard to: (1) the toxicity of these compounds on aquatic and terrestrial organisms; (2) their estrogenic effects; (3) their behavior in different ecological systems and; (4) the by-products generated during water treatment. These antibiotics residues promote the development of antibiotic resistant microorganisms, which can induce adverse effect to human health by increasing the risk of certain infections. Based on recent research results, the occurrence of tetracycline antibiotics in the environment inhibits the growth of some terrestrial and aquatic species. Besides, the residual concentrations of such drugs could affect steroidogenic pathway and consequently may cause endocrine disruption of aquatic species. Most of the wastewater treatment plants are not capable of removing effectively the tetracycline antibiotics. Therefore, there is a need to develop alternative processes to remove them from waters. Advanced oxidation processes have been proposed as alternative methods to ensure higher degradation and mineralization of tetracycline antibiotics are present in waters.","container-title":"Environmental Chemistry Letters","DOI":"10.1007/s10311-013-0404-8","ISSN":"1610-3661","issue":"3","journalAbbreviation":"Environ Chem Lett","language":"en","page":"209-227","source":"Springer Link","title":"Tetracycline antibiotics in the environment: a review","title-short":"Tetracycline antibiotics in the environment","volume":"11","author":[{"family":"Daghrir","given":"R."},{"family":"Drogui","given":"P."}],"issued":{"date-parts":[["2013",9,1]]}}}],"schema":"https://github.com/citation-style-language/schema/raw/master/csl-citation.json"} </w:instrText>
      </w:r>
      <w:r w:rsidR="00E452BE">
        <w:fldChar w:fldCharType="separate"/>
      </w:r>
      <w:r w:rsidR="001B5639" w:rsidRPr="001B5639">
        <w:rPr>
          <w:rFonts w:cs="Times New Roman"/>
        </w:rPr>
        <w:t>[7]</w:t>
      </w:r>
      <w:r w:rsidR="00E452BE">
        <w:fldChar w:fldCharType="end"/>
      </w:r>
      <w:r w:rsidR="00DE0A20">
        <w:t>.</w:t>
      </w:r>
      <w:r w:rsidR="002A058A">
        <w:t xml:space="preserve"> </w:t>
      </w:r>
      <w:r w:rsidR="00790993">
        <w:t>Nồng độ dư lượng kháng sinh TC theo nghiên cứu</w:t>
      </w:r>
      <w:r w:rsidR="00561C76">
        <w:t xml:space="preserve"> đo được</w:t>
      </w:r>
      <w:r w:rsidR="00790993">
        <w:t xml:space="preserve"> trong môi trường nước thường nhỏ hơn 0</w:t>
      </w:r>
      <w:r w:rsidR="00D41976">
        <w:t>,</w:t>
      </w:r>
      <w:r w:rsidR="00790993">
        <w:t xml:space="preserve">11 </w:t>
      </w:r>
      <w:r w:rsidR="00790993" w:rsidRPr="003F1158">
        <w:t>mg/l</w:t>
      </w:r>
      <w:r w:rsidR="001C2FB4">
        <w:t xml:space="preserve"> </w:t>
      </w:r>
      <w:r w:rsidR="001C2FB4">
        <w:fldChar w:fldCharType="begin"/>
      </w:r>
      <w:r w:rsidR="001B5639">
        <w:instrText xml:space="preserve"> ADDIN ZOTERO_ITEM CSL_CITATION {"citationID":"64aGMlmf","properties":{"formattedCitation":"[7]","plainCitation":"[7]","noteIndex":0},"citationItems":[{"id":179,"uris":["http://zotero.org/users/12953706/items/AAQC5Z4R"],"itemData":{"id":179,"type":"article-journal","abstract":"Tetracycline antibiotics are one of the primarily antibiotics groups used for veterinary purposes, for human therapy and for agricultural purposes. Amongst the different antibiotics used, more attention is paid to tetracycline’s as it exhibits serious environmental problems including ecological risks and human health damages. Due to their extensive usage, most of the actual evidence suggests that tetracycline antibiotics are omnipresent compounds found in different ecological compartments. After medication, more than 70 % of tetracycline antibiotics are excreted and released in active form into the environment via urine and feces from humans and animals. Their highly hydrophilic character and low volatility have resulted in significant persistence in the aquatic environment. Very few studies describe the fate and toxicity of tetracycline antibiotics in the environment. Here, we review several important issues with regard to: (1) the toxicity of these compounds on aquatic and terrestrial organisms; (2) their estrogenic effects; (3) their behavior in different ecological systems and; (4) the by-products generated during water treatment. These antibiotics residues promote the development of antibiotic resistant microorganisms, which can induce adverse effect to human health by increasing the risk of certain infections. Based on recent research results, the occurrence of tetracycline antibiotics in the environment inhibits the growth of some terrestrial and aquatic species. Besides, the residual concentrations of such drugs could affect steroidogenic pathway and consequently may cause endocrine disruption of aquatic species. Most of the wastewater treatment plants are not capable of removing effectively the tetracycline antibiotics. Therefore, there is a need to develop alternative processes to remove them from waters. Advanced oxidation processes have been proposed as alternative methods to ensure higher degradation and mineralization of tetracycline antibiotics are present in waters.","container-title":"Environmental Chemistry Letters","DOI":"10.1007/s10311-013-0404-8","ISSN":"1610-3661","issue":"3","journalAbbreviation":"Environ Chem Lett","language":"en","page":"209-227","source":"Springer Link","title":"Tetracycline antibiotics in the environment: a review","title-short":"Tetracycline antibiotics in the environment","volume":"11","author":[{"family":"Daghrir","given":"R."},{"family":"Drogui","given":"P."}],"issued":{"date-parts":[["2013",9,1]]}}}],"schema":"https://github.com/citation-style-language/schema/raw/master/csl-citation.json"} </w:instrText>
      </w:r>
      <w:r w:rsidR="001C2FB4">
        <w:fldChar w:fldCharType="separate"/>
      </w:r>
      <w:r w:rsidR="001B5639" w:rsidRPr="001B5639">
        <w:rPr>
          <w:rFonts w:cs="Times New Roman"/>
        </w:rPr>
        <w:t>[7]</w:t>
      </w:r>
      <w:r w:rsidR="001C2FB4">
        <w:fldChar w:fldCharType="end"/>
      </w:r>
      <w:r w:rsidR="005E5FDB" w:rsidRPr="003F1158">
        <w:t>.</w:t>
      </w:r>
      <w:r w:rsidR="005E5FDB">
        <w:t xml:space="preserve"> T</w:t>
      </w:r>
      <w:r w:rsidR="00790993">
        <w:t>uy vậy cũng ghi nhận các trường hợp có nồng độ cao hơn</w:t>
      </w:r>
      <w:r w:rsidR="005E5FDB">
        <w:t>, có thể lên tới 7 mg/l</w:t>
      </w:r>
      <w:r w:rsidR="001C2FB4">
        <w:t xml:space="preserve"> </w:t>
      </w:r>
      <w:r w:rsidR="001C2FB4">
        <w:fldChar w:fldCharType="begin"/>
      </w:r>
      <w:r w:rsidR="001B5639">
        <w:instrText xml:space="preserve"> ADDIN ZOTERO_ITEM CSL_CITATION {"citationID":"oWLyMojN","properties":{"formattedCitation":"[7]","plainCitation":"[7]","noteIndex":0},"citationItems":[{"id":179,"uris":["http://zotero.org/users/12953706/items/AAQC5Z4R"],"itemData":{"id":179,"type":"article-journal","abstract":"Tetracycline antibiotics are one of the primarily antibiotics groups used for veterinary purposes, for human therapy and for agricultural purposes. Amongst the different antibiotics used, more attention is paid to tetracycline’s as it exhibits serious environmental problems including ecological risks and human health damages. Due to their extensive usage, most of the actual evidence suggests that tetracycline antibiotics are omnipresent compounds found in different ecological compartments. After medication, more than 70 % of tetracycline antibiotics are excreted and released in active form into the environment via urine and feces from humans and animals. Their highly hydrophilic character and low volatility have resulted in significant persistence in the aquatic environment. Very few studies describe the fate and toxicity of tetracycline antibiotics in the environment. Here, we review several important issues with regard to: (1) the toxicity of these compounds on aquatic and terrestrial organisms; (2) their estrogenic effects; (3) their behavior in different ecological systems and; (4) the by-products generated during water treatment. These antibiotics residues promote the development of antibiotic resistant microorganisms, which can induce adverse effect to human health by increasing the risk of certain infections. Based on recent research results, the occurrence of tetracycline antibiotics in the environment inhibits the growth of some terrestrial and aquatic species. Besides, the residual concentrations of such drugs could affect steroidogenic pathway and consequently may cause endocrine disruption of aquatic species. Most of the wastewater treatment plants are not capable of removing effectively the tetracycline antibiotics. Therefore, there is a need to develop alternative processes to remove them from waters. Advanced oxidation processes have been proposed as alternative methods to ensure higher degradation and mineralization of tetracycline antibiotics are present in waters.","container-title":"Environmental Chemistry Letters","DOI":"10.1007/s10311-013-0404-8","ISSN":"1610-3661","issue":"3","journalAbbreviation":"Environ Chem Lett","language":"en","page":"209-227","source":"Springer Link","title":"Tetracycline antibiotics in the environment: a review","title-short":"Tetracycline antibiotics in the environment","volume":"11","author":[{"family":"Daghrir","given":"R."},{"family":"Drogui","given":"P."}],"issued":{"date-parts":[["2013",9,1]]}}}],"schema":"https://github.com/citation-style-language/schema/raw/master/csl-citation.json"} </w:instrText>
      </w:r>
      <w:r w:rsidR="001C2FB4">
        <w:fldChar w:fldCharType="separate"/>
      </w:r>
      <w:r w:rsidR="001B5639" w:rsidRPr="001B5639">
        <w:rPr>
          <w:rFonts w:cs="Times New Roman"/>
        </w:rPr>
        <w:t>[7]</w:t>
      </w:r>
      <w:r w:rsidR="001C2FB4">
        <w:fldChar w:fldCharType="end"/>
      </w:r>
      <w:r w:rsidR="00BB141F">
        <w:t xml:space="preserve">. </w:t>
      </w:r>
      <w:r w:rsidR="00E34D3A">
        <w:t xml:space="preserve">Hiện tại, </w:t>
      </w:r>
      <w:r w:rsidR="00A03763">
        <w:t>một số quốc gia đang gặp vấn đề về ô nhiễm</w:t>
      </w:r>
      <w:r w:rsidR="00A27DA4">
        <w:t xml:space="preserve"> kháng sinh</w:t>
      </w:r>
      <w:r w:rsidR="00A03763">
        <w:t xml:space="preserve"> TC một cách nghiêm trọng,</w:t>
      </w:r>
      <w:r w:rsidR="005F4B2C">
        <w:t xml:space="preserve"> đặc biệt là</w:t>
      </w:r>
      <w:r w:rsidR="00A03763">
        <w:t xml:space="preserve"> Brazil và</w:t>
      </w:r>
      <w:r w:rsidR="005F4B2C">
        <w:t xml:space="preserve"> Trung Quốc, </w:t>
      </w:r>
      <w:r w:rsidR="00E34D3A">
        <w:t xml:space="preserve">với nồng độ tại các điểm nóng đã chạm ngưỡng báo động đỏ, dao đồng từ </w:t>
      </w:r>
      <w:r w:rsidR="00A03763" w:rsidRPr="00E34D3A">
        <w:t>110</w:t>
      </w:r>
      <w:r w:rsidR="00E34D3A" w:rsidRPr="00E34D3A">
        <w:t xml:space="preserve"> tới </w:t>
      </w:r>
      <w:r w:rsidR="005F4B2C" w:rsidRPr="00E34D3A">
        <w:t>450 µg/L</w:t>
      </w:r>
      <w:r w:rsidR="001C2FB4">
        <w:t xml:space="preserve"> </w:t>
      </w:r>
      <w:r w:rsidR="00006287">
        <w:fldChar w:fldCharType="begin"/>
      </w:r>
      <w:r w:rsidR="000270E4">
        <w:instrText xml:space="preserve"> ADDIN ZOTERO_ITEM CSL_CITATION {"citationID":"OyJ2mKYa","properties":{"formattedCitation":"[54]","plainCitation":"[54]","noteIndex":0},"citationItems":[{"id":257,"uris":["http://zotero.org/users/12953706/items/GHKMU82B"],"itemData":{"id":257,"type":"article-journal","abstract":"The frequent occurrence of pharmaceuticals in the aquatic environment requires an assessment of their environmental impact and their negative effects in humans. Among the drugs with high harmful potential to the environment are the antibiotics that reach the environment not only, as may be expected, through the effluents from chemical and pharmaceutical industries, but mainly through the sewage and livestock; because around 25 to 75% of the ingested drugs are excreted in unchanged form after the passage through the Gastro-Intestinal Tract. Tetracycline has high world consumption, representing a human consumption of about 23 kg/day in Brazil in 2007. At the moment, researches are being made to develop new tetracycline that incorporate heavy metals (Hg, Cd, Re, Pt, Pd) to their structures in order to increase their bactericidal effect. The conventional wastewater treatment plants are not able to degrade complex organic molecules to reduce their toxicity and improve their biodegradability. For this reason new technologies, i.e., the advanced oxidation processes, are being developed to handle this demand. The objectives of this study are to review the literature on the processes of obtaining tetracycline, presenting its waste treatment methods and evaluation of their environmental impact.","container-title":"Brazilian Journal of Pharmaceutical Sciences","DOI":"https://doi.org/10.1590/S1984-82502011000100003","ISSN":"2175-9790","journalAbbreviation":"Braz. J. Pharm. Sci.","language":"en","note":"publisher: Universidade de São Paulo, Faculdade de Ciências Farmacêuticas","page":"25-40","source":"SciELO","title":"Tetracycline: production, waste treatment and environmental impact assessment","title-short":"Tetracycline","volume":"50","author":[{"family":"Borghi","given":"Alexandre Augusto"},{"family":"Palma","given":"Mauri Sergio Alves"}],"issued":{"date-parts":[["2014"]]}}}],"schema":"https://github.com/citation-style-language/schema/raw/master/csl-citation.json"} </w:instrText>
      </w:r>
      <w:r w:rsidR="00006287">
        <w:fldChar w:fldCharType="separate"/>
      </w:r>
      <w:r w:rsidR="000270E4" w:rsidRPr="000270E4">
        <w:rPr>
          <w:rFonts w:cs="Times New Roman"/>
        </w:rPr>
        <w:t>[54]</w:t>
      </w:r>
      <w:r w:rsidR="00006287">
        <w:fldChar w:fldCharType="end"/>
      </w:r>
      <w:r w:rsidR="005F4B2C">
        <w:t xml:space="preserve">. Tại các lưu vực sông lớn, dư lượng kháng sinh này cũng duy trì ở mức rất cao, ghi nhận các giá trị dao động từ </w:t>
      </w:r>
      <w:r w:rsidR="005F4B2C" w:rsidRPr="00E34D3A">
        <w:t>6.800 đến 9.500 ng/L</w:t>
      </w:r>
      <w:r w:rsidR="00006287">
        <w:t xml:space="preserve"> </w:t>
      </w:r>
      <w:r w:rsidR="00006287">
        <w:fldChar w:fldCharType="begin"/>
      </w:r>
      <w:r w:rsidR="000270E4">
        <w:instrText xml:space="preserve"> ADDIN ZOTERO_ITEM CSL_CITATION {"citationID":"Yv4XTKmL","properties":{"formattedCitation":"[54]","plainCitation":"[54]","noteIndex":0},"citationItems":[{"id":257,"uris":["http://zotero.org/users/12953706/items/GHKMU82B"],"itemData":{"id":257,"type":"article-journal","abstract":"The frequent occurrence of pharmaceuticals in the aquatic environment requires an assessment of their environmental impact and their negative effects in humans. Among the drugs with high harmful potential to the environment are the antibiotics that reach the environment not only, as may be expected, through the effluents from chemical and pharmaceutical industries, but mainly through the sewage and livestock; because around 25 to 75% of the ingested drugs are excreted in unchanged form after the passage through the Gastro-Intestinal Tract. Tetracycline has high world consumption, representing a human consumption of about 23 kg/day in Brazil in 2007. At the moment, researches are being made to develop new tetracycline that incorporate heavy metals (Hg, Cd, Re, Pt, Pd) to their structures in order to increase their bactericidal effect. The conventional wastewater treatment plants are not able to degrade complex organic molecules to reduce their toxicity and improve their biodegradability. For this reason new technologies, i.e., the advanced oxidation processes, are being developed to handle this demand. The objectives of this study are to review the literature on the processes of obtaining tetracycline, presenting its waste treatment methods and evaluation of their environmental impact.","container-title":"Brazilian Journal of Pharmaceutical Sciences","DOI":"https://doi.org/10.1590/S1984-82502011000100003","ISSN":"2175-9790","journalAbbreviation":"Braz. J. Pharm. Sci.","language":"en","note":"publisher: Universidade de São Paulo, Faculdade de Ciências Farmacêuticas","page":"25-40","source":"SciELO","title":"Tetracycline: production, waste treatment and environmental impact assessment","title-short":"Tetracycline","volume":"50","author":[{"family":"Borghi","given":"Alexandre Augusto"},{"family":"Palma","given":"Mauri Sergio Alves"}],"issued":{"date-parts":[["2014"]]}}}],"schema":"https://github.com/citation-style-language/schema/raw/master/csl-citation.json"} </w:instrText>
      </w:r>
      <w:r w:rsidR="00006287">
        <w:fldChar w:fldCharType="separate"/>
      </w:r>
      <w:r w:rsidR="000270E4" w:rsidRPr="000270E4">
        <w:rPr>
          <w:rFonts w:cs="Times New Roman"/>
        </w:rPr>
        <w:t>[54]</w:t>
      </w:r>
      <w:r w:rsidR="00006287">
        <w:fldChar w:fldCharType="end"/>
      </w:r>
      <w:r w:rsidR="00006287">
        <w:t xml:space="preserve">. </w:t>
      </w:r>
    </w:p>
    <w:p w14:paraId="38ACA094" w14:textId="2FD26276" w:rsidR="003C3F04" w:rsidRDefault="00F77DF6" w:rsidP="0014416E">
      <w:pPr>
        <w:ind w:firstLine="454"/>
        <w:jc w:val="both"/>
      </w:pPr>
      <w:r w:rsidRPr="00F77DF6">
        <w:t xml:space="preserve">Tại Việt Nam, TCs </w:t>
      </w:r>
      <w:r w:rsidR="00F82317">
        <w:t>thuộc</w:t>
      </w:r>
      <w:r w:rsidRPr="00F77DF6">
        <w:t xml:space="preserve"> nhóm kháng sinh được </w:t>
      </w:r>
      <w:r w:rsidR="00E02496">
        <w:t xml:space="preserve">sử dụng phổ biến nhất trong </w:t>
      </w:r>
      <w:r w:rsidRPr="00F77DF6">
        <w:t>chăn nuôi và nuôi trồng thủy sản</w:t>
      </w:r>
      <w:r w:rsidR="00E02496">
        <w:t xml:space="preserve"> </w:t>
      </w:r>
      <w:r w:rsidR="00E02496">
        <w:fldChar w:fldCharType="begin"/>
      </w:r>
      <w:r w:rsidR="000270E4">
        <w:instrText xml:space="preserve"> ADDIN ZOTERO_ITEM CSL_CITATION {"citationID":"ud42w94l","properties":{"formattedCitation":"[55]","plainCitation":"[55]","noteIndex":0},"citationItems":[{"id":381,"uris":["http://zotero.org/users/12953706/items/G3MN59AL"],"itemData":{"id":381,"type":"article-journal","abstract":"Seven sulfonamides, trimethoprim, five macrolides, lincomycin and three tetracyclines were measured in 150 water samples of sewage, livestock and aquaculture wastewater, and river and coastal waters, in five tropical Asian countries. The sum of the concentrations of the target antibiotics in sewage and heavily sewage-impacted waters were at sub- to low-ppb levels. The most abundant antibiotic was sulfamethoxazole (SMX), followed by lincomycin and sulfathiazole. The average concentration of SMX in sewage or heavily sewage-impacted waters was 1720ng/L in Vietnam (Hanoi, Ho Chi Minh, Can Tho; n=15), 802ng/L in the Philippines (Manila; n=4), 538ng/L in India (Kolkata; n=4), 282ng/L in Indonesia (Jakarta; n=10), and 76ng/L in Malaysia (Kuala Lumpur; n=6). These concentrations were higher than those in Japan, China, Europe, the US and Canada. A predominance of sulfonamides, especially SMX, is notable in these tropical countries. The higher average concentrations, and the predominance of SMX, can be ascribed to the lower cost of the antibiotics. Both the concentration and composition of antibiotics in livestock and aquaculture wastewater varied widely. In many cases, sulfamethazine (SMT), oxytetracycline (OTC), lincomycin, and SMX were predominant in livestock and aquaculture wastewater. Both human and animal antibiotics were widely distributed in the respective receiving waters (i.e., the Mekong River and Manila Bay). SMT/SMX ratios indicate a significant contribution from livestock wastewater to the Mekong River and nearby canals, with an estimated ~10% of river water SMX derived from such wastewater. Mass flow calculations estimate that 12tons of SMX is discharged annually from the Mekong River into the South China Sea. Riverine inputs of antibiotics may significantly increase the concentration of such antibiotics in the coastal waters.","container-title":"Science of The Total Environment","DOI":"10.1016/j.scitotenv.2013.02.027","ISSN":"0048-9697","journalAbbreviation":"Science of The Total Environment","page":"108-115","source":"ScienceDirect","title":"Ubiquitous occurrence of sulfonamides in tropical Asian waters","volume":"452-453","author":[{"family":"Shimizu","given":"Akiko"},{"family":"Takada","given":"Hideshige"},{"family":"Koike","given":"Tatsuya"},{"family":"Takeshita","given":"Ayako"},{"family":"Saha","given":"Mahua"},{"literal":"Rinawati"},{"family":"Nakada","given":"Norihide"},{"family":"Murata","given":"Ayako"},{"family":"Suzuki","given":"Tokuma"},{"family":"Suzuki","given":"Satoru"},{"family":"Chiem","given":"Nguyen H."},{"family":"Tuyen","given":"Bui Cach"},{"family":"Viet","given":"Pham Hung"},{"family":"Siringan","given":"Maria Auxilia"},{"family":"Kwan","given":"Charita"},{"family":"Zakaria","given":"Mohamad P."},{"family":"Reungsang","given":"Alissara"}],"issued":{"date-parts":[["2013",5,1]]}}}],"schema":"https://github.com/citation-style-language/schema/raw/master/csl-citation.json"} </w:instrText>
      </w:r>
      <w:r w:rsidR="00E02496">
        <w:fldChar w:fldCharType="separate"/>
      </w:r>
      <w:r w:rsidR="000270E4" w:rsidRPr="000270E4">
        <w:rPr>
          <w:rFonts w:cs="Times New Roman"/>
        </w:rPr>
        <w:t>[55]</w:t>
      </w:r>
      <w:r w:rsidR="00E02496">
        <w:fldChar w:fldCharType="end"/>
      </w:r>
      <w:r w:rsidRPr="00F77DF6">
        <w:t xml:space="preserve">. </w:t>
      </w:r>
      <w:r w:rsidR="00BB141F">
        <w:t xml:space="preserve">Tuy </w:t>
      </w:r>
      <w:r w:rsidR="00F33A61">
        <w:t>vậy</w:t>
      </w:r>
      <w:r w:rsidR="00BB141F">
        <w:t>, m</w:t>
      </w:r>
      <w:r w:rsidRPr="00F77DF6">
        <w:t>ặc dù được sử dụn</w:t>
      </w:r>
      <w:r w:rsidR="00F33A61">
        <w:t>g</w:t>
      </w:r>
      <w:r w:rsidRPr="00F77DF6">
        <w:t xml:space="preserve"> phổ biến nhưng nồng độ dư lượng của</w:t>
      </w:r>
      <w:r w:rsidR="00F33A61">
        <w:t xml:space="preserve"> nhóm</w:t>
      </w:r>
      <w:r w:rsidRPr="00F77DF6">
        <w:t xml:space="preserve"> TCs trong môi trường nước thường được ghi nhận ở mức thấp</w:t>
      </w:r>
      <w:r w:rsidR="00FC3CCD">
        <w:t xml:space="preserve"> </w:t>
      </w:r>
      <w:r w:rsidR="007F16E2">
        <w:t xml:space="preserve">hơn </w:t>
      </w:r>
      <w:r w:rsidRPr="00F77DF6">
        <w:t xml:space="preserve">khi so sánh với các nhóm kháng sinh có độ tan cao và ít bị hấp phụ như Macrolides, Fluoroquinolones hay </w:t>
      </w:r>
      <w:r w:rsidRPr="00DF1E9F">
        <w:t>β-Lactam</w:t>
      </w:r>
      <w:r w:rsidRPr="00F77DF6">
        <w:t xml:space="preserve"> </w:t>
      </w:r>
      <w:r>
        <w:fldChar w:fldCharType="begin"/>
      </w:r>
      <w:r w:rsidR="000270E4">
        <w:instrText xml:space="preserve"> ADDIN ZOTERO_ITEM CSL_CITATION {"citationID":"GAWhq7TT","properties":{"formattedCitation":"[55]","plainCitation":"[55]","noteIndex":0},"citationItems":[{"id":381,"uris":["http://zotero.org/users/12953706/items/G3MN59AL"],"itemData":{"id":381,"type":"article-journal","abstract":"Seven sulfonamides, trimethoprim, five macrolides, lincomycin and three tetracyclines were measured in 150 water samples of sewage, livestock and aquaculture wastewater, and river and coastal waters, in five tropical Asian countries. The sum of the concentrations of the target antibiotics in sewage and heavily sewage-impacted waters were at sub- to low-ppb levels. The most abundant antibiotic was sulfamethoxazole (SMX), followed by lincomycin and sulfathiazole. The average concentration of SMX in sewage or heavily sewage-impacted waters was 1720ng/L in Vietnam (Hanoi, Ho Chi Minh, Can Tho; n=15), 802ng/L in the Philippines (Manila; n=4), 538ng/L in India (Kolkata; n=4), 282ng/L in Indonesia (Jakarta; n=10), and 76ng/L in Malaysia (Kuala Lumpur; n=6). These concentrations were higher than those in Japan, China, Europe, the US and Canada. A predominance of sulfonamides, especially SMX, is notable in these tropical countries. The higher average concentrations, and the predominance of SMX, can be ascribed to the lower cost of the antibiotics. Both the concentration and composition of antibiotics in livestock and aquaculture wastewater varied widely. In many cases, sulfamethazine (SMT), oxytetracycline (OTC), lincomycin, and SMX were predominant in livestock and aquaculture wastewater. Both human and animal antibiotics were widely distributed in the respective receiving waters (i.e., the Mekong River and Manila Bay). SMT/SMX ratios indicate a significant contribution from livestock wastewater to the Mekong River and nearby canals, with an estimated ~10% of river water SMX derived from such wastewater. Mass flow calculations estimate that 12tons of SMX is discharged annually from the Mekong River into the South China Sea. Riverine inputs of antibiotics may significantly increase the concentration of such antibiotics in the coastal waters.","container-title":"Science of The Total Environment","DOI":"10.1016/j.scitotenv.2013.02.027","ISSN":"0048-9697","journalAbbreviation":"Science of The Total Environment","page":"108-115","source":"ScienceDirect","title":"Ubiquitous occurrence of sulfonamides in tropical Asian waters","volume":"452-453","author":[{"family":"Shimizu","given":"Akiko"},{"family":"Takada","given":"Hideshige"},{"family":"Koike","given":"Tatsuya"},{"family":"Takeshita","given":"Ayako"},{"family":"Saha","given":"Mahua"},{"literal":"Rinawati"},{"family":"Nakada","given":"Norihide"},{"family":"Murata","given":"Ayako"},{"family":"Suzuki","given":"Tokuma"},{"family":"Suzuki","given":"Satoru"},{"family":"Chiem","given":"Nguyen H."},{"family":"Tuyen","given":"Bui Cach"},{"family":"Viet","given":"Pham Hung"},{"family":"Siringan","given":"Maria Auxilia"},{"family":"Kwan","given":"Charita"},{"family":"Zakaria","given":"Mohamad P."},{"family":"Reungsang","given":"Alissara"}],"issued":{"date-parts":[["2013",5,1]]}}}],"schema":"https://github.com/citation-style-language/schema/raw/master/csl-citation.json"} </w:instrText>
      </w:r>
      <w:r>
        <w:fldChar w:fldCharType="separate"/>
      </w:r>
      <w:r w:rsidR="000270E4" w:rsidRPr="000270E4">
        <w:rPr>
          <w:rFonts w:cs="Times New Roman"/>
        </w:rPr>
        <w:t>[55]</w:t>
      </w:r>
      <w:r>
        <w:fldChar w:fldCharType="end"/>
      </w:r>
      <w:r w:rsidRPr="00F77DF6">
        <w:t>.</w:t>
      </w:r>
      <w:r w:rsidR="007F16E2">
        <w:t xml:space="preserve"> Nguyên nhân chủ yếu do tính hoà tan kém cùng xu hướng tạo phức với các kim loạ</w:t>
      </w:r>
      <w:r w:rsidR="00B67918">
        <w:t>i</w:t>
      </w:r>
      <w:r w:rsidR="007F16E2">
        <w:t xml:space="preserve"> nặng </w:t>
      </w:r>
      <w:r w:rsidR="00103F21">
        <w:t>rồi</w:t>
      </w:r>
      <w:r w:rsidR="007F16E2">
        <w:t xml:space="preserve"> lắng</w:t>
      </w:r>
      <w:r w:rsidR="00103F21">
        <w:t xml:space="preserve"> đọng tích tụ trong bùn thải, trầm tích thay vì tồn tại trong pha nước. </w:t>
      </w:r>
      <w:r w:rsidR="003C3F04">
        <w:t>Trong n</w:t>
      </w:r>
      <w:r w:rsidR="00103F21">
        <w:t>uôi trồng</w:t>
      </w:r>
      <w:r w:rsidR="003C3F04">
        <w:t>, dư lượng đo được trong nước thải nuôi tôm</w:t>
      </w:r>
      <w:r w:rsidR="007F76F1">
        <w:t xml:space="preserve"> là 17 ng/L</w:t>
      </w:r>
      <w:r w:rsidR="003C3F04">
        <w:t>, trang trại nuôi lợn</w:t>
      </w:r>
      <w:r w:rsidR="007F76F1">
        <w:t xml:space="preserve"> 275 ng/L</w:t>
      </w:r>
      <w:r w:rsidR="003C3F04">
        <w:t xml:space="preserve"> và</w:t>
      </w:r>
      <w:r w:rsidR="007F76F1">
        <w:t xml:space="preserve"> 7 ng/L đối với </w:t>
      </w:r>
      <w:r w:rsidR="003C3F04">
        <w:t xml:space="preserve">trang trại bò tại các thành phố như Nam Định, Thái Bình </w:t>
      </w:r>
      <w:r w:rsidR="003C3F04">
        <w:fldChar w:fldCharType="begin"/>
      </w:r>
      <w:r w:rsidR="001B5639">
        <w:instrText xml:space="preserve"> ADDIN ZOTERO_ITEM CSL_CITATION {"citationID":"kruWp9bq","properties":{"formattedCitation":"[6]","plainCitation":"[6]","noteIndex":0},"citationItems":[{"id":259,"uris":["http://zotero.org/users/12953706/items/BWJ6GZ2E"],"itemData":{"id":259,"type":"article-journal","abstract":"Very little information on the occurrence and risk assessment of antibiotics in the aquatic environment is reported for Vietnam, where antibiotics are assumed to be omnipresent in urban canals and lakes at high concentrations due to the easy accessibility of antibiotics without doctor prescription. This study provides comprehensive analysis of the occurrence of 23 antibiotics in urban canals (To Lich and Kim Nguu) and lakes (West Lake, Hoan Kiem, and Yen So) in Hanoi, Vietnam. Of these 23 antibiotics, 18 were detected in urban canals at above 67.9% detection frequency (DF). The concentrations of detected antibiotics were in the range from below quantification limit (MQL) to almost 50,000 ng/L, depending on the compound and sampling site. In urban canals, median concentration of amoxicillin, erythromycin, and sulfamethoxazole was &gt;1000 ng/L while other antibiotics such as ampicillin, chloramphenicol, clindamycin, sulfamethazine, tetracycline, tylosin and vancomycin were detected at median concentrations of &lt;100 ng/L. Similarly, 16 target antibiotics were also detected in urban lakes. Macrolides (azithromycin, clarithromycin, and erythromycin-H2O), fluoroquinolones (enrofloxacin and ofloxacin), lincosamides (clindamycin and lincomycin), and trimethoprim were ubiquitously detected in urban lakes (DF = 100%). In this study, potential risks of antibiotics in the investigated urban canals and lakes were assessed based on the predicted no-effect concentration (PNEC) from the existing literature for antibiotic resistance selection (PNECARM) and ecological toxicity to aquatic organisms (PNECEcotox). Ampicillin, amoxicillin, azithromycin, ciprofloxacin, clarithromycin, enrofloxacin, erythromycin, ofloxacin, tetracycline, and trimethoprim were found in the investigated urban canals at concentrations exceeding their PNECARM and PNECEcotox. Similarly, most of the target antibiotics (i.e. amoxicillin, ciprofloxacin, clarithromycin, clindamycin, enrofloxacin, erythromycin, lincomycin, ofloxacin, sulfamethoxazole, tetracycline, trimethoprim and tylosin) were detected in the investigated urban lakes at concentrations close to or exceeding PNECEcotox for aquatic organisms. Further investigations on the occurrence and fate of antibiotic residues and antibiotic resistant bacteria (ARB) and antibiotic resistance genes (ARGs) in surface waters are recommended.","container-title":"Science of The Total Environment","DOI":"10.1016/j.scitotenv.2019.07.092","ISSN":"0048-9697","journalAbbreviation":"Science of The Total Environment","page":"157-174","source":"ScienceDirect","title":"Occurrence and risk assessment of multiple classes of antibiotics in urban canals and lakes in Hanoi, Vietnam","volume":"692","author":[{"family":"Tran","given":"Ngoc Han"},{"family":"Hoang","given":"Lan"},{"family":"Nghiem","given":"Long Duc"},{"family":"Nguyen","given":"Nu My Ha"},{"family":"Ngo","given":"Huu Hao"},{"family":"Guo","given":"Wenshan"},{"family":"Trinh","given":"Quang Thang"},{"family":"Mai","given":"Nam Hai"},{"family":"Chen","given":"Huiting"},{"family":"Nguyen","given":"Dinh Duc"},{"family":"Ta","given":"Thi Thao"},{"family":"Gin","given":"Karina Yew-Hoong"}],"issued":{"date-parts":[["2019",11,20]]}}}],"schema":"https://github.com/citation-style-language/schema/raw/master/csl-citation.json"} </w:instrText>
      </w:r>
      <w:r w:rsidR="003C3F04">
        <w:fldChar w:fldCharType="separate"/>
      </w:r>
      <w:r w:rsidR="001B5639" w:rsidRPr="001B5639">
        <w:rPr>
          <w:rFonts w:cs="Times New Roman"/>
        </w:rPr>
        <w:t>[6]</w:t>
      </w:r>
      <w:r w:rsidR="003C3F04">
        <w:fldChar w:fldCharType="end"/>
      </w:r>
      <w:r w:rsidR="003C3F04">
        <w:t xml:space="preserve">. Trong </w:t>
      </w:r>
      <w:r w:rsidR="00F312E2">
        <w:t xml:space="preserve">khu </w:t>
      </w:r>
      <w:r w:rsidR="003C3F04">
        <w:t>đô thị</w:t>
      </w:r>
      <w:r w:rsidR="007F76F1">
        <w:t xml:space="preserve"> dân cư</w:t>
      </w:r>
      <w:r w:rsidR="003C3F04">
        <w:t xml:space="preserve">, dư lượng kháng sinh TC cũng được phát hiện trong các mẫu nước thu từ các hồ tại Hà Nội có nồng độ 116 ng/L </w:t>
      </w:r>
      <w:r w:rsidR="003C3F04">
        <w:fldChar w:fldCharType="begin"/>
      </w:r>
      <w:r w:rsidR="001B5639">
        <w:instrText xml:space="preserve"> ADDIN ZOTERO_ITEM CSL_CITATION {"citationID":"gNbYrxsJ","properties":{"formattedCitation":"[6]","plainCitation":"[6]","noteIndex":0},"citationItems":[{"id":259,"uris":["http://zotero.org/users/12953706/items/BWJ6GZ2E"],"itemData":{"id":259,"type":"article-journal","abstract":"Very little information on the occurrence and risk assessment of antibiotics in the aquatic environment is reported for Vietnam, where antibiotics are assumed to be omnipresent in urban canals and lakes at high concentrations due to the easy accessibility of antibiotics without doctor prescription. This study provides comprehensive analysis of the occurrence of 23 antibiotics in urban canals (To Lich and Kim Nguu) and lakes (West Lake, Hoan Kiem, and Yen So) in Hanoi, Vietnam. Of these 23 antibiotics, 18 were detected in urban canals at above 67.9% detection frequency (DF). The concentrations of detected antibiotics were in the range from below quantification limit (MQL) to almost 50,000 ng/L, depending on the compound and sampling site. In urban canals, median concentration of amoxicillin, erythromycin, and sulfamethoxazole was &gt;1000 ng/L while other antibiotics such as ampicillin, chloramphenicol, clindamycin, sulfamethazine, tetracycline, tylosin and vancomycin were detected at median concentrations of &lt;100 ng/L. Similarly, 16 target antibiotics were also detected in urban lakes. Macrolides (azithromycin, clarithromycin, and erythromycin-H2O), fluoroquinolones (enrofloxacin and ofloxacin), lincosamides (clindamycin and lincomycin), and trimethoprim were ubiquitously detected in urban lakes (DF = 100%). In this study, potential risks of antibiotics in the investigated urban canals and lakes were assessed based on the predicted no-effect concentration (PNEC) from the existing literature for antibiotic resistance selection (PNECARM) and ecological toxicity to aquatic organisms (PNECEcotox). Ampicillin, amoxicillin, azithromycin, ciprofloxacin, clarithromycin, enrofloxacin, erythromycin, ofloxacin, tetracycline, and trimethoprim were found in the investigated urban canals at concentrations exceeding their PNECARM and PNECEcotox. Similarly, most of the target antibiotics (i.e. amoxicillin, ciprofloxacin, clarithromycin, clindamycin, enrofloxacin, erythromycin, lincomycin, ofloxacin, sulfamethoxazole, tetracycline, trimethoprim and tylosin) were detected in the investigated urban lakes at concentrations close to or exceeding PNECEcotox for aquatic organisms. Further investigations on the occurrence and fate of antibiotic residues and antibiotic resistant bacteria (ARB) and antibiotic resistance genes (ARGs) in surface waters are recommended.","container-title":"Science of The Total Environment","DOI":"10.1016/j.scitotenv.2019.07.092","ISSN":"0048-9697","journalAbbreviation":"Science of The Total Environment","page":"157-174","source":"ScienceDirect","title":"Occurrence and risk assessment of multiple classes of antibiotics in urban canals and lakes in Hanoi, Vietnam","volume":"692","author":[{"family":"Tran","given":"Ngoc Han"},{"family":"Hoang","given":"Lan"},{"family":"Nghiem","given":"Long Duc"},{"family":"Nguyen","given":"Nu My Ha"},{"family":"Ngo","given":"Huu Hao"},{"family":"Guo","given":"Wenshan"},{"family":"Trinh","given":"Quang Thang"},{"family":"Mai","given":"Nam Hai"},{"family":"Chen","given":"Huiting"},{"family":"Nguyen","given":"Dinh Duc"},{"family":"Ta","given":"Thi Thao"},{"family":"Gin","given":"Karina Yew-Hoong"}],"issued":{"date-parts":[["2019",11,20]]}}}],"schema":"https://github.com/citation-style-language/schema/raw/master/csl-citation.json"} </w:instrText>
      </w:r>
      <w:r w:rsidR="003C3F04">
        <w:fldChar w:fldCharType="separate"/>
      </w:r>
      <w:r w:rsidR="001B5639" w:rsidRPr="001B5639">
        <w:rPr>
          <w:rFonts w:cs="Times New Roman"/>
        </w:rPr>
        <w:t>[6]</w:t>
      </w:r>
      <w:r w:rsidR="003C3F04">
        <w:fldChar w:fldCharType="end"/>
      </w:r>
      <w:r w:rsidR="003C3F04">
        <w:t>.</w:t>
      </w:r>
    </w:p>
    <w:p w14:paraId="3DFB3E74" w14:textId="59A52DCB" w:rsidR="008A0457" w:rsidRPr="00460134" w:rsidRDefault="008A0457" w:rsidP="008B611C">
      <w:pPr>
        <w:pStyle w:val="Heading2"/>
      </w:pPr>
      <w:bookmarkStart w:id="5" w:name="_Toc233142624"/>
      <w:r w:rsidRPr="00460134">
        <w:rPr>
          <w:rStyle w:val="Heading2Char"/>
          <w:b/>
          <w:szCs w:val="28"/>
        </w:rPr>
        <w:lastRenderedPageBreak/>
        <w:t>Ảnh hưởng của ô nhiễm kháng sinh T</w:t>
      </w:r>
      <w:r w:rsidR="0093355B" w:rsidRPr="00460134">
        <w:rPr>
          <w:rStyle w:val="Heading2Char"/>
          <w:b/>
          <w:szCs w:val="28"/>
        </w:rPr>
        <w:t>etracycline</w:t>
      </w:r>
      <w:bookmarkEnd w:id="5"/>
    </w:p>
    <w:p w14:paraId="2A2564CA" w14:textId="0D9B7E9A" w:rsidR="00F96AFC" w:rsidRPr="00D341CF" w:rsidRDefault="00875CEB" w:rsidP="0036401C">
      <w:pPr>
        <w:ind w:firstLine="390"/>
        <w:jc w:val="both"/>
      </w:pPr>
      <w:r>
        <w:rPr>
          <w:rFonts w:cs="Times New Roman"/>
          <w:bCs/>
          <w:szCs w:val="26"/>
        </w:rPr>
        <w:t>Mặc dù có nồng độ thấp nhưng với sự tích luỹ lâu dài trong môi trường nước</w:t>
      </w:r>
      <w:r w:rsidR="00E01819">
        <w:rPr>
          <w:rFonts w:cs="Times New Roman"/>
          <w:bCs/>
          <w:szCs w:val="26"/>
        </w:rPr>
        <w:t xml:space="preserve">, tác </w:t>
      </w:r>
      <w:r w:rsidR="00F96AFC">
        <w:rPr>
          <w:rFonts w:cs="Times New Roman"/>
          <w:bCs/>
          <w:szCs w:val="26"/>
          <w:lang w:val="vi-VN"/>
        </w:rPr>
        <w:t xml:space="preserve">động gây hại của TC </w:t>
      </w:r>
      <w:r w:rsidR="00E01819">
        <w:rPr>
          <w:rFonts w:cs="Times New Roman"/>
          <w:bCs/>
          <w:szCs w:val="26"/>
        </w:rPr>
        <w:t xml:space="preserve">vẫn </w:t>
      </w:r>
      <w:r w:rsidR="00F30977">
        <w:rPr>
          <w:rFonts w:cs="Times New Roman"/>
          <w:bCs/>
          <w:szCs w:val="26"/>
        </w:rPr>
        <w:t>đáng quan tâm để xử lý</w:t>
      </w:r>
      <w:r w:rsidR="00F205DE">
        <w:rPr>
          <w:rFonts w:cs="Times New Roman"/>
          <w:bCs/>
          <w:szCs w:val="26"/>
        </w:rPr>
        <w:t>.</w:t>
      </w:r>
      <w:r w:rsidR="00D9359D">
        <w:rPr>
          <w:rFonts w:cs="Times New Roman"/>
          <w:bCs/>
          <w:szCs w:val="26"/>
        </w:rPr>
        <w:t xml:space="preserve"> Do khả năng </w:t>
      </w:r>
      <w:r w:rsidR="00F205DE">
        <w:rPr>
          <w:rFonts w:cs="Times New Roman"/>
          <w:bCs/>
          <w:szCs w:val="26"/>
        </w:rPr>
        <w:t xml:space="preserve">ức chế sự phát triển </w:t>
      </w:r>
      <w:r w:rsidR="00D9359D">
        <w:rPr>
          <w:rFonts w:cs="Times New Roman"/>
          <w:bCs/>
          <w:szCs w:val="26"/>
        </w:rPr>
        <w:t>mà loại kháng sinh này có thể</w:t>
      </w:r>
      <w:r w:rsidR="00F205DE">
        <w:rPr>
          <w:rFonts w:cs="Times New Roman"/>
          <w:bCs/>
          <w:szCs w:val="26"/>
        </w:rPr>
        <w:t xml:space="preserve"> t</w:t>
      </w:r>
      <w:r w:rsidR="00F96AFC">
        <w:rPr>
          <w:rFonts w:cs="Times New Roman"/>
          <w:bCs/>
          <w:szCs w:val="26"/>
          <w:lang w:val="vi-VN"/>
        </w:rPr>
        <w:t>iêu diệt các vi sinh vật có lợi trong nước</w:t>
      </w:r>
      <w:r w:rsidR="008B461D">
        <w:rPr>
          <w:rFonts w:cs="Times New Roman"/>
          <w:bCs/>
          <w:szCs w:val="26"/>
        </w:rPr>
        <w:t xml:space="preserve"> gây ra mất cân bằng về hệ sinh thái</w:t>
      </w:r>
      <w:r w:rsidR="00F96AFC">
        <w:rPr>
          <w:rFonts w:cs="Times New Roman"/>
          <w:bCs/>
          <w:szCs w:val="26"/>
          <w:lang w:val="vi-VN"/>
        </w:rPr>
        <w:t>,</w:t>
      </w:r>
      <w:r w:rsidR="00F205DE">
        <w:rPr>
          <w:rFonts w:cs="Times New Roman"/>
          <w:bCs/>
          <w:szCs w:val="26"/>
        </w:rPr>
        <w:t xml:space="preserve"> gây bệnh cho sức khoẻ con người</w:t>
      </w:r>
      <w:r w:rsidR="00736395">
        <w:rPr>
          <w:rFonts w:cs="Times New Roman"/>
          <w:bCs/>
          <w:szCs w:val="26"/>
        </w:rPr>
        <w:t xml:space="preserve"> khi tiếp xúc trong thời gian dài như</w:t>
      </w:r>
      <w:r w:rsidR="00F205DE">
        <w:rPr>
          <w:rFonts w:cs="Times New Roman"/>
          <w:bCs/>
          <w:szCs w:val="26"/>
        </w:rPr>
        <w:t>:</w:t>
      </w:r>
      <w:r w:rsidR="000A6F26">
        <w:rPr>
          <w:rFonts w:cs="Times New Roman"/>
          <w:bCs/>
          <w:szCs w:val="26"/>
        </w:rPr>
        <w:t xml:space="preserve"> rối loạn nội tiết, </w:t>
      </w:r>
      <w:r w:rsidR="002135DC">
        <w:rPr>
          <w:rFonts w:cs="Times New Roman"/>
          <w:bCs/>
          <w:szCs w:val="26"/>
        </w:rPr>
        <w:t>tích tụ trong nội tạng</w:t>
      </w:r>
      <w:r w:rsidR="000A6F26">
        <w:rPr>
          <w:rFonts w:cs="Times New Roman"/>
          <w:bCs/>
          <w:szCs w:val="26"/>
        </w:rPr>
        <w:t>,</w:t>
      </w:r>
      <w:r w:rsidR="00BF66F4">
        <w:rPr>
          <w:rFonts w:cs="Times New Roman"/>
          <w:bCs/>
          <w:szCs w:val="26"/>
        </w:rPr>
        <w:t xml:space="preserve"> </w:t>
      </w:r>
      <w:r w:rsidR="00736395">
        <w:rPr>
          <w:rFonts w:cs="Times New Roman"/>
          <w:bCs/>
          <w:szCs w:val="26"/>
        </w:rPr>
        <w:t xml:space="preserve">và thậm chí </w:t>
      </w:r>
      <w:r w:rsidR="002135DC">
        <w:rPr>
          <w:rFonts w:cs="Times New Roman"/>
          <w:bCs/>
          <w:szCs w:val="26"/>
        </w:rPr>
        <w:t>cả gây</w:t>
      </w:r>
      <w:r w:rsidR="00736395">
        <w:rPr>
          <w:rFonts w:cs="Times New Roman"/>
          <w:bCs/>
          <w:szCs w:val="26"/>
        </w:rPr>
        <w:t xml:space="preserve"> ung thư</w:t>
      </w:r>
      <w:r w:rsidR="00BF66F4">
        <w:rPr>
          <w:rFonts w:cs="Times New Roman"/>
          <w:bCs/>
          <w:szCs w:val="26"/>
        </w:rPr>
        <w:t>,.</w:t>
      </w:r>
      <w:r w:rsidR="000A6F26">
        <w:rPr>
          <w:rFonts w:cs="Times New Roman"/>
          <w:bCs/>
          <w:szCs w:val="26"/>
        </w:rPr>
        <w:t>.</w:t>
      </w:r>
      <w:r w:rsidR="00F96AFC">
        <w:rPr>
          <w:rFonts w:cs="Times New Roman"/>
          <w:bCs/>
          <w:szCs w:val="26"/>
          <w:lang w:val="vi-VN"/>
        </w:rPr>
        <w:t>.</w:t>
      </w:r>
      <w:r w:rsidR="003D2E2B">
        <w:rPr>
          <w:rFonts w:cs="Times New Roman"/>
          <w:bCs/>
          <w:szCs w:val="26"/>
        </w:rPr>
        <w:t xml:space="preserve"> </w:t>
      </w:r>
      <w:r w:rsidR="003D2E2B">
        <w:rPr>
          <w:rFonts w:cs="Times New Roman"/>
          <w:bCs/>
          <w:szCs w:val="26"/>
          <w:lang w:val="vi-VN"/>
        </w:rPr>
        <w:fldChar w:fldCharType="begin"/>
      </w:r>
      <w:r w:rsidR="000270E4">
        <w:rPr>
          <w:rFonts w:cs="Times New Roman"/>
          <w:bCs/>
          <w:szCs w:val="26"/>
          <w:lang w:val="vi-VN"/>
        </w:rPr>
        <w:instrText xml:space="preserve"> ADDIN ZOTERO_ITEM CSL_CITATION {"citationID":"fy4NT9cX","properties":{"formattedCitation":"[56]","plainCitation":"[56]","noteIndex":0},"citationItems":[{"id":"FlNJHiad/Bheiwt0y","uris":["http://zotero.org/users/local/el9GgZky/items/EJVLM3QG"],"itemData":{"id":16,"type":"article-journal","abstract":"While the occurrence and removal technologies of tetracyclines in the environment have been reported, a comprehensive systematic summary and analysis remain limited, especially for new generations compounds such as doxycycline. In this review, the latest information regarding the distribution of various tetracyclines in different countries over the past seven years (2017–2023) reveals a notable absence of research reports in North America and Oceania. With China as the representative country, the investigation indicates that the maximum concentrations of TCs exceed 5 µg/L. The maximum concentration of tetracyclines in feces (26.22 µg/L) can reach one order of magnitude higher than that in other media. Furthermore, advanced oxidation technologies, such as Fenton processes, electrochemical oxidation, photolysis, ozonation, etc., were also examined, and the median degradation rate achieved 91.9–97.67%. Reactions such as methylation, demethylation, hydroxylation, dehydration, ring cleavage, and oxidation were observed during degradation. The most common intermediate product was identified as m/z = 461 (C22H25N2O9). This review indicates that future efforts should emphasize understanding the occurrence and fate of new-generation tetracyclines in the environment.","container-title":"Journal of Hazardous Materials","DOI":"10.1016/j.jhazmat.2023.132862","ISSN":"0304-3894","journalAbbreviation":"Journal of Hazardous Materials","page":"132862","source":"ScienceDirect","title":"Contamination distribution and non-biological removal pathways of typical tetracycline antibiotics in the environment: A review","title-short":"Contamination distribution and non-biological removal pathways of typical tetracycline antibiotics in the environment","volume":"463","author":[{"family":"Zhang","given":"Xiaotong"},{"family":"Cai","given":"Tong"},{"family":"Zhang","given":"Shudong"},{"family":"Hou","given":"Jinju"},{"family":"Cheng","given":"Lei"},{"family":"Chen","given":"Wenjie"},{"family":"Zhang","given":"Qiuzhuo"}],"issued":{"date-parts":[["2024",2,5]]}}}],"schema":"https://github.com/citation-style-language/schema/raw/master/csl-citation.json"} </w:instrText>
      </w:r>
      <w:r w:rsidR="003D2E2B">
        <w:rPr>
          <w:rFonts w:cs="Times New Roman"/>
          <w:bCs/>
          <w:szCs w:val="26"/>
          <w:lang w:val="vi-VN"/>
        </w:rPr>
        <w:fldChar w:fldCharType="separate"/>
      </w:r>
      <w:r w:rsidR="000270E4" w:rsidRPr="009E6960">
        <w:rPr>
          <w:rFonts w:cs="Times New Roman"/>
          <w:lang w:val="vi-VN"/>
        </w:rPr>
        <w:t>[56]</w:t>
      </w:r>
      <w:r w:rsidR="003D2E2B">
        <w:rPr>
          <w:rFonts w:cs="Times New Roman"/>
          <w:bCs/>
          <w:szCs w:val="26"/>
          <w:lang w:val="vi-VN"/>
        </w:rPr>
        <w:fldChar w:fldCharType="end"/>
      </w:r>
      <w:r w:rsidR="003D2E2B" w:rsidRPr="009E6960">
        <w:rPr>
          <w:rFonts w:cs="Times New Roman"/>
          <w:bCs/>
          <w:szCs w:val="26"/>
          <w:lang w:val="vi-VN"/>
        </w:rPr>
        <w:t>.</w:t>
      </w:r>
      <w:r w:rsidR="00F96AFC">
        <w:rPr>
          <w:rFonts w:cs="Times New Roman"/>
          <w:bCs/>
          <w:szCs w:val="26"/>
          <w:lang w:val="vi-VN"/>
        </w:rPr>
        <w:t xml:space="preserve"> </w:t>
      </w:r>
      <w:r w:rsidR="00B71E5E" w:rsidRPr="009E6960">
        <w:rPr>
          <w:rFonts w:cs="Times New Roman"/>
          <w:bCs/>
          <w:szCs w:val="26"/>
          <w:lang w:val="vi-VN"/>
        </w:rPr>
        <w:t xml:space="preserve">Và </w:t>
      </w:r>
      <w:r w:rsidR="00630597" w:rsidRPr="009E6960">
        <w:rPr>
          <w:rFonts w:cs="Times New Roman"/>
          <w:bCs/>
          <w:szCs w:val="26"/>
          <w:lang w:val="vi-VN"/>
        </w:rPr>
        <w:t>nghiêm trọng nhất</w:t>
      </w:r>
      <w:r w:rsidR="00B71E5E" w:rsidRPr="009E6960">
        <w:rPr>
          <w:rFonts w:cs="Times New Roman"/>
          <w:bCs/>
          <w:szCs w:val="26"/>
          <w:lang w:val="vi-VN"/>
        </w:rPr>
        <w:t xml:space="preserve"> làm </w:t>
      </w:r>
      <w:r w:rsidR="009E2AB2" w:rsidRPr="009E6960">
        <w:rPr>
          <w:rFonts w:cs="Times New Roman"/>
          <w:bCs/>
          <w:szCs w:val="26"/>
          <w:lang w:val="vi-VN"/>
        </w:rPr>
        <w:t>sản sinh</w:t>
      </w:r>
      <w:r w:rsidR="00B71E5E" w:rsidRPr="009E6960">
        <w:rPr>
          <w:rFonts w:cs="Times New Roman"/>
          <w:bCs/>
          <w:szCs w:val="26"/>
          <w:lang w:val="vi-VN"/>
        </w:rPr>
        <w:t xml:space="preserve"> vi khuẩn kháng thuốc,</w:t>
      </w:r>
      <w:r w:rsidR="002135DC" w:rsidRPr="009E6960">
        <w:rPr>
          <w:rFonts w:cs="Times New Roman"/>
          <w:bCs/>
          <w:szCs w:val="26"/>
          <w:lang w:val="vi-VN"/>
        </w:rPr>
        <w:t xml:space="preserve"> gây</w:t>
      </w:r>
      <w:r w:rsidR="00B71E5E">
        <w:rPr>
          <w:rFonts w:cs="Times New Roman"/>
          <w:bCs/>
          <w:szCs w:val="26"/>
          <w:lang w:val="vi-VN"/>
        </w:rPr>
        <w:t xml:space="preserve"> lan truyền gen kháng kháng sinh </w:t>
      </w:r>
      <w:r w:rsidR="00837E32">
        <w:rPr>
          <w:rFonts w:cs="Times New Roman"/>
          <w:bCs/>
          <w:szCs w:val="26"/>
          <w:lang w:val="vi-VN"/>
        </w:rPr>
        <w:fldChar w:fldCharType="begin"/>
      </w:r>
      <w:r w:rsidR="000270E4">
        <w:rPr>
          <w:rFonts w:cs="Times New Roman"/>
          <w:bCs/>
          <w:szCs w:val="26"/>
          <w:lang w:val="vi-VN"/>
        </w:rPr>
        <w:instrText xml:space="preserve"> ADDIN ZOTERO_ITEM CSL_CITATION {"citationID":"QPtuKI1L","properties":{"formattedCitation":"[56]","plainCitation":"[56]","noteIndex":0},"citationItems":[{"id":"FlNJHiad/Bheiwt0y","uris":["http://zotero.org/users/local/el9GgZky/items/EJVLM3QG"],"itemData":{"id":16,"type":"article-journal","abstract":"While the occurrence and removal technologies of tetracyclines in the environment have been reported, a comprehensive systematic summary and analysis remain limited, especially for new generations compounds such as doxycycline. In this review, the latest information regarding the distribution of various tetracyclines in different countries over the past seven years (2017–2023) reveals a notable absence of research reports in North America and Oceania. With China as the representative country, the investigation indicates that the maximum concentrations of TCs exceed 5 µg/L. The maximum concentration of tetracyclines in feces (26.22 µg/L) can reach one order of magnitude higher than that in other media. Furthermore, advanced oxidation technologies, such as Fenton processes, electrochemical oxidation, photolysis, ozonation, etc., were also examined, and the median degradation rate achieved 91.9–97.67%. Reactions such as methylation, demethylation, hydroxylation, dehydration, ring cleavage, and oxidation were observed during degradation. The most common intermediate product was identified as m/z = 461 (C22H25N2O9). This review indicates that future efforts should emphasize understanding the occurrence and fate of new-generation tetracyclines in the environment.","container-title":"Journal of Hazardous Materials","DOI":"10.1016/j.jhazmat.2023.132862","ISSN":"0304-3894","journalAbbreviation":"Journal of Hazardous Materials","page":"132862","source":"ScienceDirect","title":"Contamination distribution and non-biological removal pathways of typical tetracycline antibiotics in the environment: A review","title-short":"Contamination distribution and non-biological removal pathways of typical tetracycline antibiotics in the environment","volume":"463","author":[{"family":"Zhang","given":"Xiaotong"},{"family":"Cai","given":"Tong"},{"family":"Zhang","given":"Shudong"},{"family":"Hou","given":"Jinju"},{"family":"Cheng","given":"Lei"},{"family":"Chen","given":"Wenjie"},{"family":"Zhang","given":"Qiuzhuo"}],"issued":{"date-parts":[["2024",2,5]]}}}],"schema":"https://github.com/citation-style-language/schema/raw/master/csl-citation.json"} </w:instrText>
      </w:r>
      <w:r w:rsidR="00837E32">
        <w:rPr>
          <w:rFonts w:cs="Times New Roman"/>
          <w:bCs/>
          <w:szCs w:val="26"/>
          <w:lang w:val="vi-VN"/>
        </w:rPr>
        <w:fldChar w:fldCharType="separate"/>
      </w:r>
      <w:r w:rsidR="000270E4" w:rsidRPr="000270E4">
        <w:rPr>
          <w:rFonts w:cs="Times New Roman"/>
        </w:rPr>
        <w:t>[56]</w:t>
      </w:r>
      <w:r w:rsidR="00837E32">
        <w:rPr>
          <w:rFonts w:cs="Times New Roman"/>
          <w:bCs/>
          <w:szCs w:val="26"/>
          <w:lang w:val="vi-VN"/>
        </w:rPr>
        <w:fldChar w:fldCharType="end"/>
      </w:r>
      <w:r w:rsidR="00B71E5E">
        <w:rPr>
          <w:rFonts w:cs="Times New Roman"/>
          <w:bCs/>
          <w:szCs w:val="26"/>
        </w:rPr>
        <w:t>.</w:t>
      </w:r>
      <w:r w:rsidR="000171EF" w:rsidRPr="000171EF">
        <w:rPr>
          <w:rFonts w:cs="Times New Roman"/>
          <w:bCs/>
          <w:szCs w:val="26"/>
          <w:lang w:val="vi-VN"/>
        </w:rPr>
        <w:t xml:space="preserve"> </w:t>
      </w:r>
    </w:p>
    <w:p w14:paraId="57E9F3FC" w14:textId="41EDC504" w:rsidR="000C1F91" w:rsidRPr="00460134" w:rsidRDefault="00FC5950" w:rsidP="003A257E">
      <w:pPr>
        <w:pStyle w:val="Heading2"/>
      </w:pPr>
      <w:bookmarkStart w:id="6" w:name="_Toc233142625"/>
      <w:r w:rsidRPr="00460134">
        <w:t>P</w:t>
      </w:r>
      <w:r w:rsidR="0007520F" w:rsidRPr="00460134">
        <w:t>hương pháp xử lý kháng sinh Tetracycline</w:t>
      </w:r>
      <w:bookmarkEnd w:id="6"/>
    </w:p>
    <w:p w14:paraId="0F82300A" w14:textId="7965D602" w:rsidR="00087F10" w:rsidRDefault="00D15B85" w:rsidP="00F312E2">
      <w:pPr>
        <w:pStyle w:val="ListParagraph"/>
        <w:ind w:left="0" w:firstLine="426"/>
      </w:pPr>
      <w:r>
        <w:t xml:space="preserve">Nhiều phương pháp </w:t>
      </w:r>
      <w:r w:rsidR="009F081C">
        <w:t xml:space="preserve">phổ biến </w:t>
      </w:r>
      <w:r w:rsidR="00D803CA">
        <w:t xml:space="preserve">để </w:t>
      </w:r>
      <w:r>
        <w:t xml:space="preserve">xử lý kháng sinh Tetracycline </w:t>
      </w:r>
      <w:r w:rsidR="002B293A">
        <w:t xml:space="preserve">có cơ chế, ưu, nhược điểm được đề cập </w:t>
      </w:r>
      <w:r w:rsidR="002F6C73">
        <w:t xml:space="preserve">trong Bảng </w:t>
      </w:r>
      <w:r w:rsidR="00B165C3">
        <w:t>1.3</w:t>
      </w:r>
      <w:r w:rsidR="00D803CA">
        <w:t xml:space="preserve"> </w:t>
      </w:r>
      <w:r w:rsidR="00D803CA">
        <w:fldChar w:fldCharType="begin"/>
      </w:r>
      <w:r w:rsidR="000270E4">
        <w:instrText xml:space="preserve"> ADDIN ZOTERO_ITEM CSL_CITATION {"citationID":"Vki7BSqE","properties":{"formattedCitation":"[57]","plainCitation":"[57]","noteIndex":0},"citationItems":[{"id":394,"uris":["http://zotero.org/users/12953706/items/N86CQAJR"],"itemData":{"id":394,"type":"article-journal","abstract":"Over the past few years, antibiotics have been considered emerging pollutants due to their continuous input and persistence in the aquatic ecosystem even at low concentrations. They have been detected worldwide in environmental matrices, indicating their ineffective removal from water and wastewater using conventional treatment methods. To prevent this contamination, several processes to degrade/remove antibiotics have been studied. This review addresses the current state of knowledge concerning the input sources, occurrence and mainly the degradation and removal processes applied to a specific class of micropollutants, the antibiotics. In this paper, different remediation techniques were evaluated and compared, such as conventional techniques (biological processes, filtration, coagulation, flocculation and sedimentation), advanced oxidation processes (AOPs), adsorption, membrane processes and combined methods. In this study, it was found that ozonation, Fenton/photo-Fenton and semiconductor photocatalysis were the most tested methodologies. Combined processes seem to be the best solution for the treatment of effluents containing antibiotics, especially those using renewable energy and by-products materials.","container-title":"Journal of Environmental Management","DOI":"10.1016/j.jenvman.2011.05.023","ISSN":"0301-4797","issue":"10","journalAbbreviation":"Journal of Environmental Management","page":"2304-2347","source":"ScienceDirect","title":"Degradation and removal methods of antibiotics from aqueous matrices – A review","volume":"92","author":[{"family":"Homem","given":"Vera"},{"family":"Santos","given":"Lúcia"}],"issued":{"date-parts":[["2011",10,1]]}}}],"schema":"https://github.com/citation-style-language/schema/raw/master/csl-citation.json"} </w:instrText>
      </w:r>
      <w:r w:rsidR="00D803CA">
        <w:fldChar w:fldCharType="separate"/>
      </w:r>
      <w:r w:rsidR="000270E4" w:rsidRPr="000270E4">
        <w:rPr>
          <w:rFonts w:cs="Times New Roman"/>
        </w:rPr>
        <w:t>[57]</w:t>
      </w:r>
      <w:r w:rsidR="00D803CA">
        <w:fldChar w:fldCharType="end"/>
      </w:r>
      <w:r w:rsidR="002B1A61">
        <w:t xml:space="preserve">, </w:t>
      </w:r>
      <w:r w:rsidR="002B1A61">
        <w:fldChar w:fldCharType="begin"/>
      </w:r>
      <w:r w:rsidR="000270E4">
        <w:instrText xml:space="preserve"> ADDIN ZOTERO_ITEM CSL_CITATION {"citationID":"gtapicB1","properties":{"formattedCitation":"[58]","plainCitation":"[58]","noteIndex":0},"citationItems":[{"id":396,"uris":["http://zotero.org/users/12953706/items/WY8NFZ7S"],"itemData":{"id":396,"type":"article-newspaper","container-title":"Environ. Int.","page":"402-417","title":"Removal of Pharmaceuticals from Wastewater by Advanced Oxidation Processes: A Review","author":[{"family":"M. Klavarioti, D. Mantzavinos, and D. Kassinos","given":""}]}}],"schema":"https://github.com/citation-style-language/schema/raw/master/csl-citation.json"} </w:instrText>
      </w:r>
      <w:r w:rsidR="002B1A61">
        <w:fldChar w:fldCharType="separate"/>
      </w:r>
      <w:r w:rsidR="000270E4" w:rsidRPr="000270E4">
        <w:rPr>
          <w:rFonts w:cs="Times New Roman"/>
        </w:rPr>
        <w:t>[58]</w:t>
      </w:r>
      <w:r w:rsidR="002B1A61">
        <w:fldChar w:fldCharType="end"/>
      </w:r>
      <w:r w:rsidR="002B293A">
        <w:t>.</w:t>
      </w:r>
    </w:p>
    <w:p w14:paraId="688548F3" w14:textId="55988D07" w:rsidR="00515E64" w:rsidRDefault="00515E64" w:rsidP="00A36209">
      <w:pPr>
        <w:pStyle w:val="Caption"/>
        <w:keepNext/>
        <w:spacing w:after="240"/>
        <w:ind w:firstLine="0"/>
      </w:pPr>
      <w:bookmarkStart w:id="7" w:name="_Toc218004836"/>
      <w:r>
        <w:t xml:space="preserve">Bảng </w:t>
      </w:r>
      <w:r w:rsidR="00CF0C31">
        <w:fldChar w:fldCharType="begin"/>
      </w:r>
      <w:r w:rsidR="00CF0C31">
        <w:instrText xml:space="preserve"> STYLEREF 1 \s </w:instrText>
      </w:r>
      <w:r w:rsidR="00CF0C31">
        <w:fldChar w:fldCharType="separate"/>
      </w:r>
      <w:r w:rsidR="009801F7">
        <w:rPr>
          <w:noProof/>
        </w:rPr>
        <w:t>1</w:t>
      </w:r>
      <w:r w:rsidR="00CF0C31">
        <w:rPr>
          <w:noProof/>
        </w:rPr>
        <w:fldChar w:fldCharType="end"/>
      </w:r>
      <w:r w:rsidR="00CF487F">
        <w:t>.</w:t>
      </w:r>
      <w:fldSimple w:instr=" SEQ Bảng_ \* ARABIC \s 1 ">
        <w:r w:rsidR="009801F7">
          <w:rPr>
            <w:noProof/>
          </w:rPr>
          <w:t>3</w:t>
        </w:r>
      </w:fldSimple>
      <w:r>
        <w:t>. Các phương pháp xử lý kháng sinh Tetracycline</w:t>
      </w:r>
      <w:r w:rsidR="004A45AB">
        <w:t>.</w:t>
      </w:r>
      <w:bookmarkEnd w:id="7"/>
    </w:p>
    <w:tbl>
      <w:tblPr>
        <w:tblStyle w:val="TableGrid"/>
        <w:tblW w:w="9067" w:type="dxa"/>
        <w:tblLayout w:type="fixed"/>
        <w:tblLook w:val="04A0" w:firstRow="1" w:lastRow="0" w:firstColumn="1" w:lastColumn="0" w:noHBand="0" w:noVBand="1"/>
      </w:tblPr>
      <w:tblGrid>
        <w:gridCol w:w="1129"/>
        <w:gridCol w:w="2410"/>
        <w:gridCol w:w="2552"/>
        <w:gridCol w:w="2976"/>
      </w:tblGrid>
      <w:tr w:rsidR="005A1A86" w14:paraId="0497A84E" w14:textId="77777777" w:rsidTr="00D52FED">
        <w:tc>
          <w:tcPr>
            <w:tcW w:w="1129" w:type="dxa"/>
            <w:vAlign w:val="center"/>
          </w:tcPr>
          <w:p w14:paraId="1C717CB7" w14:textId="08B288FF" w:rsidR="005A1A86" w:rsidRPr="00D017CF" w:rsidRDefault="005A1A86" w:rsidP="00D017CF">
            <w:pPr>
              <w:ind w:firstLine="0"/>
              <w:jc w:val="center"/>
              <w:rPr>
                <w:rFonts w:cs="Times New Roman"/>
                <w:b/>
                <w:bCs/>
                <w:szCs w:val="26"/>
              </w:rPr>
            </w:pPr>
            <w:r w:rsidRPr="00D017CF">
              <w:rPr>
                <w:rFonts w:cs="Times New Roman"/>
                <w:b/>
                <w:bCs/>
                <w:szCs w:val="26"/>
              </w:rPr>
              <w:t>Phương pháp</w:t>
            </w:r>
          </w:p>
        </w:tc>
        <w:tc>
          <w:tcPr>
            <w:tcW w:w="2410" w:type="dxa"/>
            <w:vAlign w:val="center"/>
          </w:tcPr>
          <w:p w14:paraId="48CA2C7B" w14:textId="030CAB06" w:rsidR="005A1A86" w:rsidRPr="00D017CF" w:rsidRDefault="005A1A86" w:rsidP="00BC4BAF">
            <w:pPr>
              <w:ind w:firstLine="0"/>
              <w:jc w:val="center"/>
              <w:rPr>
                <w:rFonts w:cs="Times New Roman"/>
                <w:b/>
                <w:bCs/>
                <w:szCs w:val="26"/>
              </w:rPr>
            </w:pPr>
            <w:r w:rsidRPr="00D017CF">
              <w:rPr>
                <w:rFonts w:cs="Times New Roman"/>
                <w:b/>
                <w:bCs/>
                <w:szCs w:val="26"/>
              </w:rPr>
              <w:t>Cơ chế</w:t>
            </w:r>
          </w:p>
        </w:tc>
        <w:tc>
          <w:tcPr>
            <w:tcW w:w="2552" w:type="dxa"/>
            <w:vAlign w:val="center"/>
          </w:tcPr>
          <w:p w14:paraId="0F1946C6" w14:textId="443E558F" w:rsidR="005A1A86" w:rsidRPr="00D017CF" w:rsidRDefault="005A1A86" w:rsidP="00BC4BAF">
            <w:pPr>
              <w:ind w:firstLine="0"/>
              <w:jc w:val="center"/>
              <w:rPr>
                <w:rFonts w:cs="Times New Roman"/>
                <w:b/>
                <w:bCs/>
                <w:szCs w:val="26"/>
              </w:rPr>
            </w:pPr>
            <w:r w:rsidRPr="00D017CF">
              <w:rPr>
                <w:rFonts w:cs="Times New Roman"/>
                <w:b/>
                <w:bCs/>
                <w:szCs w:val="26"/>
              </w:rPr>
              <w:t>Ưu điểm</w:t>
            </w:r>
          </w:p>
        </w:tc>
        <w:tc>
          <w:tcPr>
            <w:tcW w:w="2976" w:type="dxa"/>
            <w:vAlign w:val="center"/>
          </w:tcPr>
          <w:p w14:paraId="57BCD678" w14:textId="57F78970" w:rsidR="005A1A86" w:rsidRPr="00D017CF" w:rsidRDefault="00CA2BAC" w:rsidP="00BC4BAF">
            <w:pPr>
              <w:ind w:firstLine="0"/>
              <w:jc w:val="center"/>
              <w:rPr>
                <w:rFonts w:cs="Times New Roman"/>
                <w:b/>
                <w:bCs/>
                <w:szCs w:val="26"/>
              </w:rPr>
            </w:pPr>
            <w:r w:rsidRPr="00D017CF">
              <w:rPr>
                <w:rFonts w:cs="Times New Roman"/>
                <w:b/>
                <w:bCs/>
                <w:szCs w:val="26"/>
              </w:rPr>
              <w:t>Hạn chế</w:t>
            </w:r>
          </w:p>
        </w:tc>
      </w:tr>
      <w:tr w:rsidR="005A1A86" w14:paraId="6B89914D" w14:textId="77777777" w:rsidTr="007F2383">
        <w:tc>
          <w:tcPr>
            <w:tcW w:w="1129" w:type="dxa"/>
            <w:vAlign w:val="center"/>
          </w:tcPr>
          <w:p w14:paraId="4920672B" w14:textId="0434AC16" w:rsidR="005A1A86" w:rsidRPr="003810AF" w:rsidRDefault="005A1A86" w:rsidP="00D017CF">
            <w:pPr>
              <w:spacing w:line="240" w:lineRule="auto"/>
              <w:ind w:firstLine="0"/>
              <w:rPr>
                <w:rFonts w:eastAsia="Times New Roman" w:cs="Times New Roman"/>
                <w:color w:val="000000"/>
                <w:szCs w:val="26"/>
                <w:lang w:eastAsia="en-US"/>
              </w:rPr>
            </w:pPr>
            <w:r w:rsidRPr="003810AF">
              <w:rPr>
                <w:rFonts w:cs="Times New Roman"/>
                <w:color w:val="000000"/>
                <w:szCs w:val="26"/>
              </w:rPr>
              <w:t>Xử lý màng</w:t>
            </w:r>
          </w:p>
        </w:tc>
        <w:tc>
          <w:tcPr>
            <w:tcW w:w="2410" w:type="dxa"/>
            <w:vAlign w:val="center"/>
          </w:tcPr>
          <w:p w14:paraId="7B22BB3E" w14:textId="01DD77BF" w:rsidR="005A1A86" w:rsidRPr="003810AF" w:rsidRDefault="005A1A86"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Tách vật lý/Lọc. Giữ lại chất ô nhiễm dựa trên kích thước lỗ màng hoặc cơ chế hòa tan-khuếch tán.</w:t>
            </w:r>
          </w:p>
        </w:tc>
        <w:tc>
          <w:tcPr>
            <w:tcW w:w="2552" w:type="dxa"/>
          </w:tcPr>
          <w:p w14:paraId="64BC98F1" w14:textId="7C25EB84"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Hiệu </w:t>
            </w:r>
            <w:r w:rsidR="00253623" w:rsidRPr="003810AF">
              <w:rPr>
                <w:rFonts w:cs="Times New Roman"/>
                <w:color w:val="000000"/>
                <w:szCs w:val="26"/>
              </w:rPr>
              <w:t>suất xử lý cao.</w:t>
            </w:r>
          </w:p>
          <w:p w14:paraId="05C427AC" w14:textId="55B41228"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w:t>
            </w:r>
            <w:r w:rsidR="00E70F7D" w:rsidRPr="003810AF">
              <w:rPr>
                <w:rFonts w:cs="Times New Roman"/>
                <w:color w:val="000000"/>
                <w:szCs w:val="26"/>
              </w:rPr>
              <w:t>Không phát sinh chất nguy hại</w:t>
            </w:r>
          </w:p>
          <w:p w14:paraId="7E763A3F" w14:textId="5D5DAB15" w:rsidR="005A1A86" w:rsidRPr="00D017CF" w:rsidRDefault="00E70F7D"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 Tiết kiệm diện tích</w:t>
            </w:r>
          </w:p>
        </w:tc>
        <w:tc>
          <w:tcPr>
            <w:tcW w:w="2976" w:type="dxa"/>
            <w:vAlign w:val="center"/>
          </w:tcPr>
          <w:p w14:paraId="1FD0AC3D" w14:textId="0EF04690"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Không phá hủy chất ô nhiễm</w:t>
            </w:r>
          </w:p>
          <w:p w14:paraId="4307BFAE" w14:textId="3F6FA8AA"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w:t>
            </w:r>
            <w:r w:rsidR="00E70F7D" w:rsidRPr="003810AF">
              <w:rPr>
                <w:rFonts w:cs="Times New Roman"/>
                <w:color w:val="000000"/>
                <w:szCs w:val="26"/>
              </w:rPr>
              <w:t>Dễ tắc nghẽn</w:t>
            </w:r>
          </w:p>
          <w:p w14:paraId="18A5857D" w14:textId="14A71627" w:rsidR="005A1A86" w:rsidRPr="00D017CF" w:rsidRDefault="00E70F7D"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 Yêu cầu cao về vận hành, bảo trì</w:t>
            </w:r>
          </w:p>
        </w:tc>
      </w:tr>
      <w:tr w:rsidR="005A1A86" w14:paraId="4E09DBB6" w14:textId="77777777" w:rsidTr="007F2383">
        <w:tc>
          <w:tcPr>
            <w:tcW w:w="1129" w:type="dxa"/>
            <w:vAlign w:val="center"/>
          </w:tcPr>
          <w:p w14:paraId="49E57943" w14:textId="5A4633A1" w:rsidR="005A1A86" w:rsidRPr="003810AF" w:rsidRDefault="005A1A86" w:rsidP="00D017CF">
            <w:pPr>
              <w:spacing w:line="240" w:lineRule="auto"/>
              <w:ind w:firstLine="0"/>
              <w:rPr>
                <w:rFonts w:eastAsia="Times New Roman" w:cs="Times New Roman"/>
                <w:color w:val="000000"/>
                <w:szCs w:val="26"/>
                <w:lang w:eastAsia="en-US"/>
              </w:rPr>
            </w:pPr>
            <w:r w:rsidRPr="003810AF">
              <w:rPr>
                <w:rFonts w:cs="Times New Roman"/>
                <w:color w:val="000000"/>
                <w:szCs w:val="26"/>
              </w:rPr>
              <w:t>Hấp phụ</w:t>
            </w:r>
          </w:p>
          <w:p w14:paraId="1798336E" w14:textId="77777777" w:rsidR="005A1A86" w:rsidRPr="003810AF" w:rsidRDefault="005A1A86" w:rsidP="00CA2BAC">
            <w:pPr>
              <w:jc w:val="center"/>
              <w:rPr>
                <w:rFonts w:cs="Times New Roman"/>
                <w:szCs w:val="26"/>
              </w:rPr>
            </w:pPr>
          </w:p>
        </w:tc>
        <w:tc>
          <w:tcPr>
            <w:tcW w:w="2410" w:type="dxa"/>
          </w:tcPr>
          <w:p w14:paraId="44F9D190" w14:textId="40A14B57" w:rsidR="00D52A34" w:rsidRPr="00D52A34" w:rsidRDefault="005A1A86" w:rsidP="00BC4BAF">
            <w:pPr>
              <w:spacing w:line="240" w:lineRule="auto"/>
              <w:ind w:firstLine="0"/>
              <w:jc w:val="both"/>
              <w:rPr>
                <w:rFonts w:cs="Times New Roman"/>
                <w:color w:val="000000"/>
                <w:szCs w:val="26"/>
              </w:rPr>
            </w:pPr>
            <w:r w:rsidRPr="003810AF">
              <w:rPr>
                <w:rFonts w:cs="Times New Roman"/>
                <w:color w:val="000000"/>
                <w:szCs w:val="26"/>
              </w:rPr>
              <w:t>Chuyển chất ô nhiễm từ pha lỏng sang bề mặt rắn thông qua các lực vật lý hoặc hóa học</w:t>
            </w:r>
            <w:r w:rsidR="00296E00">
              <w:rPr>
                <w:rFonts w:cs="Times New Roman"/>
                <w:color w:val="000000"/>
                <w:szCs w:val="26"/>
              </w:rPr>
              <w:t>.</w:t>
            </w:r>
          </w:p>
        </w:tc>
        <w:tc>
          <w:tcPr>
            <w:tcW w:w="2552" w:type="dxa"/>
          </w:tcPr>
          <w:p w14:paraId="46747D73" w14:textId="25AA8BEA"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w:t>
            </w:r>
            <w:r w:rsidR="00253623" w:rsidRPr="003810AF">
              <w:rPr>
                <w:rFonts w:cs="Times New Roman"/>
                <w:color w:val="000000"/>
                <w:szCs w:val="26"/>
              </w:rPr>
              <w:t>Chi phí thấp</w:t>
            </w:r>
          </w:p>
          <w:p w14:paraId="678710DE" w14:textId="01896B9D"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w:t>
            </w:r>
            <w:r w:rsidR="00253623" w:rsidRPr="003810AF">
              <w:rPr>
                <w:rFonts w:cs="Times New Roman"/>
                <w:color w:val="000000"/>
                <w:szCs w:val="26"/>
              </w:rPr>
              <w:t>Dễ vận hành, bảo trì</w:t>
            </w:r>
          </w:p>
          <w:p w14:paraId="3EE9498B" w14:textId="06D41B8E" w:rsidR="00D52A34" w:rsidRPr="007F2383"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w:t>
            </w:r>
            <w:r w:rsidR="00E70F7D" w:rsidRPr="003810AF">
              <w:rPr>
                <w:rFonts w:cs="Times New Roman"/>
                <w:color w:val="000000"/>
                <w:szCs w:val="26"/>
              </w:rPr>
              <w:t>Không có sản phẩm phụ</w:t>
            </w:r>
            <w:r w:rsidR="00296E00">
              <w:rPr>
                <w:rFonts w:cs="Times New Roman"/>
                <w:color w:val="000000"/>
                <w:szCs w:val="26"/>
              </w:rPr>
              <w:t>.</w:t>
            </w:r>
          </w:p>
        </w:tc>
        <w:tc>
          <w:tcPr>
            <w:tcW w:w="2976" w:type="dxa"/>
            <w:vAlign w:val="center"/>
          </w:tcPr>
          <w:p w14:paraId="40BC046C" w14:textId="30ADCBE1"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Không phá hủy chất ô nhiễm</w:t>
            </w:r>
          </w:p>
          <w:p w14:paraId="61BED380" w14:textId="1999669A"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Chi phí</w:t>
            </w:r>
            <w:r w:rsidR="00FA4C1C">
              <w:rPr>
                <w:rFonts w:cs="Times New Roman"/>
                <w:color w:val="000000"/>
                <w:szCs w:val="26"/>
              </w:rPr>
              <w:t xml:space="preserve"> sản xuất </w:t>
            </w:r>
            <w:r w:rsidRPr="003810AF">
              <w:rPr>
                <w:rFonts w:cs="Times New Roman"/>
                <w:color w:val="000000"/>
                <w:szCs w:val="26"/>
              </w:rPr>
              <w:t>than hoạt tính cao.</w:t>
            </w:r>
          </w:p>
          <w:p w14:paraId="16B7373C" w14:textId="6B504A29" w:rsidR="005A1A86" w:rsidRPr="00D017CF" w:rsidRDefault="005A1A86"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 Khó khăn trong việc tái sinh vật liệu hấp phụ</w:t>
            </w:r>
            <w:r w:rsidR="00B24442" w:rsidRPr="003810AF">
              <w:rPr>
                <w:rFonts w:cs="Times New Roman"/>
                <w:color w:val="000000"/>
                <w:szCs w:val="26"/>
              </w:rPr>
              <w:t>, có thể gây ô nhiễm thứ cấp</w:t>
            </w:r>
          </w:p>
        </w:tc>
      </w:tr>
      <w:tr w:rsidR="005A1A86" w14:paraId="03A39B47" w14:textId="77777777" w:rsidTr="00CC4203">
        <w:tc>
          <w:tcPr>
            <w:tcW w:w="1129" w:type="dxa"/>
            <w:vAlign w:val="center"/>
          </w:tcPr>
          <w:p w14:paraId="0BB0C20B" w14:textId="7CE529B7" w:rsidR="005A1A86" w:rsidRPr="003810AF" w:rsidRDefault="005A1A86" w:rsidP="00D52A34">
            <w:pPr>
              <w:spacing w:line="240" w:lineRule="auto"/>
              <w:ind w:firstLine="0"/>
              <w:rPr>
                <w:rFonts w:eastAsia="Times New Roman" w:cs="Times New Roman"/>
                <w:color w:val="000000"/>
                <w:szCs w:val="26"/>
                <w:lang w:eastAsia="en-US"/>
              </w:rPr>
            </w:pPr>
            <w:r w:rsidRPr="003810AF">
              <w:rPr>
                <w:rFonts w:cs="Times New Roman"/>
                <w:color w:val="000000"/>
                <w:szCs w:val="26"/>
              </w:rPr>
              <w:t>Quang phân trực tiếp</w:t>
            </w:r>
          </w:p>
          <w:p w14:paraId="6B3EB6D2" w14:textId="77777777" w:rsidR="005A1A86" w:rsidRPr="003810AF" w:rsidRDefault="005A1A86" w:rsidP="00CA2BAC">
            <w:pPr>
              <w:jc w:val="center"/>
              <w:rPr>
                <w:rFonts w:cs="Times New Roman"/>
                <w:szCs w:val="26"/>
              </w:rPr>
            </w:pPr>
          </w:p>
        </w:tc>
        <w:tc>
          <w:tcPr>
            <w:tcW w:w="2410" w:type="dxa"/>
          </w:tcPr>
          <w:p w14:paraId="5FF89118" w14:textId="54304BEE" w:rsidR="005A1A86" w:rsidRPr="003810AF" w:rsidRDefault="005A1A86"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Bức xạ UV được hấp thụ bởi nước tạo ra các gốc oxy hóa (OH∙, H</w:t>
            </w:r>
            <w:r w:rsidR="002B1A61">
              <w:rPr>
                <w:rFonts w:cs="Times New Roman"/>
                <w:color w:val="000000"/>
                <w:szCs w:val="26"/>
                <w:vertAlign w:val="subscript"/>
              </w:rPr>
              <w:t>2</w:t>
            </w:r>
            <w:r w:rsidRPr="003810AF">
              <w:rPr>
                <w:rFonts w:cs="Times New Roman"/>
                <w:color w:val="000000"/>
                <w:szCs w:val="26"/>
              </w:rPr>
              <w:t>O</w:t>
            </w:r>
            <w:r w:rsidR="002B1A61">
              <w:rPr>
                <w:rFonts w:cs="Times New Roman"/>
                <w:color w:val="000000"/>
                <w:szCs w:val="26"/>
                <w:vertAlign w:val="subscript"/>
              </w:rPr>
              <w:t>2</w:t>
            </w:r>
            <w:r w:rsidRPr="003810AF">
              <w:rPr>
                <w:rFonts w:cs="Times New Roman"/>
                <w:color w:val="000000"/>
                <w:szCs w:val="26"/>
              </w:rPr>
              <w:t>​) hoặc phá vỡ trực tiếp liên kết hóa học.</w:t>
            </w:r>
          </w:p>
        </w:tc>
        <w:tc>
          <w:tcPr>
            <w:tcW w:w="2552" w:type="dxa"/>
            <w:vAlign w:val="center"/>
          </w:tcPr>
          <w:p w14:paraId="4A69B268" w14:textId="1B91B471" w:rsidR="0036401C"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xml:space="preserve">- Đơn giản, </w:t>
            </w:r>
            <w:r w:rsidR="00F93565" w:rsidRPr="003810AF">
              <w:rPr>
                <w:rFonts w:cs="Times New Roman"/>
                <w:color w:val="000000"/>
                <w:szCs w:val="26"/>
              </w:rPr>
              <w:t>thân thiện môi trường</w:t>
            </w:r>
            <w:r w:rsidR="00296E00">
              <w:rPr>
                <w:rFonts w:cs="Times New Roman"/>
                <w:color w:val="000000"/>
                <w:szCs w:val="26"/>
              </w:rPr>
              <w:t>.</w:t>
            </w:r>
          </w:p>
          <w:p w14:paraId="221A0B4A" w14:textId="1231CCFD" w:rsidR="00B24442"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Chi phí thấp hơn các phương pháp hóa học khác</w:t>
            </w:r>
            <w:r w:rsidR="00296E00">
              <w:rPr>
                <w:rFonts w:cs="Times New Roman"/>
                <w:color w:val="000000"/>
                <w:szCs w:val="26"/>
              </w:rPr>
              <w:t>.</w:t>
            </w:r>
          </w:p>
          <w:p w14:paraId="5DE33AD5" w14:textId="3FC4252C" w:rsidR="005A1A86" w:rsidRPr="003810AF" w:rsidRDefault="005A1A86"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 Hiệu quả phân hủy chất  cao</w:t>
            </w:r>
            <w:r w:rsidR="00296E00">
              <w:rPr>
                <w:rFonts w:cs="Times New Roman"/>
                <w:color w:val="000000"/>
                <w:szCs w:val="26"/>
              </w:rPr>
              <w:t>.</w:t>
            </w:r>
          </w:p>
        </w:tc>
        <w:tc>
          <w:tcPr>
            <w:tcW w:w="2976" w:type="dxa"/>
          </w:tcPr>
          <w:p w14:paraId="02A75DD2" w14:textId="77777777"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t>- Tỷ lệ khoáng hóa thấp, tạo ra sản phẩm trung gian có thể độc hơn.</w:t>
            </w:r>
          </w:p>
          <w:p w14:paraId="7154D38B" w14:textId="438A2A34" w:rsidR="005A1A86" w:rsidRPr="00D52A34" w:rsidRDefault="005A1A86"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 Bị ảnh hưởng bởi độ đục và chất nền của nước.</w:t>
            </w:r>
          </w:p>
        </w:tc>
      </w:tr>
      <w:tr w:rsidR="005A1A86" w14:paraId="35C222B4" w14:textId="77777777" w:rsidTr="00C77B40">
        <w:tc>
          <w:tcPr>
            <w:tcW w:w="1129" w:type="dxa"/>
            <w:vAlign w:val="center"/>
          </w:tcPr>
          <w:p w14:paraId="3688B5A1" w14:textId="4643FB9A" w:rsidR="005A1A86" w:rsidRPr="003810AF" w:rsidRDefault="005A1A86" w:rsidP="00D52A34">
            <w:pPr>
              <w:spacing w:line="240" w:lineRule="auto"/>
              <w:ind w:firstLine="0"/>
              <w:rPr>
                <w:rFonts w:cs="Times New Roman"/>
                <w:szCs w:val="26"/>
              </w:rPr>
            </w:pPr>
            <w:r w:rsidRPr="003810AF">
              <w:rPr>
                <w:rFonts w:cs="Times New Roman"/>
                <w:color w:val="000000"/>
                <w:szCs w:val="26"/>
              </w:rPr>
              <w:t>Ozone hóa</w:t>
            </w:r>
          </w:p>
        </w:tc>
        <w:tc>
          <w:tcPr>
            <w:tcW w:w="2410" w:type="dxa"/>
          </w:tcPr>
          <w:p w14:paraId="35ACBC3A" w14:textId="5290942E" w:rsidR="005A1A86" w:rsidRPr="003810AF" w:rsidRDefault="00FA4C1C" w:rsidP="00BC4BAF">
            <w:pPr>
              <w:spacing w:line="240" w:lineRule="auto"/>
              <w:ind w:firstLine="0"/>
              <w:jc w:val="both"/>
              <w:rPr>
                <w:rFonts w:eastAsia="Times New Roman" w:cs="Times New Roman"/>
                <w:color w:val="000000"/>
                <w:szCs w:val="26"/>
                <w:lang w:eastAsia="en-US"/>
              </w:rPr>
            </w:pPr>
            <w:r>
              <w:rPr>
                <w:rFonts w:cs="Times New Roman"/>
                <w:color w:val="000000"/>
                <w:szCs w:val="26"/>
              </w:rPr>
              <w:t>Xảy ra quá trình o</w:t>
            </w:r>
            <w:r w:rsidR="005A1A86" w:rsidRPr="003810AF">
              <w:rPr>
                <w:rFonts w:cs="Times New Roman"/>
                <w:color w:val="000000"/>
                <w:szCs w:val="26"/>
              </w:rPr>
              <w:t xml:space="preserve">xy hóa mạnh bởi Ozone </w:t>
            </w:r>
            <w:r w:rsidR="005A1A86" w:rsidRPr="003810AF">
              <w:rPr>
                <w:rFonts w:cs="Times New Roman"/>
                <w:color w:val="000000"/>
                <w:szCs w:val="26"/>
              </w:rPr>
              <w:lastRenderedPageBreak/>
              <w:t>hoặc gốc Hydroxyl sinh ra từ sự phân hủy Ozone.</w:t>
            </w:r>
          </w:p>
        </w:tc>
        <w:tc>
          <w:tcPr>
            <w:tcW w:w="2552" w:type="dxa"/>
          </w:tcPr>
          <w:p w14:paraId="3A66C887" w14:textId="50080282" w:rsidR="005A1A86" w:rsidRPr="003810AF" w:rsidRDefault="00F93565" w:rsidP="00BC4BAF">
            <w:pPr>
              <w:spacing w:line="240" w:lineRule="auto"/>
              <w:ind w:firstLine="0"/>
              <w:jc w:val="both"/>
              <w:rPr>
                <w:rFonts w:cs="Times New Roman"/>
                <w:color w:val="000000"/>
                <w:szCs w:val="26"/>
              </w:rPr>
            </w:pPr>
            <w:r w:rsidRPr="003810AF">
              <w:rPr>
                <w:rFonts w:cs="Times New Roman"/>
                <w:color w:val="000000"/>
                <w:szCs w:val="26"/>
              </w:rPr>
              <w:lastRenderedPageBreak/>
              <w:t>-</w:t>
            </w:r>
            <w:r w:rsidR="00F47B34">
              <w:rPr>
                <w:rFonts w:cs="Times New Roman"/>
                <w:color w:val="000000"/>
                <w:szCs w:val="26"/>
              </w:rPr>
              <w:t xml:space="preserve"> </w:t>
            </w:r>
            <w:r w:rsidRPr="003810AF">
              <w:rPr>
                <w:rFonts w:cs="Times New Roman"/>
                <w:color w:val="000000"/>
                <w:szCs w:val="26"/>
              </w:rPr>
              <w:t>Hiệu quả xử lý cao</w:t>
            </w:r>
            <w:r w:rsidR="00296E00">
              <w:rPr>
                <w:rFonts w:cs="Times New Roman"/>
                <w:color w:val="000000"/>
                <w:szCs w:val="26"/>
              </w:rPr>
              <w:t>.</w:t>
            </w:r>
          </w:p>
          <w:p w14:paraId="3EBDD5A3" w14:textId="0DE36DD8" w:rsidR="00F93565" w:rsidRPr="003810AF" w:rsidRDefault="00F93565" w:rsidP="00756D0D">
            <w:pPr>
              <w:spacing w:line="240" w:lineRule="auto"/>
              <w:ind w:firstLine="0"/>
              <w:jc w:val="both"/>
              <w:rPr>
                <w:rFonts w:eastAsia="Times New Roman" w:cs="Times New Roman"/>
                <w:color w:val="000000"/>
                <w:szCs w:val="26"/>
                <w:lang w:eastAsia="en-US"/>
              </w:rPr>
            </w:pPr>
            <w:r w:rsidRPr="003810AF">
              <w:rPr>
                <w:rFonts w:cs="Times New Roman"/>
                <w:color w:val="000000"/>
                <w:szCs w:val="26"/>
              </w:rPr>
              <w:t>-</w:t>
            </w:r>
            <w:r w:rsidR="00F47B34">
              <w:rPr>
                <w:rFonts w:cs="Times New Roman"/>
                <w:color w:val="000000"/>
                <w:szCs w:val="26"/>
              </w:rPr>
              <w:t xml:space="preserve"> </w:t>
            </w:r>
            <w:r w:rsidRPr="003810AF">
              <w:rPr>
                <w:rFonts w:cs="Times New Roman"/>
                <w:color w:val="000000"/>
                <w:szCs w:val="26"/>
              </w:rPr>
              <w:t xml:space="preserve">Xử lý luôn </w:t>
            </w:r>
            <w:r w:rsidR="00573F6D" w:rsidRPr="003810AF">
              <w:rPr>
                <w:rFonts w:cs="Times New Roman"/>
                <w:color w:val="000000"/>
                <w:szCs w:val="26"/>
              </w:rPr>
              <w:t>cả</w:t>
            </w:r>
            <w:r w:rsidR="00756D0D">
              <w:rPr>
                <w:rFonts w:cs="Times New Roman"/>
                <w:color w:val="000000"/>
                <w:szCs w:val="26"/>
              </w:rPr>
              <w:t xml:space="preserve"> nấm,</w:t>
            </w:r>
            <w:r w:rsidR="00573F6D" w:rsidRPr="003810AF">
              <w:rPr>
                <w:rFonts w:cs="Times New Roman"/>
                <w:color w:val="000000"/>
                <w:szCs w:val="26"/>
              </w:rPr>
              <w:t xml:space="preserve"> </w:t>
            </w:r>
            <w:r w:rsidR="00573F6D" w:rsidRPr="003810AF">
              <w:rPr>
                <w:rFonts w:cs="Times New Roman"/>
                <w:color w:val="000000"/>
                <w:szCs w:val="26"/>
              </w:rPr>
              <w:lastRenderedPageBreak/>
              <w:t>vi khuẩn</w:t>
            </w:r>
            <w:r w:rsidR="00296E00">
              <w:rPr>
                <w:rFonts w:cs="Times New Roman"/>
                <w:color w:val="000000"/>
                <w:szCs w:val="26"/>
              </w:rPr>
              <w:t>.</w:t>
            </w:r>
          </w:p>
        </w:tc>
        <w:tc>
          <w:tcPr>
            <w:tcW w:w="2976" w:type="dxa"/>
            <w:vAlign w:val="center"/>
          </w:tcPr>
          <w:p w14:paraId="10FF1100" w14:textId="77777777"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lastRenderedPageBreak/>
              <w:t>- Chi phí thiết bị và bảo trì cao.</w:t>
            </w:r>
          </w:p>
          <w:p w14:paraId="2A3901CF" w14:textId="65BC17E0" w:rsidR="005A1A86" w:rsidRPr="003810AF" w:rsidRDefault="005A1A86" w:rsidP="00BC4BAF">
            <w:pPr>
              <w:spacing w:line="240" w:lineRule="auto"/>
              <w:ind w:firstLine="0"/>
              <w:jc w:val="both"/>
              <w:rPr>
                <w:rFonts w:cs="Times New Roman"/>
                <w:color w:val="000000"/>
                <w:szCs w:val="26"/>
              </w:rPr>
            </w:pPr>
            <w:r w:rsidRPr="003810AF">
              <w:rPr>
                <w:rFonts w:cs="Times New Roman"/>
                <w:color w:val="000000"/>
                <w:szCs w:val="26"/>
              </w:rPr>
              <w:lastRenderedPageBreak/>
              <w:t>- Tiêu tốn năng lượng.</w:t>
            </w:r>
          </w:p>
          <w:p w14:paraId="13B99C85" w14:textId="5E7688D3" w:rsidR="005A1A86" w:rsidRPr="003810AF" w:rsidRDefault="005A1A86" w:rsidP="00BC4BAF">
            <w:pPr>
              <w:spacing w:line="240" w:lineRule="auto"/>
              <w:ind w:firstLine="0"/>
              <w:jc w:val="both"/>
              <w:rPr>
                <w:rFonts w:eastAsia="Times New Roman" w:cs="Times New Roman"/>
                <w:color w:val="000000"/>
                <w:szCs w:val="26"/>
                <w:lang w:eastAsia="en-US"/>
              </w:rPr>
            </w:pPr>
            <w:r w:rsidRPr="003810AF">
              <w:rPr>
                <w:rFonts w:cs="Times New Roman"/>
                <w:color w:val="000000"/>
                <w:szCs w:val="26"/>
              </w:rPr>
              <w:t>- Độc t</w:t>
            </w:r>
            <w:r w:rsidR="000B122E">
              <w:rPr>
                <w:rFonts w:cs="Times New Roman"/>
                <w:color w:val="000000"/>
                <w:szCs w:val="26"/>
              </w:rPr>
              <w:t>ính</w:t>
            </w:r>
            <w:r w:rsidRPr="003810AF">
              <w:rPr>
                <w:rFonts w:cs="Times New Roman"/>
                <w:color w:val="000000"/>
                <w:szCs w:val="26"/>
              </w:rPr>
              <w:t xml:space="preserve"> sinh thái không được loại bỏ hoàn toàn.</w:t>
            </w:r>
          </w:p>
        </w:tc>
      </w:tr>
    </w:tbl>
    <w:p w14:paraId="0BD5E602" w14:textId="7497123F" w:rsidR="003A257E" w:rsidRDefault="003A257E" w:rsidP="00BF3350">
      <w:pPr>
        <w:spacing w:before="240"/>
        <w:ind w:firstLine="454"/>
        <w:jc w:val="both"/>
      </w:pPr>
      <w:r w:rsidRPr="00542998">
        <w:lastRenderedPageBreak/>
        <w:t>So với các phương pháp xử lý khác, hấp phụ là quá trình hiệu quả, thích hợp do thiết kế và vận hành đơn giản, chi phí thấp, ít tiêu thụ năng lượng, và không bị ảnh hưởng bởi độc chất</w:t>
      </w:r>
      <w:r w:rsidR="00BF3350">
        <w:t xml:space="preserve"> </w:t>
      </w:r>
      <w:r w:rsidR="00BF3350">
        <w:fldChar w:fldCharType="begin"/>
      </w:r>
      <w:r w:rsidR="000270E4">
        <w:instrText xml:space="preserve"> ADDIN ZOTERO_ITEM CSL_CITATION {"citationID":"Uec0JkQ5","properties":{"formattedCitation":"[59]","plainCitation":"[59]","noteIndex":0},"citationItems":[{"id":383,"uris":["http://zotero.org/users/12953706/items/JWSL5R7X"],"itemData":{"id":383,"type":"article-journal","container-title":"Science of The Total Environment","DOI":"10.1016/j.scitotenv.2015.05.130","journalAbbreviation":"Science of The Total Environment","page":"112-126","source":"ResearchGate","title":"Adsorptive removal of antibiotics from water and wastewater: Progress and challenges","title-short":"Adsorptive removal of antibiotics from water and wastewater","volume":"532","author":[{"family":"Zhou","given":"John"},{"family":"Ngo","given":"Huu"},{"family":"Guo","given":"Wenshan"}],"issued":{"date-parts":[["2015",11,1]]}}}],"schema":"https://github.com/citation-style-language/schema/raw/master/csl-citation.json"} </w:instrText>
      </w:r>
      <w:r w:rsidR="00BF3350">
        <w:fldChar w:fldCharType="separate"/>
      </w:r>
      <w:r w:rsidR="000270E4" w:rsidRPr="000270E4">
        <w:rPr>
          <w:rFonts w:cs="Times New Roman"/>
        </w:rPr>
        <w:t>[59]</w:t>
      </w:r>
      <w:r w:rsidR="00BF3350">
        <w:fldChar w:fldCharType="end"/>
      </w:r>
      <w:r>
        <w:t xml:space="preserve">. </w:t>
      </w:r>
      <w:r w:rsidRPr="00542998">
        <w:t>Quá trình hấp phụ kháng sinh được nghiên cứu rộng rãi sử dụng nhiều vật liệu hấp phụ khác nhau bao gồm than hoạt tính, than sinh học, ống nano carbon, polymer, bentonite, zeolite, vật liệu trao đổi ion, graphene, hydrogel và nanocompo</w:t>
      </w:r>
      <w:r w:rsidR="000B122E">
        <w:t>s</w:t>
      </w:r>
      <w:r w:rsidRPr="00542998">
        <w:t>it</w:t>
      </w:r>
      <w:r w:rsidR="000B122E">
        <w:t>e</w:t>
      </w:r>
      <w:r w:rsidR="00BF3350">
        <w:t xml:space="preserve"> </w:t>
      </w:r>
      <w:r w:rsidR="00BF3350">
        <w:fldChar w:fldCharType="begin"/>
      </w:r>
      <w:r w:rsidR="000270E4">
        <w:instrText xml:space="preserve"> ADDIN ZOTERO_ITEM CSL_CITATION {"citationID":"mPtrY6gW","properties":{"formattedCitation":"[59]","plainCitation":"[59]","noteIndex":0},"citationItems":[{"id":383,"uris":["http://zotero.org/users/12953706/items/JWSL5R7X"],"itemData":{"id":383,"type":"article-journal","container-title":"Science of The Total Environment","DOI":"10.1016/j.scitotenv.2015.05.130","journalAbbreviation":"Science of The Total Environment","page":"112-126","source":"ResearchGate","title":"Adsorptive removal of antibiotics from water and wastewater: Progress and challenges","title-short":"Adsorptive removal of antibiotics from water and wastewater","volume":"532","author":[{"family":"Zhou","given":"John"},{"family":"Ngo","given":"Huu"},{"family":"Guo","given":"Wenshan"}],"issued":{"date-parts":[["2015",11,1]]}}}],"schema":"https://github.com/citation-style-language/schema/raw/master/csl-citation.json"} </w:instrText>
      </w:r>
      <w:r w:rsidR="00BF3350">
        <w:fldChar w:fldCharType="separate"/>
      </w:r>
      <w:r w:rsidR="000270E4" w:rsidRPr="000270E4">
        <w:rPr>
          <w:rFonts w:cs="Times New Roman"/>
        </w:rPr>
        <w:t>[59]</w:t>
      </w:r>
      <w:r w:rsidR="00BF3350">
        <w:fldChar w:fldCharType="end"/>
      </w:r>
      <w:r>
        <w:t xml:space="preserve">. </w:t>
      </w:r>
      <w:r w:rsidRPr="00542998">
        <w:t>Trong đó, chất hấp phụ gốc carbon được coi là vật liệu hiệu quả để xử lý kháng sinh trong nước do hiệu quả về kinh tế, hiệu suất cao và thân thiện với môi trường</w:t>
      </w:r>
      <w:r w:rsidR="003F7816">
        <w:t xml:space="preserve"> </w:t>
      </w:r>
      <w:r w:rsidR="003F7816">
        <w:fldChar w:fldCharType="begin"/>
      </w:r>
      <w:r w:rsidR="001B5639">
        <w:instrText xml:space="preserve"> ADDIN ZOTERO_ITEM CSL_CITATION {"citationID":"TjMFBPyJ","properties":{"formattedCitation":"[8]","plainCitation":"[8]","noteIndex":0},"citationItems":[{"id":322,"uris":["http://zotero.org/users/12953706/items/2253QT7F"],"itemData":{"id":322,"type":"article-journal","abstract":"In recent years, many studies have been devoted to investigate the application of biochar for pollutants removal from aqueous solutions. Biochar exhibits a great potential to efficiently tackle water contaminants considering the wide availability of feedstock, low-cost and favorable physical/chemical surface characteristics. This review provides an overview of biochar production technologies, biochar properties, and recent advances in the removal of heavy metals, organic pollutants and other inorganic pollutants using biochar. Experimental studies related to the adsorption behaviors of biochar toward various contaminants, key affecting factors and the underlying mechanisms proposed to explain the adsorption behaviors, have been comprehensively reviewed. Furthermore, research gaps and uncertainties that exist in the use of biochar as an adsorbent are identified. Further research needs for biochar and potential areas for future application of biochars are also proposed.","container-title":"Chemosphere","DOI":"10.1016/j.chemosphere.2014.12.058","ISSN":"0045-6535","journalAbbreviation":"Chemosphere","page":"70-85","source":"ScienceDirect","title":"Application of biochar for the removal of pollutants from aqueous solutions","volume":"125","author":[{"family":"Tan","given":"Xiaofei"},{"family":"Liu","given":"Yunguo"},{"family":"Zeng","given":"Guangming"},{"family":"Wang","given":"Xin"},{"family":"Hu","given":"Xinjiang"},{"family":"Gu","given":"Yanling"},{"family":"Yang","given":"Zhongzhu"}],"issued":{"date-parts":[["2015",4,1]]}}}],"schema":"https://github.com/citation-style-language/schema/raw/master/csl-citation.json"} </w:instrText>
      </w:r>
      <w:r w:rsidR="003F7816">
        <w:fldChar w:fldCharType="separate"/>
      </w:r>
      <w:r w:rsidR="001B5639" w:rsidRPr="001B5639">
        <w:rPr>
          <w:rFonts w:cs="Times New Roman"/>
        </w:rPr>
        <w:t>[8]</w:t>
      </w:r>
      <w:r w:rsidR="003F7816">
        <w:fldChar w:fldCharType="end"/>
      </w:r>
      <w:r w:rsidRPr="00542998">
        <w:t>.</w:t>
      </w:r>
    </w:p>
    <w:p w14:paraId="27E599E5" w14:textId="3CCC8578" w:rsidR="003A257E" w:rsidRDefault="003A257E" w:rsidP="003A257E">
      <w:pPr>
        <w:ind w:firstLine="454"/>
        <w:jc w:val="both"/>
      </w:pPr>
      <w:r w:rsidRPr="00542998">
        <w:t>Hấp phụ là quá trình tích tụ các chất ô nhiễm lên bề mặt chất hấp phụ thông qua cơ chế vật lý hoặc hóa học</w:t>
      </w:r>
      <w:r w:rsidR="00D31C99">
        <w:t xml:space="preserve"> </w:t>
      </w:r>
      <w:r w:rsidR="00D31C99">
        <w:fldChar w:fldCharType="begin"/>
      </w:r>
      <w:r w:rsidR="000270E4">
        <w:instrText xml:space="preserve"> ADDIN ZOTERO_ITEM CSL_CITATION {"citationID":"U2emGlFZ","properties":{"formattedCitation":"[60]","plainCitation":"[60]","noteIndex":0},"citationItems":[{"id":388,"uris":["http://zotero.org/users/12953706/items/AJJFDJD2"],"itemData":{"id":388,"type":"article-journal","abstract":"In recent years, adsorption science and technology for water and wastewater treatment has attracted substantial attention from the scientific community. However, the number of publications containing inconsistent concepts is increasing. Many publications either reiterate previously discussed mistakes or create new mistakes. The inconsistencies are reflected by the increasing publication of certain types of article in this field, including “short communications”, “discussions”, “critical reviews”, “comments”, “letters to the editor”, and “correspondence (comment/rebuttal)”. This article aims to discuss (1) the inaccurate use of technical terms, (2) the problem associated with quantities for measuring adsorption performance, (3) the important roles of the adsorbate and adsorbent pKa, (4) mistakes related to the study of adsorption kinetics, isotherms, and thermodynamics, (5) several problems related to adsorption mechanisms, (6) inconsistent data points in experimental data and model fitting, (7) mistakes in measuring the specific surface area of an adsorbent, and (8) other mistakes found in the literature. Furthermore, correct expressions and original citations of the relevant models (i.e., adsorption kinetics and isotherms) are provided. The authors hope that this work will be helpful for readers, researchers, reviewers, and editors who are interested in the field of adsorption studies.","container-title":"Water Research","DOI":"10.1016/j.watres.2017.04.014","ISSN":"0043-1354","journalAbbreviation":"Water Research","page":"88-116","source":"ScienceDirect","title":"Mistakes and inconsistencies regarding adsorption of contaminants from aqueous solutions: A critical review","title-short":"Mistakes and inconsistencies regarding adsorption of contaminants from aqueous solutions","volume":"120","author":[{"family":"Tran","given":"Hai Nguyen"},{"family":"You","given":"Sheng-Jie"},{"family":"Hosseini-Bandegharaei","given":"Ahmad"},{"family":"Chao","given":"Huan-Ping"}],"issued":{"date-parts":[["2017",9,1]]}}}],"schema":"https://github.com/citation-style-language/schema/raw/master/csl-citation.json"} </w:instrText>
      </w:r>
      <w:r w:rsidR="00D31C99">
        <w:fldChar w:fldCharType="separate"/>
      </w:r>
      <w:r w:rsidR="000270E4" w:rsidRPr="000270E4">
        <w:rPr>
          <w:rFonts w:cs="Times New Roman"/>
        </w:rPr>
        <w:t>[60]</w:t>
      </w:r>
      <w:r w:rsidR="00D31C99">
        <w:fldChar w:fldCharType="end"/>
      </w:r>
      <w:r w:rsidRPr="00542998">
        <w:t>. Hấp phụ vật lý là một quá trình thuận nghịch liên quan đến các lực vật lý như khuếch tán bề mặt, liên kết hydro, lực vander Waals, tương tác kỵ nước...</w:t>
      </w:r>
      <w:r w:rsidR="00D31C99">
        <w:t xml:space="preserve"> </w:t>
      </w:r>
      <w:r w:rsidR="00D31C99">
        <w:fldChar w:fldCharType="begin"/>
      </w:r>
      <w:r w:rsidR="000270E4">
        <w:instrText xml:space="preserve"> ADDIN ZOTERO_ITEM CSL_CITATION {"citationID":"DnHLms30","properties":{"formattedCitation":"[60]","plainCitation":"[60]","noteIndex":0},"citationItems":[{"id":388,"uris":["http://zotero.org/users/12953706/items/AJJFDJD2"],"itemData":{"id":388,"type":"article-journal","abstract":"In recent years, adsorption science and technology for water and wastewater treatment has attracted substantial attention from the scientific community. However, the number of publications containing inconsistent concepts is increasing. Many publications either reiterate previously discussed mistakes or create new mistakes. The inconsistencies are reflected by the increasing publication of certain types of article in this field, including “short communications”, “discussions”, “critical reviews”, “comments”, “letters to the editor”, and “correspondence (comment/rebuttal)”. This article aims to discuss (1) the inaccurate use of technical terms, (2) the problem associated with quantities for measuring adsorption performance, (3) the important roles of the adsorbate and adsorbent pKa, (4) mistakes related to the study of adsorption kinetics, isotherms, and thermodynamics, (5) several problems related to adsorption mechanisms, (6) inconsistent data points in experimental data and model fitting, (7) mistakes in measuring the specific surface area of an adsorbent, and (8) other mistakes found in the literature. Furthermore, correct expressions and original citations of the relevant models (i.e., adsorption kinetics and isotherms) are provided. The authors hope that this work will be helpful for readers, researchers, reviewers, and editors who are interested in the field of adsorption studies.","container-title":"Water Research","DOI":"10.1016/j.watres.2017.04.014","ISSN":"0043-1354","journalAbbreviation":"Water Research","page":"88-116","source":"ScienceDirect","title":"Mistakes and inconsistencies regarding adsorption of contaminants from aqueous solutions: A critical review","title-short":"Mistakes and inconsistencies regarding adsorption of contaminants from aqueous solutions","volume":"120","author":[{"family":"Tran","given":"Hai Nguyen"},{"family":"You","given":"Sheng-Jie"},{"family":"Hosseini-Bandegharaei","given":"Ahmad"},{"family":"Chao","given":"Huan-Ping"}],"issued":{"date-parts":[["2017",9,1]]}}}],"schema":"https://github.com/citation-style-language/schema/raw/master/csl-citation.json"} </w:instrText>
      </w:r>
      <w:r w:rsidR="00D31C99">
        <w:fldChar w:fldCharType="separate"/>
      </w:r>
      <w:r w:rsidR="000270E4" w:rsidRPr="000270E4">
        <w:rPr>
          <w:rFonts w:cs="Times New Roman"/>
        </w:rPr>
        <w:t>[60]</w:t>
      </w:r>
      <w:r w:rsidR="00D31C99">
        <w:fldChar w:fldCharType="end"/>
      </w:r>
      <w:r w:rsidR="00D31C99">
        <w:t>.</w:t>
      </w:r>
      <w:r w:rsidRPr="00542998">
        <w:t xml:space="preserve"> Hấp phụ hóa học là quá trình không thuận nghịch, trong đó chất hấp phụ và chất bị hấp phụ liên kết với nhau thông qua các tương tác hóa học, bao gồm liên kết cộng hóa trị, tạo phức kim loại hoặc trao đổi ion</w:t>
      </w:r>
      <w:r w:rsidR="00D31C99">
        <w:t xml:space="preserve"> </w:t>
      </w:r>
      <w:r w:rsidR="00D31C99">
        <w:fldChar w:fldCharType="begin"/>
      </w:r>
      <w:r w:rsidR="000270E4">
        <w:instrText xml:space="preserve"> ADDIN ZOTERO_ITEM CSL_CITATION {"citationID":"HzMcmDmE","properties":{"formattedCitation":"[60]","plainCitation":"[60]","noteIndex":0},"citationItems":[{"id":388,"uris":["http://zotero.org/users/12953706/items/AJJFDJD2"],"itemData":{"id":388,"type":"article-journal","abstract":"In recent years, adsorption science and technology for water and wastewater treatment has attracted substantial attention from the scientific community. However, the number of publications containing inconsistent concepts is increasing. Many publications either reiterate previously discussed mistakes or create new mistakes. The inconsistencies are reflected by the increasing publication of certain types of article in this field, including “short communications”, “discussions”, “critical reviews”, “comments”, “letters to the editor”, and “correspondence (comment/rebuttal)”. This article aims to discuss (1) the inaccurate use of technical terms, (2) the problem associated with quantities for measuring adsorption performance, (3) the important roles of the adsorbate and adsorbent pKa, (4) mistakes related to the study of adsorption kinetics, isotherms, and thermodynamics, (5) several problems related to adsorption mechanisms, (6) inconsistent data points in experimental data and model fitting, (7) mistakes in measuring the specific surface area of an adsorbent, and (8) other mistakes found in the literature. Furthermore, correct expressions and original citations of the relevant models (i.e., adsorption kinetics and isotherms) are provided. The authors hope that this work will be helpful for readers, researchers, reviewers, and editors who are interested in the field of adsorption studies.","container-title":"Water Research","DOI":"10.1016/j.watres.2017.04.014","ISSN":"0043-1354","journalAbbreviation":"Water Research","page":"88-116","source":"ScienceDirect","title":"Mistakes and inconsistencies regarding adsorption of contaminants from aqueous solutions: A critical review","title-short":"Mistakes and inconsistencies regarding adsorption of contaminants from aqueous solutions","volume":"120","author":[{"family":"Tran","given":"Hai Nguyen"},{"family":"You","given":"Sheng-Jie"},{"family":"Hosseini-Bandegharaei","given":"Ahmad"},{"family":"Chao","given":"Huan-Ping"}],"issued":{"date-parts":[["2017",9,1]]}}}],"schema":"https://github.com/citation-style-language/schema/raw/master/csl-citation.json"} </w:instrText>
      </w:r>
      <w:r w:rsidR="00D31C99">
        <w:fldChar w:fldCharType="separate"/>
      </w:r>
      <w:r w:rsidR="000270E4" w:rsidRPr="000270E4">
        <w:rPr>
          <w:rFonts w:cs="Times New Roman"/>
        </w:rPr>
        <w:t>[60]</w:t>
      </w:r>
      <w:r w:rsidR="00D31C99">
        <w:fldChar w:fldCharType="end"/>
      </w:r>
      <w:r w:rsidRPr="00542998">
        <w:t>.</w:t>
      </w:r>
      <w:r>
        <w:t xml:space="preserve"> </w:t>
      </w:r>
      <w:r w:rsidRPr="00542998">
        <w:t>Hiệu quả của quá trình hấp phụ bị ảnh hưởng nhiều bởi đặc tính của chất hấp phụ như diện tích bề mặt</w:t>
      </w:r>
      <w:r w:rsidR="0023639C">
        <w:t xml:space="preserve"> và</w:t>
      </w:r>
      <w:r w:rsidRPr="00542998">
        <w:t xml:space="preserve"> đường kính</w:t>
      </w:r>
      <w:r w:rsidR="0023639C">
        <w:t>, thể tích</w:t>
      </w:r>
      <w:r w:rsidRPr="00542998">
        <w:t xml:space="preserve"> lỗ </w:t>
      </w:r>
      <w:r w:rsidR="0023639C">
        <w:t>mao quản</w:t>
      </w:r>
      <w:r w:rsidR="00D31C99">
        <w:t xml:space="preserve"> </w:t>
      </w:r>
      <w:r w:rsidR="00D31C99">
        <w:fldChar w:fldCharType="begin"/>
      </w:r>
      <w:r w:rsidR="000270E4">
        <w:instrText xml:space="preserve"> ADDIN ZOTERO_ITEM CSL_CITATION {"citationID":"y6eJaYqh","properties":{"formattedCitation":"[60]","plainCitation":"[60]","noteIndex":0},"citationItems":[{"id":388,"uris":["http://zotero.org/users/12953706/items/AJJFDJD2"],"itemData":{"id":388,"type":"article-journal","abstract":"In recent years, adsorption science and technology for water and wastewater treatment has attracted substantial attention from the scientific community. However, the number of publications containing inconsistent concepts is increasing. Many publications either reiterate previously discussed mistakes or create new mistakes. The inconsistencies are reflected by the increasing publication of certain types of article in this field, including “short communications”, “discussions”, “critical reviews”, “comments”, “letters to the editor”, and “correspondence (comment/rebuttal)”. This article aims to discuss (1) the inaccurate use of technical terms, (2) the problem associated with quantities for measuring adsorption performance, (3) the important roles of the adsorbate and adsorbent pKa, (4) mistakes related to the study of adsorption kinetics, isotherms, and thermodynamics, (5) several problems related to adsorption mechanisms, (6) inconsistent data points in experimental data and model fitting, (7) mistakes in measuring the specific surface area of an adsorbent, and (8) other mistakes found in the literature. Furthermore, correct expressions and original citations of the relevant models (i.e., adsorption kinetics and isotherms) are provided. The authors hope that this work will be helpful for readers, researchers, reviewers, and editors who are interested in the field of adsorption studies.","container-title":"Water Research","DOI":"10.1016/j.watres.2017.04.014","ISSN":"0043-1354","journalAbbreviation":"Water Research","page":"88-116","source":"ScienceDirect","title":"Mistakes and inconsistencies regarding adsorption of contaminants from aqueous solutions: A critical review","title-short":"Mistakes and inconsistencies regarding adsorption of contaminants from aqueous solutions","volume":"120","author":[{"family":"Tran","given":"Hai Nguyen"},{"family":"You","given":"Sheng-Jie"},{"family":"Hosseini-Bandegharaei","given":"Ahmad"},{"family":"Chao","given":"Huan-Ping"}],"issued":{"date-parts":[["2017",9,1]]}}}],"schema":"https://github.com/citation-style-language/schema/raw/master/csl-citation.json"} </w:instrText>
      </w:r>
      <w:r w:rsidR="00D31C99">
        <w:fldChar w:fldCharType="separate"/>
      </w:r>
      <w:r w:rsidR="000270E4" w:rsidRPr="000270E4">
        <w:rPr>
          <w:rFonts w:cs="Times New Roman"/>
        </w:rPr>
        <w:t>[60]</w:t>
      </w:r>
      <w:r w:rsidR="00D31C99">
        <w:fldChar w:fldCharType="end"/>
      </w:r>
      <w:r w:rsidRPr="00542998">
        <w:t>. Giá trị pH dung dịch có ảnh hưởng mạnh mẽ đến hiệu suất của quá trình hấp phụ do có thể ảnh hưởng đến đặc t</w:t>
      </w:r>
      <w:r w:rsidR="003B65D9">
        <w:t>ĩ</w:t>
      </w:r>
      <w:r w:rsidRPr="00542998">
        <w:t>nh điện tích bề mặt của chất hấp phụ và dạng</w:t>
      </w:r>
      <w:r w:rsidR="0023639C">
        <w:t xml:space="preserve"> tồn tại của phân tử chất bị hấp phụ</w:t>
      </w:r>
      <w:r w:rsidRPr="00542998">
        <w:t xml:space="preserve"> </w:t>
      </w:r>
      <w:r>
        <w:fldChar w:fldCharType="begin"/>
      </w:r>
      <w:r w:rsidR="000270E4">
        <w:instrText xml:space="preserve"> ADDIN ZOTERO_ITEM CSL_CITATION {"citationID":"jjds8pAK","properties":{"formattedCitation":"[61]","plainCitation":"[61]","noteIndex":0},"citationItems":[{"id":312,"uris":["http://zotero.org/users/12953706/items/MSPQ7REZ"],"itemData":{"id":312,"type":"article-journal","abstract":"Contamination of environmental matrixes by human and animal wastes containing antibiotics is a growing health concern. Because tetracycline is one of the most widely-used antibiotics in the world, it is important to understand the factors that influence its mobility in soils. This study investigated the effects of pH, background electrolyte cations (Li(+), Na(+), K(+), Ca(2+) and Mg(2+)), heavy metal Cu(2+) and humic acid (HA) on tetracycline adsorption onto kaolinite. Results showed that tetracycline was greatly adsorbed by kaolinite over pH 3-6, then decreased with the increase of pH, indicating that tetracycline adsorption mainly through ion exchange of cations species and complexation of zwitterions species. In the presence of five types of cations (Li(+), Na(+), K(+), Ca(2+) and Mg(2+)), tetracycline adsorption decreased in accordance with the increasing of atomic radius and valence of metal cations, which suggested that outer-sphere complexes formed between tetracycline and kaolinite, and the existence of competitor ions lead to the decreasing adsorption. The presence of Cu(2+) greatly enhanced the adsorption probably by acting as a bridge ion between tetracycline species and the edge sites of kaolinite. HA also showed a major effect on the adsorption: at pH &lt; 6, the presence of HA increased the adsorption, while the addition of HA showed little effect on tetracycline adsorption at higher pH. The soil environmental conditions, like pH, metal cations and soil organic matter, strongly influence the adsorption behavior of tetracycline onto kaolinite and need to be considered when assessing the environmental toxicity of tetracycline.","container-title":"Ecotoxicology (London, England)","DOI":"10.1007/s10646-011-0665-6","journalAbbreviation":"Ecotoxicology (London, England)","page":"1141-7","source":"ResearchGate","title":"Tetracycline adsorption on kaolinite: PH, metal cations and humic acid effects","title-short":"Tetracycline adsorption on kaolinite","volume":"20","author":[{"family":"Zhao","given":"Yanping"},{"family":"Geng","given":"Jinju"},{"family":"Wang","given":"Xiaorong"},{"family":"Gu","given":"Xueyuan"},{"family":"Gao","given":"Shixiang"}],"issued":{"date-parts":[["2011",4,1]]}}}],"schema":"https://github.com/citation-style-language/schema/raw/master/csl-citation.json"} </w:instrText>
      </w:r>
      <w:r>
        <w:fldChar w:fldCharType="separate"/>
      </w:r>
      <w:r w:rsidR="000270E4" w:rsidRPr="000270E4">
        <w:rPr>
          <w:rFonts w:cs="Times New Roman"/>
        </w:rPr>
        <w:t>[61]</w:t>
      </w:r>
      <w:r>
        <w:fldChar w:fldCharType="end"/>
      </w:r>
      <w:r w:rsidRPr="00542998">
        <w:t>. Các thông số như thời gian tiếp xúc, nồng độ ban đầu của chất ô nhiễm cũng ảnh hưởng tới quá trình hấp phụ</w:t>
      </w:r>
      <w:r w:rsidR="00D31C99">
        <w:t xml:space="preserve"> </w:t>
      </w:r>
      <w:r w:rsidR="00D31C99">
        <w:fldChar w:fldCharType="begin"/>
      </w:r>
      <w:r w:rsidR="000270E4">
        <w:instrText xml:space="preserve"> ADDIN ZOTERO_ITEM CSL_CITATION {"citationID":"dcWrLzyU","properties":{"formattedCitation":"[61]","plainCitation":"[61]","noteIndex":0},"citationItems":[{"id":312,"uris":["http://zotero.org/users/12953706/items/MSPQ7REZ"],"itemData":{"id":312,"type":"article-journal","abstract":"Contamination of environmental matrixes by human and animal wastes containing antibiotics is a growing health concern. Because tetracycline is one of the most widely-used antibiotics in the world, it is important to understand the factors that influence its mobility in soils. This study investigated the effects of pH, background electrolyte cations (Li(+), Na(+), K(+), Ca(2+) and Mg(2+)), heavy metal Cu(2+) and humic acid (HA) on tetracycline adsorption onto kaolinite. Results showed that tetracycline was greatly adsorbed by kaolinite over pH 3-6, then decreased with the increase of pH, indicating that tetracycline adsorption mainly through ion exchange of cations species and complexation of zwitterions species. In the presence of five types of cations (Li(+), Na(+), K(+), Ca(2+) and Mg(2+)), tetracycline adsorption decreased in accordance with the increasing of atomic radius and valence of metal cations, which suggested that outer-sphere complexes formed between tetracycline and kaolinite, and the existence of competitor ions lead to the decreasing adsorption. The presence of Cu(2+) greatly enhanced the adsorption probably by acting as a bridge ion between tetracycline species and the edge sites of kaolinite. HA also showed a major effect on the adsorption: at pH &lt; 6, the presence of HA increased the adsorption, while the addition of HA showed little effect on tetracycline adsorption at higher pH. The soil environmental conditions, like pH, metal cations and soil organic matter, strongly influence the adsorption behavior of tetracycline onto kaolinite and need to be considered when assessing the environmental toxicity of tetracycline.","container-title":"Ecotoxicology (London, England)","DOI":"10.1007/s10646-011-0665-6","journalAbbreviation":"Ecotoxicology (London, England)","page":"1141-7","source":"ResearchGate","title":"Tetracycline adsorption on kaolinite: PH, metal cations and humic acid effects","title-short":"Tetracycline adsorption on kaolinite","volume":"20","author":[{"family":"Zhao","given":"Yanping"},{"family":"Geng","given":"Jinju"},{"family":"Wang","given":"Xiaorong"},{"family":"Gu","given":"Xueyuan"},{"family":"Gao","given":"Shixiang"}],"issued":{"date-parts":[["2011",4,1]]}}}],"schema":"https://github.com/citation-style-language/schema/raw/master/csl-citation.json"} </w:instrText>
      </w:r>
      <w:r w:rsidR="00D31C99">
        <w:fldChar w:fldCharType="separate"/>
      </w:r>
      <w:r w:rsidR="000270E4" w:rsidRPr="000270E4">
        <w:rPr>
          <w:rFonts w:cs="Times New Roman"/>
        </w:rPr>
        <w:t>[61]</w:t>
      </w:r>
      <w:r w:rsidR="00D31C99">
        <w:fldChar w:fldCharType="end"/>
      </w:r>
      <w:r w:rsidRPr="00542998">
        <w:t xml:space="preserve">. </w:t>
      </w:r>
    </w:p>
    <w:p w14:paraId="0F48E230" w14:textId="640E9528" w:rsidR="00B538B4" w:rsidRDefault="00DF36FB" w:rsidP="00AC32AF">
      <w:pPr>
        <w:pStyle w:val="Heading3"/>
      </w:pPr>
      <w:bookmarkStart w:id="8" w:name="_Toc233142626"/>
      <w:r>
        <w:t>Cơ chế h</w:t>
      </w:r>
      <w:r w:rsidR="00B538B4">
        <w:t>ấp phụ kháng sinh Tetracycline</w:t>
      </w:r>
      <w:bookmarkEnd w:id="8"/>
    </w:p>
    <w:p w14:paraId="526BB7BD" w14:textId="471A6949" w:rsidR="009D454D" w:rsidRPr="009D454D" w:rsidRDefault="0018727D" w:rsidP="00F82317">
      <w:pPr>
        <w:ind w:firstLine="454"/>
        <w:jc w:val="both"/>
      </w:pPr>
      <w:r>
        <w:t xml:space="preserve">Quá </w:t>
      </w:r>
      <w:r w:rsidRPr="0018727D">
        <w:t xml:space="preserve">trình hấp phụ TC từ môi trường nước lên bề mặt vật liệu rắn là một quá trình lý - hóa phức tạp, chịu sự chi phối đồng thời của nhiều cơ chế tương tác khác nhau tùy thuộc vào đặc tính của chất hấp phụ và điều kiện môi trường </w:t>
      </w:r>
      <w:r w:rsidR="000B62C7">
        <w:fldChar w:fldCharType="begin"/>
      </w:r>
      <w:r w:rsidR="000270E4">
        <w:instrText xml:space="preserve"> ADDIN ZOTERO_ITEM CSL_CITATION {"citationID":"PayR1F5o","properties":{"formattedCitation":"[62]","plainCitation":"[62]","noteIndex":0},"citationItems":[{"id":345,"uris":["http://zotero.org/users/12953706/items/PC7R2KMH"],"itemData":{"id":345,"type":"article-journal","abstract":"Utilization of biochar (BC) as a low cost adsorbent for water remediation has gained an immense research interest due to their surface functionality and porosity. Although many reports on the BC based sorptive removal of Sulfonamides (SA) and Tetracyclines (TC) are available in literature, a deep insight into sorption mechanisms is yet to be reviewed. Objective of this review is to fill the research gap of a methodological understanding of sorption mechanisms and characteristics which is essential to develop efficient methods for contaminant removal. The most common adsorption mechanism can be considered as electron donor-acceptor interactions of electron withdrawing moieties with surface arene rings. The strongest adsorption of both antibiotics occurs at mildly acidic pH where the dominant species are zwitterionic or cationic. Smaller SAs exhibit micro pore-filling effects while bulky TCs experience size exclusions. Furthermore, the effect of matrix components and modifications are also been taken into account.","collection-title":"Special Issue on Biochar: Production, Characterization and Applications – Beyond Soil Applications","container-title":"Bioresource Technology","DOI":"10.1016/j.biortech.2017.07.150","ISSN":"0960-8524","journalAbbreviation":"Bioresource Technology","page":"150-159","source":"ScienceDirect","title":"Biochar based removal of antibiotic sulfonamides and tetracyclines in aquatic environments: A critical review","title-short":"Biochar based removal of antibiotic sulfonamides and tetracyclines in aquatic environments","volume":"246","author":[{"family":"Peiris","given":"Chathuri"},{"family":"Gunatilake","given":"Sameera R."},{"family":"Mlsna","given":"Todd E."},{"family":"Mohan","given":"Dinesh"},{"family":"Vithanage","given":"Meththika"}],"issued":{"date-parts":[["2017",12,1]]}}}],"schema":"https://github.com/citation-style-language/schema/raw/master/csl-citation.json"} </w:instrText>
      </w:r>
      <w:r w:rsidR="000B62C7">
        <w:fldChar w:fldCharType="separate"/>
      </w:r>
      <w:r w:rsidR="000270E4" w:rsidRPr="000270E4">
        <w:rPr>
          <w:rFonts w:cs="Times New Roman"/>
        </w:rPr>
        <w:t>[62]</w:t>
      </w:r>
      <w:r w:rsidR="000B62C7">
        <w:fldChar w:fldCharType="end"/>
      </w:r>
      <w:r w:rsidRPr="0018727D">
        <w:t>.</w:t>
      </w:r>
      <w:r w:rsidR="00E43209">
        <w:t xml:space="preserve"> </w:t>
      </w:r>
      <w:r w:rsidRPr="0018727D">
        <w:t xml:space="preserve">Về </w:t>
      </w:r>
      <w:r w:rsidR="000B62C7">
        <w:t>cơ chế</w:t>
      </w:r>
      <w:r w:rsidRPr="0018727D">
        <w:t xml:space="preserve"> vật lý, hiệu ứng điền đầy lỗ xốp thường đóng vai trò nền tảng khi kích thước </w:t>
      </w:r>
      <w:r w:rsidR="005873AE">
        <w:t>động học</w:t>
      </w:r>
      <w:r w:rsidR="00485AB6">
        <w:t xml:space="preserve"> của loại kháng sinh </w:t>
      </w:r>
      <w:r w:rsidR="005873AE">
        <w:t>TC là 1,2 x 0,6 nm (đường kính đạt 1,4–1,6 nm nếu ngậm nước</w:t>
      </w:r>
      <w:r w:rsidR="00B6336A">
        <w:t>)</w:t>
      </w:r>
      <w:r w:rsidR="00BF3EF5">
        <w:t xml:space="preserve"> </w:t>
      </w:r>
      <w:r w:rsidR="00BF3EF5">
        <w:fldChar w:fldCharType="begin"/>
      </w:r>
      <w:r w:rsidR="000270E4">
        <w:instrText xml:space="preserve"> ADDIN ZOTERO_ITEM CSL_CITATION {"citationID":"LLihfGix","properties":{"formattedCitation":"[63]","plainCitation":"[63]","noteIndex":0},"citationItems":[{"id":372,"uris":["http://zotero.org/users/12953706/items/7ZMXZ6BH"],"itemData":{"id":372,"type":"article-journal","abstract":"For the first time the present study investigated the production, characterization and application of engineered biochar derived from alfalfa hays for removal of tetracycline (TC) in water. The NaOH activation of alfalfa-derived raw biochar (BCR) made significant increase in surface area (796.50 m2/g) and pore volume (0.087 cm3/g). The NaOH-activated BC (BCA) showed much higher adsorption capacity for TC (Qm = 302.37 mg/g) than BCR, but comparable to the commercial activated carbon (Calgon F400). The detailed analyses of the kinetic and isotherm studies suggested the strong chemisorptive interactions between TC and BCA via multiple mechanisms. In addition, intraparticle diffusion was considered as the major limitation for the adsorption of TC onto BCA. Furthermore, the fixed bed experiments revealed that BCA could be a promising adsorbent for treating large volume of TC-contaminated water in columns.","container-title":"Bioresource Technology","DOI":"10.1016/j.biortech.2019.03.131","ISSN":"0960-8524","journalAbbreviation":"Bioresource Technology","page":"437-447","source":"ScienceDirect","title":"Engineered biochar from agricultural waste for removal of tetracycline in water","volume":"284","author":[{"family":"Jang","given":"Hyun Min"},{"family":"Kan","given":"Eunsung"}],"issued":{"date-parts":[["2019",7,1]]}}}],"schema":"https://github.com/citation-style-language/schema/raw/master/csl-citation.json"} </w:instrText>
      </w:r>
      <w:r w:rsidR="00BF3EF5">
        <w:fldChar w:fldCharType="separate"/>
      </w:r>
      <w:r w:rsidR="000270E4" w:rsidRPr="000270E4">
        <w:rPr>
          <w:rFonts w:cs="Times New Roman"/>
        </w:rPr>
        <w:t>[63]</w:t>
      </w:r>
      <w:r w:rsidR="00BF3EF5">
        <w:fldChar w:fldCharType="end"/>
      </w:r>
      <w:r w:rsidR="00FA3BAA">
        <w:t>.</w:t>
      </w:r>
      <w:r w:rsidR="00B6336A">
        <w:t xml:space="preserve"> Đây là</w:t>
      </w:r>
      <w:r w:rsidR="00FA3BAA">
        <w:t xml:space="preserve"> </w:t>
      </w:r>
      <w:r w:rsidR="00B6336A">
        <w:t>k</w:t>
      </w:r>
      <w:r w:rsidR="00FA3BAA">
        <w:t>ích thước</w:t>
      </w:r>
      <w:r w:rsidRPr="0018727D">
        <w:t xml:space="preserve"> tương thích với hệ thống mao quản của vật liệu</w:t>
      </w:r>
      <w:r w:rsidR="00B6336A">
        <w:t xml:space="preserve"> hấp phụ</w:t>
      </w:r>
      <w:r w:rsidRPr="0018727D">
        <w:t xml:space="preserve"> (đặc biệt là vùng </w:t>
      </w:r>
      <w:r w:rsidR="00E158B8">
        <w:t xml:space="preserve">lỗ trung mao quản </w:t>
      </w:r>
      <w:r w:rsidRPr="0018727D">
        <w:t xml:space="preserve">2-50 nm), cho phép </w:t>
      </w:r>
      <w:r w:rsidR="00B6336A">
        <w:t>phân tử TC bị</w:t>
      </w:r>
      <w:r w:rsidRPr="0018727D">
        <w:t xml:space="preserve"> khuếch tán và bị lưu giữ bởi </w:t>
      </w:r>
      <w:r w:rsidR="00B113E1">
        <w:t xml:space="preserve">quá trình </w:t>
      </w:r>
      <w:r w:rsidRPr="0018727D">
        <w:t xml:space="preserve">mao dẫn </w:t>
      </w:r>
      <w:r w:rsidR="0030479B">
        <w:fldChar w:fldCharType="begin"/>
      </w:r>
      <w:r w:rsidR="000270E4">
        <w:instrText xml:space="preserve"> ADDIN ZOTERO_ITEM CSL_CITATION {"citationID":"O1pVzyCt","properties":{"formattedCitation":"[63]","plainCitation":"[63]","noteIndex":0},"citationItems":[{"id":372,"uris":["http://zotero.org/users/12953706/items/7ZMXZ6BH"],"itemData":{"id":372,"type":"article-journal","abstract":"For the first time the present study investigated the production, characterization and application of engineered biochar derived from alfalfa hays for removal of tetracycline (TC) in water. The NaOH activation of alfalfa-derived raw biochar (BCR) made significant increase in surface area (796.50 m2/g) and pore volume (0.087 cm3/g). The NaOH-activated BC (BCA) showed much higher adsorption capacity for TC (Qm = 302.37 mg/g) than BCR, but comparable to the commercial activated carbon (Calgon F400). The detailed analyses of the kinetic and isotherm studies suggested the strong chemisorptive interactions between TC and BCA via multiple mechanisms. In addition, intraparticle diffusion was considered as the major limitation for the adsorption of TC onto BCA. Furthermore, the fixed bed experiments revealed that BCA could be a promising adsorbent for treating large volume of TC-contaminated water in columns.","container-title":"Bioresource Technology","DOI":"10.1016/j.biortech.2019.03.131","ISSN":"0960-8524","journalAbbreviation":"Bioresource Technology","page":"437-447","source":"ScienceDirect","title":"Engineered biochar from agricultural waste for removal of tetracycline in water","volume":"284","author":[{"family":"Jang","given":"Hyun Min"},{"family":"Kan","given":"Eunsung"}],"issued":{"date-parts":[["2019",7,1]]}}}],"schema":"https://github.com/citation-style-language/schema/raw/master/csl-citation.json"} </w:instrText>
      </w:r>
      <w:r w:rsidR="0030479B">
        <w:fldChar w:fldCharType="separate"/>
      </w:r>
      <w:r w:rsidR="000270E4" w:rsidRPr="000270E4">
        <w:rPr>
          <w:rFonts w:cs="Times New Roman"/>
        </w:rPr>
        <w:t>[63]</w:t>
      </w:r>
      <w:r w:rsidR="0030479B">
        <w:fldChar w:fldCharType="end"/>
      </w:r>
      <w:r w:rsidRPr="0018727D">
        <w:t>.</w:t>
      </w:r>
      <w:r w:rsidR="0030479B">
        <w:t xml:space="preserve"> </w:t>
      </w:r>
      <w:r w:rsidRPr="0018727D">
        <w:t xml:space="preserve">Tuy </w:t>
      </w:r>
      <w:r w:rsidR="00B113E1">
        <w:t>nhiên</w:t>
      </w:r>
      <w:r w:rsidRPr="0018727D">
        <w:t xml:space="preserve">, hiệu suất xử lý cao thường được quyết định bởi các tương tác hóa học đặc thù, trong đó nổi bật nhất là tương tác </w:t>
      </w:r>
      <m:oMath>
        <m:r>
          <w:rPr>
            <w:rFonts w:ascii="Cambria Math" w:hAnsi="Cambria Math"/>
          </w:rPr>
          <m:t>π-π</m:t>
        </m:r>
      </m:oMath>
      <w:r w:rsidR="001835D0">
        <w:rPr>
          <w:iCs/>
        </w:rPr>
        <w:t xml:space="preserve"> </w:t>
      </w:r>
      <w:r w:rsidR="001835D0">
        <w:rPr>
          <w:iCs/>
        </w:rPr>
        <w:fldChar w:fldCharType="begin"/>
      </w:r>
      <w:r w:rsidR="000270E4">
        <w:rPr>
          <w:iCs/>
        </w:rPr>
        <w:instrText xml:space="preserve"> ADDIN ZOTERO_ITEM CSL_CITATION {"citationID":"ZERgmmg9","properties":{"formattedCitation":"[64]","plainCitation":"[64]","noteIndex":0},"citationItems":[{"id":191,"uris":["http://zotero.org/users/12953706/items/RM9DT2MK"],"itemData":{"id":191,"type":"article-journal","abstract":"Biochar is an efficient and cost-effective sorbent for removing contaminants from aqueous environments. In this study, biochar samples derived from rice straw (R) and swine manure (M) pyrolyzed at 400 °C (R400 and M400) and 600 °C (R600 and M600) were used to adsorb tetracycline from an aqueous solution. The adsorption of tetracycline on both types of biochar included multi-step adsorption processes that were well described by the pseudo-second-order kinetics model (R² &gt; 0.99). The adsorption equilibrium of tetracycline on rice straw and swine manure derived biochar was reached after 24 h and 36 h respectively. The solution pH affected the adsorption processes by changing the surface charges of tetracycline and biochar. Adsorption isotherms fitted both the Langmuir and Freundlich models well. The adsorption capacity was higher in biochar derived from rice straw than in biochar derived from swine manure, and increased with increasing pyrolysis temperature. Thermodynamic analysis revealed a spontaneous and endothermic tetracycline adsorption process. The values of the adsorption coefficient (Kd) were on the order of 10³ for R600 and 10²–10³ for the other three types of biochar. These experiments indicate that R600 can be used as an inexpensive adsorbent to remove tetracycline from aqueous solutions, but swine manure derived biochar needs more improvement to be a suitable adsorbent.","container-title":"RSC Advances","DOI":"10.1039/C8RA01454J","journalAbbreviation":"RSC Advances","page":"16260-16268","source":"ResearchGate","title":"Sorption of tetracycline on biochar derived from rice straw and swine manure","volume":"8","author":[{"family":"Wang","given":"Hua"},{"family":"Fang","given":"Chengran"},{"family":"Wang","given":"Qun"},{"family":"Yixuan","given":"Chu"},{"family":"Song","given":"Yali"},{"family":"Chen","given":"Yongmin"},{"family":"Xue","given":"Xiangdong"}],"issued":{"date-parts":[["2018",5,1]]}}}],"schema":"https://github.com/citation-style-language/schema/raw/master/csl-citation.json"} </w:instrText>
      </w:r>
      <w:r w:rsidR="001835D0">
        <w:rPr>
          <w:iCs/>
        </w:rPr>
        <w:fldChar w:fldCharType="separate"/>
      </w:r>
      <w:r w:rsidR="000270E4" w:rsidRPr="000270E4">
        <w:rPr>
          <w:rFonts w:cs="Times New Roman"/>
        </w:rPr>
        <w:t>[64]</w:t>
      </w:r>
      <w:r w:rsidR="001835D0">
        <w:rPr>
          <w:iCs/>
        </w:rPr>
        <w:fldChar w:fldCharType="end"/>
      </w:r>
      <w:r w:rsidRPr="0018727D">
        <w:t xml:space="preserve">. Cơ chế </w:t>
      </w:r>
      <w:r w:rsidRPr="0018727D">
        <w:lastRenderedPageBreak/>
        <w:t xml:space="preserve">này diễn ra mạnh mẽ giữa hệ thống vòng thơm giàu electron </w:t>
      </w:r>
      <m:oMath>
        <m:r>
          <w:rPr>
            <w:rFonts w:ascii="Cambria Math" w:hAnsi="Cambria Math"/>
          </w:rPr>
          <m:t>π</m:t>
        </m:r>
      </m:oMath>
      <w:r w:rsidR="004728E0">
        <w:t xml:space="preserve"> </w:t>
      </w:r>
      <w:r w:rsidRPr="0018727D">
        <w:t xml:space="preserve">của vật liệu hấp phụ gốc carbon (đóng vai trò chất cho electron) và cấu trúc đa vòng của TC (chất nhận electron) </w:t>
      </w:r>
      <w:r w:rsidR="009077D2">
        <w:fldChar w:fldCharType="begin"/>
      </w:r>
      <w:r w:rsidR="000270E4">
        <w:instrText xml:space="preserve"> ADDIN ZOTERO_ITEM CSL_CITATION {"citationID":"NNcwWPZQ","properties":{"formattedCitation":"[64]","plainCitation":"[64]","noteIndex":0},"citationItems":[{"id":191,"uris":["http://zotero.org/users/12953706/items/RM9DT2MK"],"itemData":{"id":191,"type":"article-journal","abstract":"Biochar is an efficient and cost-effective sorbent for removing contaminants from aqueous environments. In this study, biochar samples derived from rice straw (R) and swine manure (M) pyrolyzed at 400 °C (R400 and M400) and 600 °C (R600 and M600) were used to adsorb tetracycline from an aqueous solution. The adsorption of tetracycline on both types of biochar included multi-step adsorption processes that were well described by the pseudo-second-order kinetics model (R² &gt; 0.99). The adsorption equilibrium of tetracycline on rice straw and swine manure derived biochar was reached after 24 h and 36 h respectively. The solution pH affected the adsorption processes by changing the surface charges of tetracycline and biochar. Adsorption isotherms fitted both the Langmuir and Freundlich models well. The adsorption capacity was higher in biochar derived from rice straw than in biochar derived from swine manure, and increased with increasing pyrolysis temperature. Thermodynamic analysis revealed a spontaneous and endothermic tetracycline adsorption process. The values of the adsorption coefficient (Kd) were on the order of 10³ for R600 and 10²–10³ for the other three types of biochar. These experiments indicate that R600 can be used as an inexpensive adsorbent to remove tetracycline from aqueous solutions, but swine manure derived biochar needs more improvement to be a suitable adsorbent.","container-title":"RSC Advances","DOI":"10.1039/C8RA01454J","journalAbbreviation":"RSC Advances","page":"16260-16268","source":"ResearchGate","title":"Sorption of tetracycline on biochar derived from rice straw and swine manure","volume":"8","author":[{"family":"Wang","given":"Hua"},{"family":"Fang","given":"Chengran"},{"family":"Wang","given":"Qun"},{"family":"Yixuan","given":"Chu"},{"family":"Song","given":"Yali"},{"family":"Chen","given":"Yongmin"},{"family":"Xue","given":"Xiangdong"}],"issued":{"date-parts":[["2018",5,1]]}}}],"schema":"https://github.com/citation-style-language/schema/raw/master/csl-citation.json"} </w:instrText>
      </w:r>
      <w:r w:rsidR="009077D2">
        <w:fldChar w:fldCharType="separate"/>
      </w:r>
      <w:r w:rsidR="000270E4" w:rsidRPr="000270E4">
        <w:rPr>
          <w:rFonts w:cs="Times New Roman"/>
        </w:rPr>
        <w:t>[64]</w:t>
      </w:r>
      <w:r w:rsidR="009077D2">
        <w:fldChar w:fldCharType="end"/>
      </w:r>
      <w:r w:rsidRPr="0018727D">
        <w:t>. Bên cạnh đó, do tính chất lưỡng tính đặc thù của TC với ba hằng số phân ly axit khác nhau (</w:t>
      </w:r>
      <m:oMath>
        <m:r>
          <w:rPr>
            <w:rFonts w:ascii="Cambria Math" w:hAnsi="Cambria Math"/>
          </w:rPr>
          <m:t>p</m:t>
        </m:r>
        <m:sSub>
          <m:sSubPr>
            <m:ctrlPr>
              <w:rPr>
                <w:rFonts w:ascii="Cambria Math" w:hAnsi="Cambria Math"/>
                <w:i/>
              </w:rPr>
            </m:ctrlPr>
          </m:sSubPr>
          <m:e>
            <m:r>
              <w:rPr>
                <w:rFonts w:ascii="Cambria Math" w:hAnsi="Cambria Math"/>
              </w:rPr>
              <m:t>K</m:t>
            </m:r>
          </m:e>
          <m:sub>
            <m:r>
              <w:rPr>
                <w:rFonts w:ascii="Cambria Math" w:hAnsi="Cambria Math"/>
              </w:rPr>
              <m:t>a1</m:t>
            </m:r>
          </m:sub>
        </m:sSub>
        <m:r>
          <m:rPr>
            <m:sty m:val="p"/>
          </m:rPr>
          <w:rPr>
            <w:rFonts w:ascii="Cambria Math" w:hAnsi="Cambria Math"/>
          </w:rPr>
          <m:t xml:space="preserve">≈ 3,3; </m:t>
        </m:r>
        <m:r>
          <w:rPr>
            <w:rFonts w:ascii="Cambria Math" w:hAnsi="Cambria Math"/>
          </w:rPr>
          <m:t>p</m:t>
        </m:r>
        <m:sSub>
          <m:sSubPr>
            <m:ctrlPr>
              <w:rPr>
                <w:rFonts w:ascii="Cambria Math" w:hAnsi="Cambria Math"/>
                <w:i/>
              </w:rPr>
            </m:ctrlPr>
          </m:sSubPr>
          <m:e>
            <m:r>
              <w:rPr>
                <w:rFonts w:ascii="Cambria Math" w:hAnsi="Cambria Math"/>
              </w:rPr>
              <m:t>K</m:t>
            </m:r>
          </m:e>
          <m:sub>
            <m:r>
              <w:rPr>
                <w:rFonts w:ascii="Cambria Math" w:hAnsi="Cambria Math"/>
              </w:rPr>
              <m:t>a2</m:t>
            </m:r>
          </m:sub>
        </m:sSub>
        <m:r>
          <m:rPr>
            <m:sty m:val="p"/>
          </m:rPr>
          <w:rPr>
            <w:rFonts w:ascii="Cambria Math" w:hAnsi="Cambria Math"/>
          </w:rPr>
          <m:t>≈ 7</m:t>
        </m:r>
        <m:r>
          <w:rPr>
            <w:rFonts w:ascii="Cambria Math" w:hAnsi="Cambria Math"/>
          </w:rPr>
          <m:t>,7; p</m:t>
        </m:r>
        <m:sSub>
          <m:sSubPr>
            <m:ctrlPr>
              <w:rPr>
                <w:rFonts w:ascii="Cambria Math" w:hAnsi="Cambria Math"/>
                <w:i/>
              </w:rPr>
            </m:ctrlPr>
          </m:sSubPr>
          <m:e>
            <m:r>
              <w:rPr>
                <w:rFonts w:ascii="Cambria Math" w:hAnsi="Cambria Math"/>
              </w:rPr>
              <m:t>K</m:t>
            </m:r>
          </m:e>
          <m:sub>
            <m:r>
              <w:rPr>
                <w:rFonts w:ascii="Cambria Math" w:hAnsi="Cambria Math"/>
              </w:rPr>
              <m:t>a3</m:t>
            </m:r>
          </m:sub>
        </m:sSub>
        <m:r>
          <m:rPr>
            <m:sty m:val="p"/>
          </m:rPr>
          <w:rPr>
            <w:rFonts w:ascii="Cambria Math" w:hAnsi="Cambria Math"/>
          </w:rPr>
          <m:t>≈</m:t>
        </m:r>
        <m:r>
          <w:rPr>
            <w:rFonts w:ascii="Cambria Math" w:hAnsi="Cambria Math"/>
          </w:rPr>
          <m:t>9</m:t>
        </m:r>
      </m:oMath>
      <w:r w:rsidRPr="0018727D">
        <w:t xml:space="preserve">), tương tác tĩnh điện </w:t>
      </w:r>
      <w:r w:rsidR="00B113E1">
        <w:t xml:space="preserve">cũng </w:t>
      </w:r>
      <w:r w:rsidRPr="0018727D">
        <w:t>đóng vai trò quan trọng và thay đổi linh hoạt theo pH dung dịch, tạo ra lực hút khi bề mặt vật liệu mang điện tích trái dấu với dạng</w:t>
      </w:r>
      <w:r w:rsidR="00483B09">
        <w:t xml:space="preserve"> ion</w:t>
      </w:r>
      <w:r w:rsidRPr="0018727D">
        <w:t xml:space="preserve"> tồn tại của kháng sinh</w:t>
      </w:r>
      <w:r w:rsidR="00F02EE9">
        <w:t xml:space="preserve"> </w:t>
      </w:r>
      <w:r w:rsidR="000C295F">
        <w:fldChar w:fldCharType="begin"/>
      </w:r>
      <w:r w:rsidR="000C295F">
        <w:instrText xml:space="preserve"> ADDIN ZOTERO_ITEM CSL_CITATION {"citationID":"bNXYO8SZ","properties":{"formattedCitation":"[30]","plainCitation":"[30]","noteIndex":0},"citationItems":[{"id":475,"uris":["http://zotero.org/users/12953706/items/DRECDF82"],"itemData":{"id":475,"type":"article-journal","abstract":"There is an upsurge enthusiasm for utilizing biochar produced from waste-biomass in different fields, to address the most important ecological issues. This review is focused on an overview of remediating harmful contaminants utilizing biochar. Production of biochar utilizing various systems has been discussed. Biochar has received the consideration of numerous analysts in building up their proficiency to remediate contaminants. Process parameters are fundamentally answerable for deciding the yield of biomass. Biochar derived from biomass is an exceptionally rich wellspring of carbon produced from biomass utilizing thermal combustion. Activating biochar is another particular region for the growing utilization of biochar for expelling specific contaminations. Closed-loop systems to produce biochar creates more opportunities. Decentralized biochar production techniques serve as an effective way of providing employment opportunities, managing wastes, increasing resource proficiency in circular bioeconomy. This paper also covers knowledge gaps and perspectives in the field of remediation of toxic pollutants using biochar.","container-title":"Biotechnology Reports","DOI":"10.1016/j.btre.2020.e00570","ISSN":"2215-017X","journalAbbreviation":"Biotechnology Reports","page":"e00570","source":"ScienceDirect","title":"A critical review on the biochar production techniques, characterization, stability and applications for circular bioeconomy","volume":"28","author":[{"family":"Yaashikaa","given":"P. R."},{"family":"Kumar","given":"P. Senthil"},{"family":"Varjani","given":"Sunita"},{"family":"Saravanan","given":"A."}],"issued":{"date-parts":[["2020",12,1]]}}}],"schema":"https://github.com/citation-style-language/schema/raw/master/csl-citation.json"} </w:instrText>
      </w:r>
      <w:r w:rsidR="000C295F">
        <w:fldChar w:fldCharType="separate"/>
      </w:r>
      <w:r w:rsidR="000C295F" w:rsidRPr="000C295F">
        <w:rPr>
          <w:rFonts w:cs="Times New Roman"/>
        </w:rPr>
        <w:t>[30]</w:t>
      </w:r>
      <w:r w:rsidR="000C295F">
        <w:fldChar w:fldCharType="end"/>
      </w:r>
      <w:r w:rsidR="00F02EE9">
        <w:t>,</w:t>
      </w:r>
      <w:r w:rsidR="00BF72ED">
        <w:t xml:space="preserve"> </w:t>
      </w:r>
      <w:r w:rsidR="00BF72ED">
        <w:fldChar w:fldCharType="begin"/>
      </w:r>
      <w:r w:rsidR="000270E4">
        <w:instrText xml:space="preserve"> ADDIN ZOTERO_ITEM CSL_CITATION {"citationID":"VXVo5SLp","properties":{"formattedCitation":"[65]","plainCitation":"[65]","noteIndex":0},"citationItems":[{"id":377,"uris":["http://zotero.org/users/12953706/items/5JWY33P7"],"itemData":{"id":377,"type":"article-journal","abstract":"With the development of the removal of organic pollutants in the soil and water environment, antibiotics have been considered as emerging pollutants and received considerable attention among the scientific community. Thus, there is a need for an effective, economical, fast, operational feasible and environmental-friendly technology to remove antibiotics. Adsorption technology would be one of the most promising option on the basis that it best meets the criteria we set out above. From the most primitive activated carbon to the most innovative modified biochar, carbon-based materials have played a significant role in the adsorption process of antibiotics all the time. This paper reviews the adsorption behavior of some representative antibiotics (e.g., chloramphenicols, sulfonamides, tetracyclines, flouroquinolones) over various carbonaceous materials (i.e., activated carbon, carbon nanotubes, graphene, and biochar). Nevertheless, in addition to the structural characteristics and adsorption capacities of carbon-based materials, a special emphasis was placed on the underlying adsorption mechanisms and roles of different influencing factors in the adsorption process. Moreover, the knowledge gaps and research challenges have been highlighted, including design and optimization of the carbonaceous materials for antibiotics adsorption.","container-title":"Journal of Environmental Management","DOI":"10.1016/j.jenvman.2019.02.068","ISSN":"0301-4797","journalAbbreviation":"Journal of Environmental Management","page":"128-138","source":"ScienceDirect","title":"Carbon-based materials as adsorbent for antibiotics removal: Mechanisms and influencing factors","title-short":"Carbon-based materials as adsorbent for antibiotics removal","volume":"237","author":[{"family":"Xiang","given":"Yujia"},{"family":"Xu","given":"Zhangyi"},{"family":"Wei","given":"Yuyi"},{"family":"Zhou","given":"Yaoyu"},{"family":"Yang","given":"Xiao"},{"family":"Yang","given":"Yuan"},{"family":"Yang","given":"Jian"},{"family":"Zhang","given":"Jiachao"},{"family":"Luo","given":"Lin"},{"family":"Zhou","given":"Zhi"}],"issued":{"date-parts":[["2019",5,1]]}}}],"schema":"https://github.com/citation-style-language/schema/raw/master/csl-citation.json"} </w:instrText>
      </w:r>
      <w:r w:rsidR="00BF72ED">
        <w:fldChar w:fldCharType="separate"/>
      </w:r>
      <w:r w:rsidR="000270E4" w:rsidRPr="000270E4">
        <w:rPr>
          <w:rFonts w:cs="Times New Roman"/>
        </w:rPr>
        <w:t>[65]</w:t>
      </w:r>
      <w:r w:rsidR="00BF72ED">
        <w:fldChar w:fldCharType="end"/>
      </w:r>
      <w:r w:rsidRPr="0018727D">
        <w:t>.</w:t>
      </w:r>
      <w:r w:rsidR="0046355F">
        <w:t xml:space="preserve"> </w:t>
      </w:r>
      <w:r w:rsidR="00531669">
        <w:t>Bên cạnh đó,</w:t>
      </w:r>
      <w:r w:rsidRPr="0018727D">
        <w:t xml:space="preserve"> sự hiện diện của các nhóm chức phân cực (hydroxyl, amide, ketone) tr</w:t>
      </w:r>
      <w:r w:rsidR="00531669">
        <w:t>ong cấu trúc phân tử</w:t>
      </w:r>
      <w:r w:rsidRPr="0018727D">
        <w:t xml:space="preserve"> TC còn thúc đẩy sự hình thành liên kết Hydro với các nhóm chức bề mặt của vật liệu </w:t>
      </w:r>
      <w:r w:rsidR="00BF72ED">
        <w:fldChar w:fldCharType="begin"/>
      </w:r>
      <w:r w:rsidR="000270E4">
        <w:instrText xml:space="preserve"> ADDIN ZOTERO_ITEM CSL_CITATION {"citationID":"dXzBaXpt","properties":{"formattedCitation":"[66]","plainCitation":"[66]","noteIndex":0},"citationItems":[{"id":374,"uris":["http://zotero.org/users/12953706/items/3JIRTSMD"],"itemData":{"id":374,"type":"article-journal","abstract":"This review focuses on the removal of emerging contaminants (ECs) by biological, chemical and hybrid technologies in effluents from wastewater treatment plants (WWTPs). Results showed that endocrine disruption chemicals (EDCs) were better removed by membrane bioreactor (MBR), activated sludge and aeration processes among different biological processes. Surfactants, EDCs and personal care products (PCPs) can be well removed by activated sludge process. Pesticides and pharmaceuticals showed good removal efficiencies by biological activated carbon. Microalgae treatment processes can remove almost all types of ECs to some extent. Other biological processes were found less effective in ECs removal from wastewater. Chemical oxidation processes such as ozonation/H2O2, UV photolysis/H2O2 and photo-Fenton processes can successfully remove up to 100% of pesticides, beta blockers and pharmaceuticals, while EDCs can be better removed by ozonation and UV photocatalysis. Fenton process was found less effective in the removal of any types of ECs. A hybrid system based on ozonation followed by biological activated carbon was found highly efficient in the removal of pesticides, beta blockers and pharmaceuticals. A hybrid ozonation-ultrasound system can remove up to 100% of many pharmaceuticals. Future research directions to enhance the removal of ECs have been elaborated.","collection-title":"Special Issue on Emerging Contaminants in engineered and natural environment","container-title":"Journal of Hazardous Materials","DOI":"10.1016/j.jhazmat.2016.04.045","ISSN":"0304-3894","journalAbbreviation":"Journal of Hazardous Materials","page":"274-298","source":"ScienceDirect","title":"Progress in the biological and chemical treatment technologies for emerging contaminant removal from wastewater: A critical review","title-short":"Progress in the biological and chemical treatment technologies for emerging contaminant removal from wastewater","volume":"323","author":[{"family":"Ahmed","given":"Mohammad Boshir"},{"family":"Zhou","given":"John L."},{"family":"Ngo","given":"Huu Hao"},{"family":"Guo","given":"Wenshan"},{"family":"Thomaidis","given":"Nikolaos S."},{"family":"Xu","given":"Jiang"}],"issued":{"date-parts":[["2017",2,5]]}}}],"schema":"https://github.com/citation-style-language/schema/raw/master/csl-citation.json"} </w:instrText>
      </w:r>
      <w:r w:rsidR="00BF72ED">
        <w:fldChar w:fldCharType="separate"/>
      </w:r>
      <w:r w:rsidR="000270E4" w:rsidRPr="000270E4">
        <w:rPr>
          <w:rFonts w:cs="Times New Roman"/>
        </w:rPr>
        <w:t>[66]</w:t>
      </w:r>
      <w:r w:rsidR="00BF72ED">
        <w:fldChar w:fldCharType="end"/>
      </w:r>
      <w:r w:rsidRPr="0018727D">
        <w:t>.</w:t>
      </w:r>
      <w:r w:rsidR="00CB217F">
        <w:t xml:space="preserve"> Đặc biệt,</w:t>
      </w:r>
      <w:r w:rsidRPr="0018727D">
        <w:t xml:space="preserve"> </w:t>
      </w:r>
      <w:r w:rsidR="00CB217F">
        <w:t>đ</w:t>
      </w:r>
      <w:r w:rsidR="00047D57">
        <w:t>ối với các vật liệu chứa oxit sắt hoặc kim loại chuyển tiếp</w:t>
      </w:r>
      <w:r w:rsidR="00CB217F">
        <w:t xml:space="preserve"> xuất hiện</w:t>
      </w:r>
      <w:r w:rsidR="00047D57">
        <w:t xml:space="preserve"> cơ chế tạo phức bề mặ</w:t>
      </w:r>
      <w:r w:rsidR="00CB217F">
        <w:t>t</w:t>
      </w:r>
      <w:r w:rsidR="009D454D" w:rsidRPr="009D454D">
        <w:t xml:space="preserve"> </w:t>
      </w:r>
      <w:r w:rsidR="00CB217F">
        <w:t xml:space="preserve">đóng một vai trò then chốt trong quá trình </w:t>
      </w:r>
      <w:r w:rsidR="00BD36A5">
        <w:t>hấp phụ</w:t>
      </w:r>
      <w:r w:rsidR="00CB217F">
        <w:t xml:space="preserve"> </w:t>
      </w:r>
      <w:r w:rsidR="009D454D">
        <w:fldChar w:fldCharType="begin"/>
      </w:r>
      <w:r w:rsidR="009D0B5F">
        <w:instrText xml:space="preserve"> ADDIN ZOTERO_ITEM CSL_CITATION {"citationID":"GuHp0HGk","properties":{"formattedCitation":"[67]","plainCitation":"[67]","noteIndex":0},"citationItems":[{"id":379,"uris":["http://zotero.org/users/12953706/items/DPIEVFJA"],"itemData":{"id":379,"type":"article-newspaper","container-title":"Environ. Sci. Technol., vol. 39, no. 8, pp. 2660–2667, 2005","title":"Interaction of Tetracycline with Aluminum and Iron Hydrous Oxides | Environmental Science &amp; Technology","URL":"https://pubs.acs.org/doi/10.1021/es048603o","author":[{"family":"C. Gu and K. G. Karthikeyan","given":""}],"accessed":{"date-parts":[["2025",12,15]]}}}],"schema":"https://github.com/citation-style-language/schema/raw/master/csl-citation.json"} </w:instrText>
      </w:r>
      <w:r w:rsidR="009D454D">
        <w:fldChar w:fldCharType="separate"/>
      </w:r>
      <w:r w:rsidR="000270E4" w:rsidRPr="000270E4">
        <w:rPr>
          <w:rFonts w:cs="Times New Roman"/>
        </w:rPr>
        <w:t>[67]</w:t>
      </w:r>
      <w:r w:rsidR="009D454D">
        <w:fldChar w:fldCharType="end"/>
      </w:r>
      <w:r w:rsidR="009D454D" w:rsidRPr="009D454D">
        <w:t xml:space="preserve">. Thông qua cơ chế này, Tetracycline đóng vai trò là một phối tử mạnh, sử dụng các nhóm chức chứa oxy (như ketone, enol) để thực hiện phản ứng trao đổi phối tử và tạo thành các liên kết chelate bền vững với các ion kim loại (ví dụ: </w:t>
      </w:r>
      <w:r w:rsidR="000B122E">
        <w:t>Fe</w:t>
      </w:r>
      <w:r w:rsidR="000B122E">
        <w:rPr>
          <w:vertAlign w:val="superscript"/>
        </w:rPr>
        <w:t>2+</w:t>
      </w:r>
      <w:r w:rsidR="000B122E">
        <w:t>/Fe</w:t>
      </w:r>
      <w:r w:rsidR="000B122E">
        <w:rPr>
          <w:vertAlign w:val="superscript"/>
        </w:rPr>
        <w:t>3+</w:t>
      </w:r>
      <w:r w:rsidR="009D454D" w:rsidRPr="009D454D">
        <w:t>) ngay tại bề mặt phân cách pha [47]. Đây là dạng hấp phụ hóa học có năng lượng liên kết cao, khi kết hợp với các lực tương tác vật lý khác sẽ giúp vật liệu đạt được hiệu suất xử lý vượt trội và ổn định</w:t>
      </w:r>
      <w:r w:rsidR="00AB19E0">
        <w:t xml:space="preserve"> </w:t>
      </w:r>
      <w:r w:rsidR="00AB19E0">
        <w:fldChar w:fldCharType="begin"/>
      </w:r>
      <w:r w:rsidR="000270E4">
        <w:instrText xml:space="preserve"> ADDIN ZOTERO_ITEM CSL_CITATION {"citationID":"Hs9YT3pB","properties":{"formattedCitation":"[62]","plainCitation":"[62]","noteIndex":0},"citationItems":[{"id":345,"uris":["http://zotero.org/users/12953706/items/PC7R2KMH"],"itemData":{"id":345,"type":"article-journal","abstract":"Utilization of biochar (BC) as a low cost adsorbent for water remediation has gained an immense research interest due to their surface functionality and porosity. Although many reports on the BC based sorptive removal of Sulfonamides (SA) and Tetracyclines (TC) are available in literature, a deep insight into sorption mechanisms is yet to be reviewed. Objective of this review is to fill the research gap of a methodological understanding of sorption mechanisms and characteristics which is essential to develop efficient methods for contaminant removal. The most common adsorption mechanism can be considered as electron donor-acceptor interactions of electron withdrawing moieties with surface arene rings. The strongest adsorption of both antibiotics occurs at mildly acidic pH where the dominant species are zwitterionic or cationic. Smaller SAs exhibit micro pore-filling effects while bulky TCs experience size exclusions. Furthermore, the effect of matrix components and modifications are also been taken into account.","collection-title":"Special Issue on Biochar: Production, Characterization and Applications – Beyond Soil Applications","container-title":"Bioresource Technology","DOI":"10.1016/j.biortech.2017.07.150","ISSN":"0960-8524","journalAbbreviation":"Bioresource Technology","page":"150-159","source":"ScienceDirect","title":"Biochar based removal of antibiotic sulfonamides and tetracyclines in aquatic environments: A critical review","title-short":"Biochar based removal of antibiotic sulfonamides and tetracyclines in aquatic environments","volume":"246","author":[{"family":"Peiris","given":"Chathuri"},{"family":"Gunatilake","given":"Sameera R."},{"family":"Mlsna","given":"Todd E."},{"family":"Mohan","given":"Dinesh"},{"family":"Vithanage","given":"Meththika"}],"issued":{"date-parts":[["2017",12,1]]}}}],"schema":"https://github.com/citation-style-language/schema/raw/master/csl-citation.json"} </w:instrText>
      </w:r>
      <w:r w:rsidR="00AB19E0">
        <w:fldChar w:fldCharType="separate"/>
      </w:r>
      <w:r w:rsidR="000270E4" w:rsidRPr="000270E4">
        <w:rPr>
          <w:rFonts w:cs="Times New Roman"/>
        </w:rPr>
        <w:t>[62]</w:t>
      </w:r>
      <w:r w:rsidR="00AB19E0">
        <w:fldChar w:fldCharType="end"/>
      </w:r>
      <w:r w:rsidR="00AB19E0">
        <w:t>.</w:t>
      </w:r>
    </w:p>
    <w:p w14:paraId="14C77913" w14:textId="0974BC7C" w:rsidR="009D454D" w:rsidRDefault="009D454D" w:rsidP="00C77B40">
      <w:pPr>
        <w:jc w:val="both"/>
      </w:pPr>
    </w:p>
    <w:p w14:paraId="77CB49D4" w14:textId="77777777" w:rsidR="003F1158" w:rsidRDefault="003F1158">
      <w:pPr>
        <w:spacing w:after="160" w:line="278" w:lineRule="auto"/>
        <w:ind w:firstLine="0"/>
        <w:rPr>
          <w:rFonts w:eastAsiaTheme="majorEastAsia" w:cstheme="majorBidi"/>
          <w:b/>
          <w:szCs w:val="40"/>
        </w:rPr>
      </w:pPr>
      <w:r>
        <w:br w:type="page"/>
      </w:r>
    </w:p>
    <w:p w14:paraId="75320A0F" w14:textId="01FD91B4" w:rsidR="009E234D" w:rsidRPr="00150403" w:rsidRDefault="006962BB" w:rsidP="002F539C">
      <w:pPr>
        <w:pStyle w:val="Heading1"/>
      </w:pPr>
      <w:bookmarkStart w:id="9" w:name="_Toc233142627"/>
      <w:r w:rsidRPr="00150403">
        <w:lastRenderedPageBreak/>
        <w:t xml:space="preserve">VẬT LIỆU </w:t>
      </w:r>
      <w:r w:rsidR="00B62597" w:rsidRPr="00150403">
        <w:t>VÀ PHƯƠNG PHÁP</w:t>
      </w:r>
      <w:bookmarkEnd w:id="9"/>
    </w:p>
    <w:p w14:paraId="72B82EAC" w14:textId="25C549F7" w:rsidR="009E234D" w:rsidRPr="009E234D" w:rsidRDefault="00BA0726" w:rsidP="00400EFD">
      <w:pPr>
        <w:pStyle w:val="Heading2"/>
      </w:pPr>
      <w:bookmarkStart w:id="10" w:name="_Toc233142628"/>
      <w:r>
        <w:rPr>
          <w:lang w:val="vi-VN"/>
        </w:rPr>
        <w:t>Nguyên liệu</w:t>
      </w:r>
      <w:r w:rsidR="000012C2">
        <w:t xml:space="preserve"> và hoá chất</w:t>
      </w:r>
      <w:bookmarkEnd w:id="10"/>
    </w:p>
    <w:p w14:paraId="0DF7FD6B" w14:textId="3332E2CF" w:rsidR="000012C2" w:rsidRPr="0060322C" w:rsidRDefault="000012C2" w:rsidP="0060322C">
      <w:pPr>
        <w:ind w:firstLine="426"/>
        <w:jc w:val="both"/>
        <w:rPr>
          <w:rFonts w:cs="Times New Roman"/>
          <w:bCs/>
          <w:szCs w:val="26"/>
        </w:rPr>
      </w:pPr>
      <w:r>
        <w:rPr>
          <w:rFonts w:cs="Times New Roman"/>
          <w:bCs/>
          <w:szCs w:val="26"/>
        </w:rPr>
        <w:t xml:space="preserve">Kháng sinh Tetracycline (chai 25g, hãng Macklin, số hiệu Cas </w:t>
      </w:r>
      <w:r>
        <w:t>60-54-8</w:t>
      </w:r>
      <w:r>
        <w:rPr>
          <w:rFonts w:cs="Times New Roman"/>
          <w:bCs/>
          <w:szCs w:val="26"/>
        </w:rPr>
        <w:t>) cùng hoá chất khác được sử dụng trong nghiên cứu được liệt kê trong</w:t>
      </w:r>
      <w:r w:rsidR="0060322C">
        <w:rPr>
          <w:rFonts w:cs="Times New Roman"/>
          <w:bCs/>
          <w:szCs w:val="26"/>
        </w:rPr>
        <w:t xml:space="preserve"> Bảng 2.1</w:t>
      </w:r>
      <w:r>
        <w:rPr>
          <w:rFonts w:cs="Times New Roman"/>
          <w:bCs/>
          <w:szCs w:val="26"/>
        </w:rPr>
        <w:t xml:space="preserve">, đều đã được kiểm định nguồn gốc, chất lượng và đã đạt tiêu chuẩn để sử dụng và phân tích trong quy mô phòng thí nghiệm. Được lấy từ Phòng thí nghiệm liên kết quốc tế và năng lượng sạch và phát triển bền vững </w:t>
      </w:r>
      <w:r w:rsidR="00C35ED3">
        <w:rPr>
          <w:rFonts w:cs="Times New Roman"/>
          <w:bCs/>
          <w:szCs w:val="26"/>
        </w:rPr>
        <w:t>tại trường</w:t>
      </w:r>
      <w:r>
        <w:rPr>
          <w:rFonts w:cs="Times New Roman"/>
          <w:bCs/>
          <w:szCs w:val="26"/>
        </w:rPr>
        <w:t xml:space="preserve"> Đại học Khoa học và Công nghệ Hà Nội</w:t>
      </w:r>
      <w:r w:rsidR="00956860">
        <w:rPr>
          <w:rFonts w:cs="Times New Roman"/>
          <w:bCs/>
          <w:szCs w:val="26"/>
        </w:rPr>
        <w:t>.</w:t>
      </w:r>
    </w:p>
    <w:p w14:paraId="4BCA6995" w14:textId="6CA13E1D" w:rsidR="00BA0726" w:rsidRPr="009E234D" w:rsidRDefault="009E234D" w:rsidP="008B611C">
      <w:pPr>
        <w:pStyle w:val="Heading2"/>
      </w:pPr>
      <w:bookmarkStart w:id="11" w:name="_Toc233142629"/>
      <w:r>
        <w:t>Quy trình tổng hợp vật liệu hấp phụ</w:t>
      </w:r>
      <w:bookmarkEnd w:id="11"/>
    </w:p>
    <w:p w14:paraId="412DED5D" w14:textId="08443166" w:rsidR="00011EF2" w:rsidRPr="00EA1664" w:rsidRDefault="00007666" w:rsidP="00BD36A5">
      <w:pPr>
        <w:pStyle w:val="Heading2"/>
      </w:pPr>
      <w:bookmarkStart w:id="12" w:name="_Toc233142630"/>
      <w:r>
        <w:t>Khảo sát khả năng hấp phụ Tetracycline của vật liệu</w:t>
      </w:r>
      <w:bookmarkEnd w:id="12"/>
    </w:p>
    <w:p w14:paraId="3441B618" w14:textId="7CC16527" w:rsidR="00767833" w:rsidRPr="00553202" w:rsidRDefault="00767833" w:rsidP="00834EEA">
      <w:pPr>
        <w:ind w:firstLine="426"/>
        <w:jc w:val="both"/>
        <w:rPr>
          <w:bCs/>
          <w:lang w:val="vi-VN"/>
        </w:rPr>
      </w:pPr>
      <w:r w:rsidRPr="00553202">
        <w:rPr>
          <w:lang w:val="vi-VN"/>
        </w:rPr>
        <w:t xml:space="preserve">Trước khi thực hiện các thí nghiệm hấp phụ, mẫu dung dịch </w:t>
      </w:r>
      <w:r>
        <w:t>kháng sinh TC</w:t>
      </w:r>
      <w:r w:rsidRPr="00553202">
        <w:rPr>
          <w:bCs/>
          <w:lang w:val="vi-VN"/>
        </w:rPr>
        <w:t xml:space="preserve"> gốc </w:t>
      </w:r>
      <w:r w:rsidR="004314F9">
        <w:rPr>
          <w:bCs/>
        </w:rPr>
        <w:t>300</w:t>
      </w:r>
      <w:r w:rsidR="00F6242D">
        <w:rPr>
          <w:bCs/>
        </w:rPr>
        <w:t xml:space="preserve"> </w:t>
      </w:r>
      <w:r w:rsidRPr="00553202">
        <w:rPr>
          <w:bCs/>
          <w:lang w:val="vi-VN"/>
        </w:rPr>
        <w:t>ppm được điều chế bằng cách hòa tan 0</w:t>
      </w:r>
      <w:r w:rsidR="00DA3346">
        <w:rPr>
          <w:bCs/>
        </w:rPr>
        <w:t>,</w:t>
      </w:r>
      <w:r w:rsidRPr="00553202">
        <w:rPr>
          <w:bCs/>
          <w:lang w:val="vi-VN"/>
        </w:rPr>
        <w:t>0</w:t>
      </w:r>
      <w:r w:rsidR="0025388B">
        <w:rPr>
          <w:bCs/>
        </w:rPr>
        <w:t>3</w:t>
      </w:r>
      <w:r w:rsidR="009236DE">
        <w:rPr>
          <w:bCs/>
        </w:rPr>
        <w:t xml:space="preserve"> </w:t>
      </w:r>
      <w:r w:rsidRPr="00553202">
        <w:rPr>
          <w:bCs/>
          <w:lang w:val="vi-VN"/>
        </w:rPr>
        <w:t xml:space="preserve">g </w:t>
      </w:r>
      <w:r w:rsidR="0025388B">
        <w:rPr>
          <w:bCs/>
        </w:rPr>
        <w:t xml:space="preserve">kháng sinh </w:t>
      </w:r>
      <w:r w:rsidRPr="00553202">
        <w:rPr>
          <w:bCs/>
          <w:lang w:val="vi-VN"/>
        </w:rPr>
        <w:t xml:space="preserve"> trong 100 ml nước cất chứa trong bình định mức 100</w:t>
      </w:r>
      <w:r w:rsidR="00F6242D">
        <w:rPr>
          <w:bCs/>
        </w:rPr>
        <w:t xml:space="preserve"> </w:t>
      </w:r>
      <w:r w:rsidRPr="00553202">
        <w:rPr>
          <w:bCs/>
          <w:lang w:val="vi-VN"/>
        </w:rPr>
        <w:t>ml</w:t>
      </w:r>
      <w:r w:rsidR="0025388B">
        <w:rPr>
          <w:bCs/>
        </w:rPr>
        <w:t xml:space="preserve">. </w:t>
      </w:r>
      <w:r w:rsidR="009B64FD">
        <w:rPr>
          <w:bCs/>
        </w:rPr>
        <w:t xml:space="preserve">Do loại kháng sinh sử dụng là TC </w:t>
      </w:r>
      <w:r w:rsidR="00DA3346">
        <w:rPr>
          <w:bCs/>
        </w:rPr>
        <w:t>không chứa HCl</w:t>
      </w:r>
      <w:r w:rsidR="009B64FD">
        <w:rPr>
          <w:bCs/>
        </w:rPr>
        <w:t xml:space="preserve"> </w:t>
      </w:r>
      <w:r w:rsidR="00DA3346">
        <w:rPr>
          <w:bCs/>
        </w:rPr>
        <w:t xml:space="preserve">thì sẽ </w:t>
      </w:r>
      <w:r w:rsidR="009B64FD">
        <w:rPr>
          <w:bCs/>
        </w:rPr>
        <w:t xml:space="preserve">khó tan trong nước, nên một lượng nhỏ dung dịch HCl </w:t>
      </w:r>
      <w:r w:rsidR="00A32D3A">
        <w:rPr>
          <w:bCs/>
        </w:rPr>
        <w:t>nồng độ thấp được cho vào để tăng tính hoà tan</w:t>
      </w:r>
      <w:r w:rsidR="00C50761">
        <w:rPr>
          <w:bCs/>
        </w:rPr>
        <w:t>;</w:t>
      </w:r>
      <w:r w:rsidR="00A32D3A">
        <w:rPr>
          <w:bCs/>
        </w:rPr>
        <w:t xml:space="preserve"> hỗn hợp dung dịch</w:t>
      </w:r>
      <w:r w:rsidRPr="00553202">
        <w:rPr>
          <w:bCs/>
          <w:lang w:val="vi-VN"/>
        </w:rPr>
        <w:t xml:space="preserve"> </w:t>
      </w:r>
      <w:r w:rsidR="00A32D3A">
        <w:rPr>
          <w:bCs/>
        </w:rPr>
        <w:t>được bọc màng</w:t>
      </w:r>
      <w:r w:rsidR="004D46D7">
        <w:rPr>
          <w:bCs/>
        </w:rPr>
        <w:t xml:space="preserve"> và</w:t>
      </w:r>
      <w:r w:rsidRPr="00553202">
        <w:rPr>
          <w:bCs/>
          <w:lang w:val="vi-VN"/>
        </w:rPr>
        <w:t xml:space="preserve"> quay li tâm ở tốc độ 60 rpm</w:t>
      </w:r>
      <w:r w:rsidR="004D46D7">
        <w:rPr>
          <w:bCs/>
        </w:rPr>
        <w:t xml:space="preserve">. Dung dịch </w:t>
      </w:r>
      <w:r w:rsidR="00C50761">
        <w:rPr>
          <w:bCs/>
        </w:rPr>
        <w:t xml:space="preserve">kháng sinh thu được cuối cùng được đổ vào </w:t>
      </w:r>
      <w:r w:rsidR="00884888">
        <w:rPr>
          <w:bCs/>
        </w:rPr>
        <w:t xml:space="preserve">bình chứa nâu để ngăn tiếp xúc ánh sáng cùng không khí và được bảo quản trong nhiệt độ thấp. </w:t>
      </w:r>
      <w:r w:rsidR="006F0A1C">
        <w:rPr>
          <w:bCs/>
        </w:rPr>
        <w:t xml:space="preserve">Dung dịch kháng sinh này có thể </w:t>
      </w:r>
      <w:r w:rsidRPr="00553202">
        <w:rPr>
          <w:bCs/>
          <w:lang w:val="vi-VN"/>
        </w:rPr>
        <w:t xml:space="preserve">được pha loãng để chuẩn bị các dung dịch thí nghiệm có nồng độ mong muốn. Để pha loãng từ dung dịch gốc sang các mức nồng độ </w:t>
      </w:r>
      <w:r>
        <w:rPr>
          <w:bCs/>
          <w:lang w:val="vi-VN"/>
        </w:rPr>
        <w:t>khác</w:t>
      </w:r>
      <w:r w:rsidRPr="00553202">
        <w:rPr>
          <w:bCs/>
          <w:lang w:val="vi-VN"/>
        </w:rPr>
        <w:t xml:space="preserve"> nhau</w:t>
      </w:r>
      <w:r w:rsidR="00B11FFB" w:rsidRPr="009E6960">
        <w:rPr>
          <w:bCs/>
          <w:lang w:val="vi-VN"/>
        </w:rPr>
        <w:t>,</w:t>
      </w:r>
      <w:r w:rsidRPr="00553202">
        <w:rPr>
          <w:bCs/>
          <w:lang w:val="vi-VN"/>
        </w:rPr>
        <w:t xml:space="preserve"> ta có công thức:</w:t>
      </w:r>
    </w:p>
    <w:p w14:paraId="57F38BC3" w14:textId="7ABBB594" w:rsidR="00767833" w:rsidRPr="007F2383" w:rsidRDefault="00767833" w:rsidP="007F2383">
      <w:pPr>
        <w:ind w:firstLine="426"/>
        <w:jc w:val="right"/>
        <w:rPr>
          <w:lang w:val="vi-VN"/>
        </w:rPr>
      </w:pPr>
      <w:r w:rsidRPr="004D46D7">
        <w:rPr>
          <w:i/>
          <w:iCs/>
        </w:rPr>
        <w:t>C</w:t>
      </w:r>
      <w:r w:rsidRPr="004D46D7">
        <w:rPr>
          <w:i/>
          <w:iCs/>
          <w:vertAlign w:val="subscript"/>
        </w:rPr>
        <w:t>2</w:t>
      </w:r>
      <w:r w:rsidRPr="004D46D7">
        <w:rPr>
          <w:i/>
          <w:iCs/>
        </w:rPr>
        <w:t>V</w:t>
      </w:r>
      <w:r w:rsidRPr="004D46D7">
        <w:rPr>
          <w:i/>
          <w:iCs/>
          <w:vertAlign w:val="subscript"/>
        </w:rPr>
        <w:t xml:space="preserve">2 </w:t>
      </w:r>
      <w:r w:rsidRPr="004D46D7">
        <w:rPr>
          <w:i/>
          <w:iCs/>
        </w:rPr>
        <w:t>= C</w:t>
      </w:r>
      <w:r w:rsidRPr="004D46D7">
        <w:rPr>
          <w:i/>
          <w:iCs/>
          <w:vertAlign w:val="subscript"/>
        </w:rPr>
        <w:t>1</w:t>
      </w:r>
      <w:r w:rsidRPr="004D46D7">
        <w:rPr>
          <w:i/>
          <w:iCs/>
        </w:rPr>
        <w:t>V</w:t>
      </w:r>
      <w:r w:rsidRPr="004D46D7">
        <w:rPr>
          <w:i/>
          <w:iCs/>
          <w:vertAlign w:val="subscript"/>
        </w:rPr>
        <w:t>1</w:t>
      </w:r>
      <w:r w:rsidR="007F2383">
        <w:rPr>
          <w:i/>
          <w:iCs/>
          <w:vertAlign w:val="subscript"/>
        </w:rPr>
        <w:tab/>
      </w:r>
      <w:r w:rsidR="007F2383">
        <w:rPr>
          <w:i/>
          <w:iCs/>
          <w:vertAlign w:val="subscript"/>
        </w:rPr>
        <w:tab/>
      </w:r>
      <w:r w:rsidR="007F2383">
        <w:rPr>
          <w:i/>
          <w:iCs/>
          <w:vertAlign w:val="subscript"/>
        </w:rPr>
        <w:tab/>
      </w:r>
      <w:r w:rsidR="007F2383">
        <w:rPr>
          <w:i/>
          <w:iCs/>
          <w:vertAlign w:val="subscript"/>
        </w:rPr>
        <w:tab/>
      </w:r>
      <w:r w:rsidR="007F2383">
        <w:rPr>
          <w:i/>
          <w:iCs/>
          <w:vertAlign w:val="subscript"/>
        </w:rPr>
        <w:tab/>
      </w:r>
      <w:r w:rsidR="007F2383">
        <w:rPr>
          <w:i/>
          <w:iCs/>
          <w:vertAlign w:val="subscript"/>
        </w:rPr>
        <w:tab/>
      </w:r>
      <w:r w:rsidR="007F2383">
        <w:rPr>
          <w:i/>
          <w:iCs/>
          <w:vertAlign w:val="subscript"/>
        </w:rPr>
        <w:tab/>
      </w:r>
      <w:r w:rsidR="007F2383">
        <w:rPr>
          <w:i/>
          <w:iCs/>
          <w:vertAlign w:val="subscript"/>
        </w:rPr>
        <w:tab/>
      </w:r>
      <w:r w:rsidR="007F2383">
        <w:rPr>
          <w:i/>
          <w:iCs/>
          <w:vertAlign w:val="subscript"/>
        </w:rPr>
        <w:tab/>
      </w:r>
      <w:r w:rsidR="007F2383">
        <w:t>(2.7)</w:t>
      </w:r>
    </w:p>
    <w:p w14:paraId="354597E6" w14:textId="77777777" w:rsidR="00767833" w:rsidRPr="001B65D8" w:rsidRDefault="00767833" w:rsidP="001B65D8">
      <w:pPr>
        <w:ind w:firstLine="0"/>
        <w:rPr>
          <w:lang w:val="vi-VN"/>
        </w:rPr>
      </w:pPr>
      <w:r w:rsidRPr="001B65D8">
        <w:rPr>
          <w:lang w:val="vi-VN"/>
        </w:rPr>
        <w:t xml:space="preserve">Trong đó: </w:t>
      </w:r>
    </w:p>
    <w:p w14:paraId="49E12726" w14:textId="77777777" w:rsidR="00767833" w:rsidRPr="00553202" w:rsidRDefault="00767833" w:rsidP="00CE4BC2">
      <w:pPr>
        <w:numPr>
          <w:ilvl w:val="0"/>
          <w:numId w:val="3"/>
        </w:numPr>
        <w:ind w:left="426" w:hanging="426"/>
        <w:contextualSpacing/>
        <w:jc w:val="both"/>
        <w:rPr>
          <w:lang w:val="vi-VN"/>
        </w:rPr>
      </w:pPr>
      <w:r w:rsidRPr="00E140FB">
        <w:rPr>
          <w:i/>
          <w:iCs/>
          <w:lang w:val="vi-VN"/>
        </w:rPr>
        <w:t>C</w:t>
      </w:r>
      <w:r w:rsidRPr="00E140FB">
        <w:rPr>
          <w:i/>
          <w:iCs/>
          <w:vertAlign w:val="subscript"/>
          <w:lang w:val="vi-VN"/>
        </w:rPr>
        <w:t>2</w:t>
      </w:r>
      <w:r w:rsidRPr="00553202">
        <w:rPr>
          <w:lang w:val="vi-VN"/>
        </w:rPr>
        <w:t>: là nồng độ cần pha loãng.</w:t>
      </w:r>
    </w:p>
    <w:p w14:paraId="5DA7B96A" w14:textId="77777777" w:rsidR="00767833" w:rsidRPr="00553202" w:rsidRDefault="00767833" w:rsidP="00CE4BC2">
      <w:pPr>
        <w:numPr>
          <w:ilvl w:val="0"/>
          <w:numId w:val="3"/>
        </w:numPr>
        <w:ind w:left="426" w:hanging="426"/>
        <w:contextualSpacing/>
        <w:jc w:val="both"/>
        <w:rPr>
          <w:lang w:val="vi-VN"/>
        </w:rPr>
      </w:pPr>
      <w:r w:rsidRPr="00E140FB">
        <w:rPr>
          <w:i/>
          <w:iCs/>
          <w:lang w:val="vi-VN"/>
        </w:rPr>
        <w:t>V</w:t>
      </w:r>
      <w:r w:rsidRPr="00E140FB">
        <w:rPr>
          <w:i/>
          <w:iCs/>
          <w:vertAlign w:val="subscript"/>
          <w:lang w:val="vi-VN"/>
        </w:rPr>
        <w:t>2</w:t>
      </w:r>
      <w:r w:rsidRPr="00553202">
        <w:rPr>
          <w:lang w:val="vi-VN"/>
        </w:rPr>
        <w:t>: là thể tích cần pha loãng.</w:t>
      </w:r>
    </w:p>
    <w:p w14:paraId="068104D5" w14:textId="77777777" w:rsidR="00767833" w:rsidRPr="00553202" w:rsidRDefault="00767833" w:rsidP="00CE4BC2">
      <w:pPr>
        <w:numPr>
          <w:ilvl w:val="0"/>
          <w:numId w:val="3"/>
        </w:numPr>
        <w:ind w:left="426" w:hanging="426"/>
        <w:contextualSpacing/>
        <w:jc w:val="both"/>
        <w:rPr>
          <w:lang w:val="vi-VN"/>
        </w:rPr>
      </w:pPr>
      <w:r w:rsidRPr="00E140FB">
        <w:rPr>
          <w:i/>
          <w:iCs/>
          <w:lang w:val="vi-VN"/>
        </w:rPr>
        <w:t>C</w:t>
      </w:r>
      <w:r w:rsidRPr="00E140FB">
        <w:rPr>
          <w:i/>
          <w:iCs/>
          <w:vertAlign w:val="subscript"/>
          <w:lang w:val="vi-VN"/>
        </w:rPr>
        <w:t>1</w:t>
      </w:r>
      <w:r w:rsidRPr="00553202">
        <w:rPr>
          <w:lang w:val="vi-VN"/>
        </w:rPr>
        <w:t xml:space="preserve">: là nồng độ dung dịch ban đầu cần pha loãng </w:t>
      </w:r>
    </w:p>
    <w:p w14:paraId="7D76840B" w14:textId="2340EE36" w:rsidR="00FC4046" w:rsidRPr="00BA4142" w:rsidRDefault="00767833" w:rsidP="00CE4BC2">
      <w:pPr>
        <w:numPr>
          <w:ilvl w:val="0"/>
          <w:numId w:val="3"/>
        </w:numPr>
        <w:ind w:left="426" w:hanging="426"/>
        <w:contextualSpacing/>
        <w:jc w:val="both"/>
        <w:rPr>
          <w:b/>
          <w:bCs/>
          <w:lang w:val="vi-VN"/>
        </w:rPr>
      </w:pPr>
      <w:r w:rsidRPr="00E140FB">
        <w:rPr>
          <w:i/>
          <w:iCs/>
          <w:lang w:val="vi-VN"/>
        </w:rPr>
        <w:t>V</w:t>
      </w:r>
      <w:r w:rsidRPr="00E140FB">
        <w:rPr>
          <w:i/>
          <w:iCs/>
          <w:vertAlign w:val="subscript"/>
          <w:lang w:val="vi-VN"/>
        </w:rPr>
        <w:t>1</w:t>
      </w:r>
      <w:r w:rsidRPr="00553202">
        <w:rPr>
          <w:lang w:val="vi-VN"/>
        </w:rPr>
        <w:t>: là thể tích của dung dịch có nồng độ C</w:t>
      </w:r>
      <w:r w:rsidRPr="00553202">
        <w:rPr>
          <w:vertAlign w:val="subscript"/>
          <w:lang w:val="vi-VN"/>
        </w:rPr>
        <w:t>1</w:t>
      </w:r>
      <w:r w:rsidRPr="00553202">
        <w:rPr>
          <w:lang w:val="vi-VN"/>
        </w:rPr>
        <w:t xml:space="preserve"> cần lấy để mang đi pha loãng.</w:t>
      </w:r>
      <w:bookmarkStart w:id="13" w:name="_Toc203383959"/>
    </w:p>
    <w:p w14:paraId="00ADC45E" w14:textId="41DECC96" w:rsidR="00FC4046" w:rsidRPr="00553202" w:rsidRDefault="003339A1" w:rsidP="00BA4142">
      <w:pPr>
        <w:pStyle w:val="Heading3"/>
        <w:rPr>
          <w:lang w:val="vi-VN"/>
        </w:rPr>
      </w:pPr>
      <w:bookmarkStart w:id="14" w:name="_Toc233142631"/>
      <w:bookmarkEnd w:id="13"/>
      <w:r w:rsidRPr="009E6960">
        <w:rPr>
          <w:lang w:val="vi-VN"/>
        </w:rPr>
        <w:t xml:space="preserve">Khảo </w:t>
      </w:r>
      <w:r w:rsidR="0031331E" w:rsidRPr="009E6960">
        <w:rPr>
          <w:lang w:val="vi-VN"/>
        </w:rPr>
        <w:t>sát hấp phụ</w:t>
      </w:r>
      <w:r w:rsidR="005D337C" w:rsidRPr="009E6960">
        <w:rPr>
          <w:lang w:val="vi-VN"/>
        </w:rPr>
        <w:t xml:space="preserve"> kháng sinh TC qua hệ mẻ</w:t>
      </w:r>
      <w:bookmarkEnd w:id="14"/>
    </w:p>
    <w:p w14:paraId="052ED332" w14:textId="3A5BC2B8" w:rsidR="00FC4046" w:rsidRPr="009E6960" w:rsidRDefault="00731D8F" w:rsidP="004017C7">
      <w:pPr>
        <w:ind w:firstLine="426"/>
        <w:jc w:val="both"/>
        <w:rPr>
          <w:bCs/>
          <w:lang w:val="vi-VN"/>
        </w:rPr>
      </w:pPr>
      <w:r w:rsidRPr="00553202">
        <w:rPr>
          <w:bCs/>
          <w:lang w:val="vi-VN"/>
        </w:rPr>
        <w:t>Quá trình đo bắt đầu từ việc chuẩn bị</w:t>
      </w:r>
      <w:r w:rsidRPr="009E6960">
        <w:rPr>
          <w:bCs/>
          <w:lang w:val="vi-VN"/>
        </w:rPr>
        <w:t xml:space="preserve"> số bình trung tính Duran</w:t>
      </w:r>
      <w:r w:rsidRPr="00553202">
        <w:rPr>
          <w:bCs/>
          <w:lang w:val="vi-VN"/>
        </w:rPr>
        <w:t xml:space="preserve"> 100 ml</w:t>
      </w:r>
      <w:r w:rsidR="003E4A76" w:rsidRPr="009E6960">
        <w:rPr>
          <w:bCs/>
          <w:lang w:val="vi-VN"/>
        </w:rPr>
        <w:t xml:space="preserve"> tương ứng với số mẫu cần trong mỗi quá trình thí nghiệm. Mỗi bình sẽ được chứa 0</w:t>
      </w:r>
      <w:r w:rsidR="00DA3346" w:rsidRPr="009E6960">
        <w:rPr>
          <w:bCs/>
          <w:lang w:val="vi-VN"/>
        </w:rPr>
        <w:t>,</w:t>
      </w:r>
      <w:r w:rsidR="003E4A76" w:rsidRPr="009E6960">
        <w:rPr>
          <w:bCs/>
          <w:lang w:val="vi-VN"/>
        </w:rPr>
        <w:t>05</w:t>
      </w:r>
      <w:r w:rsidR="0095019D" w:rsidRPr="009E6960">
        <w:rPr>
          <w:bCs/>
          <w:lang w:val="vi-VN"/>
        </w:rPr>
        <w:t xml:space="preserve"> </w:t>
      </w:r>
      <w:r w:rsidR="003E4A76" w:rsidRPr="009E6960">
        <w:rPr>
          <w:bCs/>
          <w:lang w:val="vi-VN"/>
        </w:rPr>
        <w:t xml:space="preserve">g vật liệu cùng </w:t>
      </w:r>
      <w:r w:rsidRPr="00553202">
        <w:rPr>
          <w:bCs/>
          <w:lang w:val="vi-VN"/>
        </w:rPr>
        <w:t>20</w:t>
      </w:r>
      <w:r w:rsidR="0095019D" w:rsidRPr="009E6960">
        <w:rPr>
          <w:bCs/>
          <w:lang w:val="vi-VN"/>
        </w:rPr>
        <w:t xml:space="preserve"> </w:t>
      </w:r>
      <w:r w:rsidRPr="00553202">
        <w:rPr>
          <w:bCs/>
          <w:lang w:val="vi-VN"/>
        </w:rPr>
        <w:t xml:space="preserve">ml mẫu </w:t>
      </w:r>
      <w:r w:rsidR="003E4A76" w:rsidRPr="009E6960">
        <w:rPr>
          <w:bCs/>
          <w:lang w:val="vi-VN"/>
        </w:rPr>
        <w:t>kháng sinh TC</w:t>
      </w:r>
      <w:r w:rsidRPr="00553202">
        <w:rPr>
          <w:bCs/>
          <w:lang w:val="vi-VN"/>
        </w:rPr>
        <w:t xml:space="preserve"> ở các mức nồng độ </w:t>
      </w:r>
      <w:r w:rsidR="003E4A76" w:rsidRPr="009E6960">
        <w:rPr>
          <w:bCs/>
          <w:lang w:val="vi-VN"/>
        </w:rPr>
        <w:t>th</w:t>
      </w:r>
      <w:r w:rsidR="004945E4" w:rsidRPr="009E6960">
        <w:rPr>
          <w:bCs/>
          <w:lang w:val="vi-VN"/>
        </w:rPr>
        <w:t>eo yêu cầu khảo sát</w:t>
      </w:r>
      <w:r w:rsidRPr="00553202">
        <w:rPr>
          <w:bCs/>
          <w:lang w:val="vi-VN"/>
        </w:rPr>
        <w:t>.</w:t>
      </w:r>
      <w:r w:rsidRPr="009E6960">
        <w:rPr>
          <w:bCs/>
          <w:lang w:val="vi-VN"/>
        </w:rPr>
        <w:t xml:space="preserve"> </w:t>
      </w:r>
      <w:r w:rsidR="00A10D31" w:rsidRPr="009E6960">
        <w:rPr>
          <w:bCs/>
          <w:lang w:val="vi-VN"/>
        </w:rPr>
        <w:t>M</w:t>
      </w:r>
      <w:r w:rsidRPr="009E6960">
        <w:rPr>
          <w:bCs/>
          <w:lang w:val="vi-VN"/>
        </w:rPr>
        <w:t xml:space="preserve">ẫu </w:t>
      </w:r>
      <w:r w:rsidR="000A7065" w:rsidRPr="009E6960">
        <w:rPr>
          <w:bCs/>
          <w:lang w:val="vi-VN"/>
        </w:rPr>
        <w:t>trắng</w:t>
      </w:r>
      <w:r w:rsidR="0043753F" w:rsidRPr="009E6960">
        <w:rPr>
          <w:bCs/>
          <w:lang w:val="vi-VN"/>
        </w:rPr>
        <w:t xml:space="preserve"> đối chứng</w:t>
      </w:r>
      <w:r w:rsidR="00A10D31" w:rsidRPr="009E6960">
        <w:rPr>
          <w:bCs/>
          <w:lang w:val="vi-VN"/>
        </w:rPr>
        <w:t xml:space="preserve"> cũng được yêu cầu chuẩn bị cho mỗi </w:t>
      </w:r>
      <w:r w:rsidR="00B70C49" w:rsidRPr="009E6960">
        <w:rPr>
          <w:bCs/>
          <w:lang w:val="vi-VN"/>
        </w:rPr>
        <w:t>lần khảo sát</w:t>
      </w:r>
      <w:r w:rsidR="00985EC6" w:rsidRPr="009E6960">
        <w:rPr>
          <w:bCs/>
          <w:lang w:val="vi-VN"/>
        </w:rPr>
        <w:t>, bao gồm</w:t>
      </w:r>
      <w:r w:rsidR="00A10D31" w:rsidRPr="009E6960">
        <w:rPr>
          <w:bCs/>
          <w:lang w:val="vi-VN"/>
        </w:rPr>
        <w:t xml:space="preserve"> khối lượng mẫu cùng thế tích </w:t>
      </w:r>
      <w:r w:rsidRPr="009E6960">
        <w:rPr>
          <w:bCs/>
          <w:lang w:val="vi-VN"/>
        </w:rPr>
        <w:t>nước cất</w:t>
      </w:r>
      <w:r w:rsidR="00A10D31" w:rsidRPr="009E6960">
        <w:rPr>
          <w:bCs/>
          <w:lang w:val="vi-VN"/>
        </w:rPr>
        <w:t xml:space="preserve"> tương ứng</w:t>
      </w:r>
      <w:r w:rsidRPr="009E6960">
        <w:rPr>
          <w:bCs/>
          <w:lang w:val="vi-VN"/>
        </w:rPr>
        <w:t xml:space="preserve"> để </w:t>
      </w:r>
      <w:r w:rsidR="00B9212A" w:rsidRPr="009E6960">
        <w:rPr>
          <w:bCs/>
          <w:lang w:val="vi-VN"/>
        </w:rPr>
        <w:t xml:space="preserve">làm mẫu đối chứng nhằm </w:t>
      </w:r>
      <w:r w:rsidRPr="009E6960">
        <w:rPr>
          <w:bCs/>
          <w:lang w:val="vi-VN"/>
        </w:rPr>
        <w:t xml:space="preserve">loại bỏ ảnh hưởng của các yếu tố </w:t>
      </w:r>
      <w:r w:rsidR="00883CF8" w:rsidRPr="009E6960">
        <w:rPr>
          <w:bCs/>
          <w:lang w:val="vi-VN"/>
        </w:rPr>
        <w:t>gây nhiễu</w:t>
      </w:r>
      <w:r w:rsidRPr="009E6960">
        <w:rPr>
          <w:bCs/>
          <w:lang w:val="vi-VN"/>
        </w:rPr>
        <w:t xml:space="preserve"> lên kết</w:t>
      </w:r>
      <w:r w:rsidRPr="00553202">
        <w:rPr>
          <w:bCs/>
          <w:lang w:val="vi-VN"/>
        </w:rPr>
        <w:t xml:space="preserve"> quả </w:t>
      </w:r>
      <w:r w:rsidRPr="009E6960">
        <w:rPr>
          <w:bCs/>
          <w:lang w:val="vi-VN"/>
        </w:rPr>
        <w:t xml:space="preserve">hấp phụ </w:t>
      </w:r>
      <w:r w:rsidR="00A10D31" w:rsidRPr="009E6960">
        <w:rPr>
          <w:bCs/>
          <w:lang w:val="vi-VN"/>
        </w:rPr>
        <w:t>kháng sinh</w:t>
      </w:r>
      <w:r w:rsidRPr="009E6960">
        <w:rPr>
          <w:bCs/>
          <w:lang w:val="vi-VN"/>
        </w:rPr>
        <w:t xml:space="preserve">. Các mẫu được điều chỉnh đến pH </w:t>
      </w:r>
      <w:r w:rsidRPr="009E6960">
        <w:rPr>
          <w:bCs/>
          <w:lang w:val="vi-VN"/>
        </w:rPr>
        <w:lastRenderedPageBreak/>
        <w:t>xác định, sau đó lắc ở tốc độ 1</w:t>
      </w:r>
      <w:r w:rsidR="00C30E2B" w:rsidRPr="009E6960">
        <w:rPr>
          <w:bCs/>
          <w:lang w:val="vi-VN"/>
        </w:rPr>
        <w:t>1</w:t>
      </w:r>
      <w:r w:rsidRPr="009E6960">
        <w:rPr>
          <w:bCs/>
          <w:lang w:val="vi-VN"/>
        </w:rPr>
        <w:t xml:space="preserve">0 vòng/phút (rpm) trong </w:t>
      </w:r>
      <w:r w:rsidR="00C30E2B" w:rsidRPr="009E6960">
        <w:rPr>
          <w:bCs/>
          <w:lang w:val="vi-VN"/>
        </w:rPr>
        <w:t>60</w:t>
      </w:r>
      <w:r w:rsidRPr="009E6960">
        <w:rPr>
          <w:bCs/>
          <w:lang w:val="vi-VN"/>
        </w:rPr>
        <w:t xml:space="preserve"> phút ở nhiệt độ phòng (25 ± 1°C). Sau khi kết thúc quá trình hấp phụ</w:t>
      </w:r>
      <w:r w:rsidR="00C30E2B" w:rsidRPr="009E6960">
        <w:rPr>
          <w:bCs/>
          <w:lang w:val="vi-VN"/>
        </w:rPr>
        <w:t xml:space="preserve">, </w:t>
      </w:r>
      <w:r w:rsidR="0020441E" w:rsidRPr="009E6960">
        <w:rPr>
          <w:bCs/>
          <w:lang w:val="vi-VN"/>
        </w:rPr>
        <w:t xml:space="preserve">chất rắn được tách khỏi dung dịch nước bằng giấy lọc. </w:t>
      </w:r>
      <w:r w:rsidR="00C03232" w:rsidRPr="009E6960">
        <w:rPr>
          <w:bCs/>
          <w:lang w:val="vi-VN"/>
        </w:rPr>
        <w:t xml:space="preserve"> Cuối cùng hiệu suất</w:t>
      </w:r>
      <w:r w:rsidR="008572CD" w:rsidRPr="009E6960">
        <w:rPr>
          <w:bCs/>
          <w:lang w:val="vi-VN"/>
        </w:rPr>
        <w:t xml:space="preserve"> hấp phụ</w:t>
      </w:r>
      <w:r w:rsidR="00C03232" w:rsidRPr="009E6960">
        <w:rPr>
          <w:bCs/>
          <w:lang w:val="vi-VN"/>
        </w:rPr>
        <w:t xml:space="preserve"> TC (H%) cùng dung lượng hấp phụ Q (mg/g)</w:t>
      </w:r>
      <w:r w:rsidR="008572CD" w:rsidRPr="009E6960">
        <w:rPr>
          <w:bCs/>
          <w:lang w:val="vi-VN"/>
        </w:rPr>
        <w:t xml:space="preserve"> sẽ được đánh giá </w:t>
      </w:r>
      <w:r w:rsidR="0053023D" w:rsidRPr="009E6960">
        <w:rPr>
          <w:bCs/>
          <w:lang w:val="vi-VN"/>
        </w:rPr>
        <w:t>khi so sánh</w:t>
      </w:r>
      <w:r w:rsidR="008572CD" w:rsidRPr="009E6960">
        <w:rPr>
          <w:bCs/>
          <w:lang w:val="vi-VN"/>
        </w:rPr>
        <w:t xml:space="preserve"> n</w:t>
      </w:r>
      <w:r w:rsidRPr="009E6960">
        <w:rPr>
          <w:bCs/>
          <w:lang w:val="vi-VN"/>
        </w:rPr>
        <w:t xml:space="preserve">ồng độ thuốc </w:t>
      </w:r>
      <w:r w:rsidR="00C30E2B" w:rsidRPr="009E6960">
        <w:rPr>
          <w:bCs/>
          <w:lang w:val="vi-VN"/>
        </w:rPr>
        <w:t>kháng sinh TC</w:t>
      </w:r>
      <w:r w:rsidRPr="009E6960">
        <w:rPr>
          <w:bCs/>
          <w:lang w:val="vi-VN"/>
        </w:rPr>
        <w:t xml:space="preserve"> </w:t>
      </w:r>
      <w:r w:rsidR="0053023D" w:rsidRPr="009E6960">
        <w:rPr>
          <w:bCs/>
          <w:lang w:val="vi-VN"/>
        </w:rPr>
        <w:t>trước và sau hấp phụ</w:t>
      </w:r>
      <w:r w:rsidRPr="009E6960">
        <w:rPr>
          <w:bCs/>
          <w:lang w:val="vi-VN"/>
        </w:rPr>
        <w:t xml:space="preserve"> bằng quang phổ hấp thụ phân tử UV-Vis ở bước sóng </w:t>
      </w:r>
      <w:r w:rsidR="00B9212A" w:rsidRPr="009E6960">
        <w:rPr>
          <w:bCs/>
          <w:lang w:val="vi-VN"/>
        </w:rPr>
        <w:t>358</w:t>
      </w:r>
      <w:r w:rsidRPr="009E6960">
        <w:rPr>
          <w:bCs/>
          <w:lang w:val="vi-VN"/>
        </w:rPr>
        <w:t xml:space="preserve"> nm</w:t>
      </w:r>
      <w:r w:rsidR="0053023D" w:rsidRPr="009E6960">
        <w:rPr>
          <w:bCs/>
          <w:lang w:val="vi-VN"/>
        </w:rPr>
        <w:t xml:space="preserve"> theo công thức: </w:t>
      </w:r>
    </w:p>
    <w:p w14:paraId="2216FEF0" w14:textId="488DFD0F" w:rsidR="0053023D" w:rsidRPr="009E6960" w:rsidRDefault="0053023D" w:rsidP="007F2383">
      <w:pPr>
        <w:ind w:firstLine="720"/>
        <w:jc w:val="right"/>
        <w:rPr>
          <w:rFonts w:cs="Times New Roman"/>
          <w:bCs/>
          <w:szCs w:val="26"/>
          <w:lang w:val="vi-VN"/>
        </w:rPr>
      </w:pPr>
      <m:oMath>
        <m:r>
          <w:rPr>
            <w:rFonts w:ascii="Cambria Math" w:hAnsi="Cambria Math" w:cs="Times New Roman"/>
            <w:szCs w:val="26"/>
            <w:lang w:val="vi-VN"/>
          </w:rPr>
          <m:t>H=</m:t>
        </m:r>
        <m:d>
          <m:dPr>
            <m:ctrlPr>
              <w:rPr>
                <w:rFonts w:ascii="Cambria Math" w:hAnsi="Cambria Math" w:cs="Times New Roman"/>
                <w:i/>
                <w:szCs w:val="26"/>
                <w:lang w:val="vi-VN"/>
              </w:rPr>
            </m:ctrlPr>
          </m:dPr>
          <m:e>
            <m:sSub>
              <m:sSubPr>
                <m:ctrlPr>
                  <w:rPr>
                    <w:rFonts w:ascii="Cambria Math" w:hAnsi="Cambria Math" w:cs="Times New Roman"/>
                    <w:bCs/>
                    <w:i/>
                    <w:szCs w:val="26"/>
                    <w:lang w:val="vi-VN"/>
                  </w:rPr>
                </m:ctrlPr>
              </m:sSubPr>
              <m:e>
                <m:r>
                  <w:rPr>
                    <w:rFonts w:ascii="Cambria Math" w:hAnsi="Cambria Math" w:cs="Times New Roman"/>
                    <w:szCs w:val="26"/>
                    <w:lang w:val="vi-VN"/>
                  </w:rPr>
                  <m:t>C</m:t>
                </m:r>
              </m:e>
              <m:sub>
                <m:r>
                  <w:rPr>
                    <w:rFonts w:ascii="Cambria Math" w:hAnsi="Cambria Math" w:cs="Times New Roman"/>
                    <w:szCs w:val="26"/>
                    <w:lang w:val="vi-VN"/>
                  </w:rPr>
                  <m:t>0</m:t>
                </m:r>
              </m:sub>
            </m:sSub>
            <m:r>
              <w:rPr>
                <w:rFonts w:ascii="Cambria Math" w:hAnsi="Cambria Math" w:cs="Times New Roman"/>
                <w:szCs w:val="26"/>
                <w:lang w:val="vi-VN"/>
              </w:rPr>
              <m:t xml:space="preserve"> - </m:t>
            </m:r>
            <m:sSub>
              <m:sSubPr>
                <m:ctrlPr>
                  <w:rPr>
                    <w:rFonts w:ascii="Cambria Math" w:hAnsi="Cambria Math" w:cs="Times New Roman"/>
                    <w:bCs/>
                    <w:i/>
                    <w:szCs w:val="26"/>
                    <w:lang w:val="vi-VN"/>
                  </w:rPr>
                </m:ctrlPr>
              </m:sSubPr>
              <m:e>
                <m:r>
                  <w:rPr>
                    <w:rFonts w:ascii="Cambria Math" w:hAnsi="Cambria Math" w:cs="Times New Roman"/>
                    <w:szCs w:val="26"/>
                    <w:lang w:val="vi-VN"/>
                  </w:rPr>
                  <m:t>C</m:t>
                </m:r>
              </m:e>
              <m:sub>
                <m:r>
                  <w:rPr>
                    <w:rFonts w:ascii="Cambria Math" w:hAnsi="Cambria Math" w:cs="Times New Roman"/>
                    <w:szCs w:val="26"/>
                    <w:lang w:val="vi-VN"/>
                  </w:rPr>
                  <m:t>e</m:t>
                </m:r>
              </m:sub>
            </m:sSub>
          </m:e>
        </m:d>
        <m:r>
          <w:rPr>
            <w:rFonts w:ascii="Cambria Math" w:hAnsi="Cambria Math" w:cs="Times New Roman"/>
            <w:szCs w:val="26"/>
            <w:lang w:val="vi-VN"/>
          </w:rPr>
          <m:t>×</m:t>
        </m:r>
        <m:f>
          <m:fPr>
            <m:ctrlPr>
              <w:rPr>
                <w:rFonts w:ascii="Cambria Math" w:hAnsi="Cambria Math" w:cs="Times New Roman"/>
                <w:bCs/>
                <w:i/>
                <w:szCs w:val="26"/>
                <w:lang w:val="vi-VN"/>
              </w:rPr>
            </m:ctrlPr>
          </m:fPr>
          <m:num>
            <m:r>
              <w:rPr>
                <w:rFonts w:ascii="Cambria Math" w:hAnsi="Cambria Math" w:cs="Times New Roman"/>
                <w:szCs w:val="26"/>
                <w:lang w:val="vi-VN"/>
              </w:rPr>
              <m:t>100</m:t>
            </m:r>
          </m:num>
          <m:den>
            <m:sSub>
              <m:sSubPr>
                <m:ctrlPr>
                  <w:rPr>
                    <w:rFonts w:ascii="Cambria Math" w:hAnsi="Cambria Math" w:cs="Times New Roman"/>
                    <w:bCs/>
                    <w:i/>
                    <w:szCs w:val="26"/>
                    <w:lang w:val="vi-VN"/>
                  </w:rPr>
                </m:ctrlPr>
              </m:sSubPr>
              <m:e>
                <m:r>
                  <w:rPr>
                    <w:rFonts w:ascii="Cambria Math" w:hAnsi="Cambria Math" w:cs="Times New Roman"/>
                    <w:szCs w:val="26"/>
                    <w:lang w:val="vi-VN"/>
                  </w:rPr>
                  <m:t>C</m:t>
                </m:r>
              </m:e>
              <m:sub>
                <m:r>
                  <w:rPr>
                    <w:rFonts w:ascii="Cambria Math" w:hAnsi="Cambria Math" w:cs="Times New Roman"/>
                    <w:szCs w:val="26"/>
                    <w:lang w:val="vi-VN"/>
                  </w:rPr>
                  <m:t>0</m:t>
                </m:r>
              </m:sub>
            </m:sSub>
          </m:den>
        </m:f>
      </m:oMath>
      <w:r>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sidRPr="009E6960">
        <w:rPr>
          <w:rFonts w:cs="Times New Roman"/>
          <w:bCs/>
          <w:szCs w:val="26"/>
          <w:lang w:val="vi-VN"/>
        </w:rPr>
        <w:t>(2.8)</w:t>
      </w:r>
    </w:p>
    <w:p w14:paraId="673F0651" w14:textId="3EA7FEDC" w:rsidR="0053023D" w:rsidRPr="009E6960" w:rsidRDefault="0053023D" w:rsidP="007F2383">
      <w:pPr>
        <w:ind w:left="360" w:firstLine="360"/>
        <w:jc w:val="right"/>
        <w:rPr>
          <w:rFonts w:cs="Times New Roman"/>
          <w:bCs/>
          <w:szCs w:val="26"/>
          <w:lang w:val="vi-VN"/>
        </w:rPr>
      </w:pPr>
      <m:oMath>
        <m:r>
          <w:rPr>
            <w:rFonts w:ascii="Cambria Math" w:hAnsi="Cambria Math" w:cs="Times New Roman"/>
            <w:szCs w:val="26"/>
            <w:lang w:val="vi-VN"/>
          </w:rPr>
          <m:t>Q=</m:t>
        </m:r>
      </m:oMath>
      <w:r w:rsidRPr="00046355">
        <w:rPr>
          <w:rFonts w:cs="Times New Roman"/>
          <w:bCs/>
          <w:sz w:val="30"/>
          <w:szCs w:val="30"/>
          <w:lang w:val="vi-VN"/>
        </w:rPr>
        <w:t xml:space="preserve"> </w:t>
      </w:r>
      <m:oMath>
        <m:d>
          <m:dPr>
            <m:ctrlPr>
              <w:rPr>
                <w:rFonts w:ascii="Cambria Math" w:hAnsi="Cambria Math" w:cs="Times New Roman"/>
                <w:i/>
                <w:szCs w:val="26"/>
                <w:lang w:val="vi-VN"/>
              </w:rPr>
            </m:ctrlPr>
          </m:dPr>
          <m:e>
            <m:sSub>
              <m:sSubPr>
                <m:ctrlPr>
                  <w:rPr>
                    <w:rFonts w:ascii="Cambria Math" w:hAnsi="Cambria Math" w:cs="Times New Roman"/>
                    <w:bCs/>
                    <w:i/>
                    <w:szCs w:val="26"/>
                    <w:lang w:val="vi-VN"/>
                  </w:rPr>
                </m:ctrlPr>
              </m:sSubPr>
              <m:e>
                <m:r>
                  <w:rPr>
                    <w:rFonts w:ascii="Cambria Math" w:hAnsi="Cambria Math" w:cs="Times New Roman"/>
                    <w:szCs w:val="26"/>
                    <w:lang w:val="vi-VN"/>
                  </w:rPr>
                  <m:t>C</m:t>
                </m:r>
              </m:e>
              <m:sub>
                <m:r>
                  <w:rPr>
                    <w:rFonts w:ascii="Cambria Math" w:hAnsi="Cambria Math" w:cs="Times New Roman"/>
                    <w:szCs w:val="26"/>
                    <w:lang w:val="vi-VN"/>
                  </w:rPr>
                  <m:t>0</m:t>
                </m:r>
              </m:sub>
            </m:sSub>
            <m:r>
              <w:rPr>
                <w:rFonts w:ascii="Cambria Math" w:hAnsi="Cambria Math" w:cs="Times New Roman"/>
                <w:szCs w:val="26"/>
                <w:lang w:val="vi-VN"/>
              </w:rPr>
              <m:t xml:space="preserve"> - </m:t>
            </m:r>
            <m:sSub>
              <m:sSubPr>
                <m:ctrlPr>
                  <w:rPr>
                    <w:rFonts w:ascii="Cambria Math" w:hAnsi="Cambria Math" w:cs="Times New Roman"/>
                    <w:bCs/>
                    <w:i/>
                    <w:szCs w:val="26"/>
                    <w:lang w:val="vi-VN"/>
                  </w:rPr>
                </m:ctrlPr>
              </m:sSubPr>
              <m:e>
                <m:r>
                  <w:rPr>
                    <w:rFonts w:ascii="Cambria Math" w:hAnsi="Cambria Math" w:cs="Times New Roman"/>
                    <w:szCs w:val="26"/>
                    <w:lang w:val="vi-VN"/>
                  </w:rPr>
                  <m:t>C</m:t>
                </m:r>
              </m:e>
              <m:sub>
                <m:r>
                  <w:rPr>
                    <w:rFonts w:ascii="Cambria Math" w:hAnsi="Cambria Math" w:cs="Times New Roman"/>
                    <w:szCs w:val="26"/>
                    <w:lang w:val="vi-VN"/>
                  </w:rPr>
                  <m:t>e</m:t>
                </m:r>
              </m:sub>
            </m:sSub>
          </m:e>
        </m:d>
        <m:r>
          <w:rPr>
            <w:rFonts w:ascii="Cambria Math" w:hAnsi="Cambria Math" w:cs="Times New Roman"/>
            <w:szCs w:val="26"/>
            <w:lang w:val="vi-VN"/>
          </w:rPr>
          <m:t>×</m:t>
        </m:r>
        <m:f>
          <m:fPr>
            <m:ctrlPr>
              <w:rPr>
                <w:rFonts w:ascii="Cambria Math" w:hAnsi="Cambria Math" w:cs="Times New Roman"/>
                <w:bCs/>
                <w:i/>
                <w:szCs w:val="26"/>
                <w:lang w:val="vi-VN"/>
              </w:rPr>
            </m:ctrlPr>
          </m:fPr>
          <m:num>
            <m:r>
              <w:rPr>
                <w:rFonts w:ascii="Cambria Math" w:hAnsi="Cambria Math" w:cs="Times New Roman"/>
                <w:szCs w:val="26"/>
                <w:lang w:val="vi-VN"/>
              </w:rPr>
              <m:t>V</m:t>
            </m:r>
          </m:num>
          <m:den>
            <m:r>
              <w:rPr>
                <w:rFonts w:ascii="Cambria Math" w:hAnsi="Cambria Math" w:cs="Times New Roman"/>
                <w:szCs w:val="26"/>
                <w:lang w:val="vi-VN"/>
              </w:rPr>
              <m:t>m</m:t>
            </m:r>
          </m:den>
        </m:f>
      </m:oMath>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Pr>
          <w:rFonts w:cs="Times New Roman"/>
          <w:bCs/>
          <w:szCs w:val="26"/>
          <w:lang w:val="vi-VN"/>
        </w:rPr>
        <w:tab/>
      </w:r>
      <w:r w:rsidR="007F2383" w:rsidRPr="009E6960">
        <w:rPr>
          <w:rFonts w:cs="Times New Roman"/>
          <w:bCs/>
          <w:szCs w:val="26"/>
          <w:lang w:val="vi-VN"/>
        </w:rPr>
        <w:t>(2.9)</w:t>
      </w:r>
    </w:p>
    <w:p w14:paraId="022992C4" w14:textId="77777777" w:rsidR="0053023D" w:rsidRDefault="0053023D" w:rsidP="00DB5608">
      <w:pPr>
        <w:ind w:firstLine="0"/>
        <w:rPr>
          <w:rFonts w:cs="Times New Roman"/>
          <w:bCs/>
          <w:szCs w:val="26"/>
        </w:rPr>
      </w:pPr>
      <w:r>
        <w:rPr>
          <w:rFonts w:cs="Times New Roman"/>
          <w:bCs/>
          <w:szCs w:val="26"/>
          <w:lang w:val="vi-VN"/>
        </w:rPr>
        <w:t>Trong đó</w:t>
      </w:r>
      <w:r>
        <w:rPr>
          <w:rFonts w:cs="Times New Roman"/>
          <w:bCs/>
          <w:szCs w:val="26"/>
        </w:rPr>
        <w:t>:</w:t>
      </w:r>
    </w:p>
    <w:p w14:paraId="41A10548" w14:textId="0FBB7E3B" w:rsidR="00BA4142" w:rsidRPr="001B65D8" w:rsidRDefault="0053023D" w:rsidP="00CE4BC2">
      <w:pPr>
        <w:pStyle w:val="ListParagraph"/>
        <w:numPr>
          <w:ilvl w:val="0"/>
          <w:numId w:val="6"/>
        </w:numPr>
        <w:ind w:left="426" w:hanging="426"/>
        <w:rPr>
          <w:rFonts w:cs="Times New Roman"/>
          <w:bCs/>
          <w:szCs w:val="26"/>
          <w:lang w:val="vi-VN"/>
        </w:rPr>
      </w:pPr>
      <w:r w:rsidRPr="001B65D8">
        <w:rPr>
          <w:rFonts w:cs="Times New Roman"/>
          <w:bCs/>
          <w:i/>
          <w:iCs/>
          <w:szCs w:val="26"/>
          <w:lang w:val="vi-VN"/>
        </w:rPr>
        <w:t>C</w:t>
      </w:r>
      <w:r w:rsidRPr="001B65D8">
        <w:rPr>
          <w:rFonts w:cs="Times New Roman"/>
          <w:bCs/>
          <w:i/>
          <w:iCs/>
          <w:szCs w:val="26"/>
          <w:vertAlign w:val="subscript"/>
        </w:rPr>
        <w:t>0</w:t>
      </w:r>
      <w:r w:rsidRPr="001B65D8">
        <w:rPr>
          <w:rFonts w:cs="Times New Roman"/>
          <w:bCs/>
          <w:i/>
          <w:iCs/>
          <w:szCs w:val="26"/>
        </w:rPr>
        <w:t xml:space="preserve"> </w:t>
      </w:r>
      <w:r w:rsidRPr="001B65D8">
        <w:rPr>
          <w:rFonts w:cs="Times New Roman"/>
          <w:bCs/>
          <w:i/>
          <w:iCs/>
          <w:szCs w:val="26"/>
          <w:lang w:val="vi-VN"/>
        </w:rPr>
        <w:t>, Ce</w:t>
      </w:r>
      <w:r w:rsidRPr="001B65D8">
        <w:rPr>
          <w:rFonts w:cs="Times New Roman"/>
          <w:bCs/>
          <w:szCs w:val="26"/>
          <w:lang w:val="vi-VN"/>
        </w:rPr>
        <w:t xml:space="preserve"> (mg/L) là nồng độ ban đầu và nồng độ cân bằng sau hấp phụ của TC, </w:t>
      </w:r>
    </w:p>
    <w:p w14:paraId="7E83C63C" w14:textId="77777777" w:rsidR="00BA4142" w:rsidRPr="001B65D8" w:rsidRDefault="0053023D" w:rsidP="00CE4BC2">
      <w:pPr>
        <w:pStyle w:val="ListParagraph"/>
        <w:numPr>
          <w:ilvl w:val="0"/>
          <w:numId w:val="6"/>
        </w:numPr>
        <w:ind w:left="426" w:hanging="426"/>
        <w:rPr>
          <w:rFonts w:cs="Times New Roman"/>
          <w:bCs/>
          <w:szCs w:val="26"/>
          <w:lang w:val="vi-VN"/>
        </w:rPr>
      </w:pPr>
      <w:r w:rsidRPr="001B65D8">
        <w:rPr>
          <w:rFonts w:cs="Times New Roman"/>
          <w:bCs/>
          <w:i/>
          <w:iCs/>
          <w:szCs w:val="26"/>
          <w:lang w:val="vi-VN"/>
        </w:rPr>
        <w:t>V</w:t>
      </w:r>
      <w:r w:rsidRPr="001B65D8">
        <w:rPr>
          <w:rFonts w:cs="Times New Roman"/>
          <w:bCs/>
          <w:szCs w:val="26"/>
          <w:lang w:val="vi-VN"/>
        </w:rPr>
        <w:t xml:space="preserve"> là thể tích dung dịch (L) </w:t>
      </w:r>
    </w:p>
    <w:p w14:paraId="0C07CB82" w14:textId="359BC279" w:rsidR="0053023D" w:rsidRPr="001B65D8" w:rsidRDefault="0053023D" w:rsidP="00CE4BC2">
      <w:pPr>
        <w:pStyle w:val="ListParagraph"/>
        <w:numPr>
          <w:ilvl w:val="0"/>
          <w:numId w:val="6"/>
        </w:numPr>
        <w:ind w:left="426" w:hanging="426"/>
        <w:rPr>
          <w:rFonts w:cs="Times New Roman"/>
          <w:bCs/>
          <w:szCs w:val="26"/>
          <w:lang w:val="vi-VN"/>
        </w:rPr>
      </w:pPr>
      <w:r w:rsidRPr="001B65D8">
        <w:rPr>
          <w:rFonts w:cs="Times New Roman"/>
          <w:bCs/>
          <w:i/>
          <w:iCs/>
          <w:szCs w:val="26"/>
          <w:lang w:val="vi-VN"/>
        </w:rPr>
        <w:t>m</w:t>
      </w:r>
      <w:r w:rsidRPr="001B65D8">
        <w:rPr>
          <w:rFonts w:cs="Times New Roman"/>
          <w:bCs/>
          <w:szCs w:val="26"/>
          <w:lang w:val="vi-VN"/>
        </w:rPr>
        <w:t xml:space="preserve"> là khối lượng chất hấp phụ (g).</w:t>
      </w:r>
    </w:p>
    <w:p w14:paraId="7E9637C1" w14:textId="7ED78D68" w:rsidR="00767833" w:rsidRPr="009E6960" w:rsidRDefault="00767833" w:rsidP="00535439">
      <w:pPr>
        <w:spacing w:before="240"/>
        <w:ind w:firstLine="360"/>
        <w:rPr>
          <w:rFonts w:cs="Times New Roman"/>
          <w:bCs/>
          <w:szCs w:val="26"/>
          <w:lang w:val="vi-VN"/>
        </w:rPr>
      </w:pPr>
      <w:r w:rsidRPr="009E6960">
        <w:rPr>
          <w:rFonts w:cs="Times New Roman"/>
          <w:bCs/>
          <w:szCs w:val="26"/>
          <w:lang w:val="vi-VN"/>
        </w:rPr>
        <w:t xml:space="preserve">Để </w:t>
      </w:r>
      <w:r w:rsidR="00883CF8" w:rsidRPr="009E6960">
        <w:rPr>
          <w:rFonts w:cs="Times New Roman"/>
          <w:bCs/>
          <w:szCs w:val="26"/>
          <w:lang w:val="vi-VN"/>
        </w:rPr>
        <w:t>khảo sát</w:t>
      </w:r>
      <w:r w:rsidRPr="009E6960">
        <w:rPr>
          <w:rFonts w:cs="Times New Roman"/>
          <w:bCs/>
          <w:szCs w:val="26"/>
          <w:lang w:val="vi-VN"/>
        </w:rPr>
        <w:t xml:space="preserve"> các điều kiện hấp phụ TC trên vật liệu </w:t>
      </w:r>
      <w:r w:rsidR="00F022C4" w:rsidRPr="009E6960">
        <w:rPr>
          <w:rFonts w:cs="Times New Roman"/>
          <w:bCs/>
          <w:szCs w:val="26"/>
          <w:lang w:val="vi-VN"/>
        </w:rPr>
        <w:t>c</w:t>
      </w:r>
      <w:r w:rsidRPr="009E6960">
        <w:rPr>
          <w:rFonts w:cs="Times New Roman"/>
          <w:bCs/>
          <w:szCs w:val="26"/>
          <w:lang w:val="vi-VN"/>
        </w:rPr>
        <w:t>omposite, thực hiện các thí nghiệm khảo sát các</w:t>
      </w:r>
      <w:r w:rsidR="00883CF8" w:rsidRPr="009E6960">
        <w:rPr>
          <w:rFonts w:cs="Times New Roman"/>
          <w:bCs/>
          <w:szCs w:val="26"/>
          <w:lang w:val="vi-VN"/>
        </w:rPr>
        <w:t xml:space="preserve"> </w:t>
      </w:r>
      <w:r w:rsidRPr="009E6960">
        <w:rPr>
          <w:rFonts w:cs="Times New Roman"/>
          <w:bCs/>
          <w:szCs w:val="26"/>
          <w:lang w:val="vi-VN"/>
        </w:rPr>
        <w:t>yếu tố ảnh hưởng sau:</w:t>
      </w:r>
    </w:p>
    <w:p w14:paraId="1DF5A34C" w14:textId="7819A7AC" w:rsidR="00F022C4" w:rsidRPr="009E6960" w:rsidRDefault="000D6660" w:rsidP="00CE4BC2">
      <w:pPr>
        <w:numPr>
          <w:ilvl w:val="0"/>
          <w:numId w:val="4"/>
        </w:numPr>
        <w:tabs>
          <w:tab w:val="clear" w:pos="720"/>
        </w:tabs>
        <w:ind w:left="426" w:hanging="426"/>
        <w:rPr>
          <w:rFonts w:cs="Times New Roman"/>
          <w:szCs w:val="26"/>
          <w:lang w:val="vi-VN"/>
        </w:rPr>
      </w:pPr>
      <w:r w:rsidRPr="009E6960">
        <w:rPr>
          <w:rFonts w:cs="Times New Roman"/>
          <w:szCs w:val="26"/>
          <w:lang w:val="vi-VN"/>
        </w:rPr>
        <w:t>Khảo sát khả năng hấp phụ của các vật liệu than MGC, Fe</w:t>
      </w:r>
      <w:r w:rsidRPr="009E6960">
        <w:rPr>
          <w:rFonts w:cs="Times New Roman"/>
          <w:szCs w:val="26"/>
          <w:vertAlign w:val="subscript"/>
          <w:lang w:val="vi-VN"/>
        </w:rPr>
        <w:t>3</w:t>
      </w:r>
      <w:r w:rsidRPr="009E6960">
        <w:rPr>
          <w:rFonts w:cs="Times New Roman"/>
          <w:szCs w:val="26"/>
          <w:lang w:val="vi-VN"/>
        </w:rPr>
        <w:t>O</w:t>
      </w:r>
      <w:r w:rsidRPr="009E6960">
        <w:rPr>
          <w:rFonts w:cs="Times New Roman"/>
          <w:szCs w:val="26"/>
          <w:vertAlign w:val="subscript"/>
          <w:lang w:val="vi-VN"/>
        </w:rPr>
        <w:t>4</w:t>
      </w:r>
      <w:r w:rsidRPr="009E6960">
        <w:rPr>
          <w:rFonts w:cs="Times New Roman"/>
          <w:szCs w:val="26"/>
          <w:lang w:val="vi-VN"/>
        </w:rPr>
        <w:t xml:space="preserve"> và composite MGC/ Fe</w:t>
      </w:r>
      <w:r w:rsidRPr="009E6960">
        <w:rPr>
          <w:rFonts w:cs="Times New Roman"/>
          <w:szCs w:val="26"/>
          <w:vertAlign w:val="subscript"/>
          <w:lang w:val="vi-VN"/>
        </w:rPr>
        <w:t>3</w:t>
      </w:r>
      <w:r w:rsidRPr="009E6960">
        <w:rPr>
          <w:rFonts w:cs="Times New Roman"/>
          <w:szCs w:val="26"/>
          <w:lang w:val="vi-VN"/>
        </w:rPr>
        <w:t>O</w:t>
      </w:r>
      <w:r w:rsidRPr="009E6960">
        <w:rPr>
          <w:rFonts w:cs="Times New Roman"/>
          <w:szCs w:val="26"/>
          <w:vertAlign w:val="subscript"/>
          <w:lang w:val="vi-VN"/>
        </w:rPr>
        <w:t>4.</w:t>
      </w:r>
    </w:p>
    <w:p w14:paraId="0B425BF6" w14:textId="69384A66" w:rsidR="00AE1EB0" w:rsidRPr="009E6960" w:rsidRDefault="00AE1EB0" w:rsidP="00AE1EB0">
      <w:pPr>
        <w:numPr>
          <w:ilvl w:val="0"/>
          <w:numId w:val="4"/>
        </w:numPr>
        <w:tabs>
          <w:tab w:val="clear" w:pos="720"/>
        </w:tabs>
        <w:ind w:left="426" w:hanging="426"/>
        <w:rPr>
          <w:rFonts w:cs="Times New Roman"/>
          <w:szCs w:val="26"/>
          <w:lang w:val="vi-VN"/>
        </w:rPr>
      </w:pPr>
      <w:r w:rsidRPr="009E6960">
        <w:rPr>
          <w:rFonts w:cs="Times New Roman"/>
          <w:szCs w:val="26"/>
          <w:lang w:val="vi-VN"/>
        </w:rPr>
        <w:t>Ảnh hưởng khối lượng vật liệu hấp phụ, khảo sát các giá trị khối lượng vật liệu hấp phụ khác nhau 0,01; 0,03; 0,05; 0,08; 0,1; 0,12; 0,15 g.</w:t>
      </w:r>
    </w:p>
    <w:p w14:paraId="409261DA" w14:textId="5C73E5B8" w:rsidR="00767833" w:rsidRPr="009E6960" w:rsidRDefault="00767833" w:rsidP="00CE4BC2">
      <w:pPr>
        <w:numPr>
          <w:ilvl w:val="0"/>
          <w:numId w:val="4"/>
        </w:numPr>
        <w:tabs>
          <w:tab w:val="clear" w:pos="720"/>
        </w:tabs>
        <w:ind w:left="426" w:hanging="426"/>
        <w:rPr>
          <w:rFonts w:cs="Times New Roman"/>
          <w:szCs w:val="26"/>
          <w:lang w:val="vi-VN"/>
        </w:rPr>
      </w:pPr>
      <w:r w:rsidRPr="009E6960">
        <w:rPr>
          <w:rFonts w:cs="Times New Roman"/>
          <w:szCs w:val="26"/>
          <w:lang w:val="vi-VN"/>
        </w:rPr>
        <w:t xml:space="preserve">Ảnh hưởng của thời gian hấp phụ: khảo sát các giá trị thời gian lắc hấp phụ từ </w:t>
      </w:r>
      <w:r w:rsidR="00AF6405" w:rsidRPr="009E6960">
        <w:rPr>
          <w:rFonts w:cs="Times New Roman"/>
          <w:szCs w:val="26"/>
          <w:lang w:val="vi-VN"/>
        </w:rPr>
        <w:t xml:space="preserve">5 </w:t>
      </w:r>
      <w:r w:rsidRPr="009E6960">
        <w:rPr>
          <w:rFonts w:cs="Times New Roman"/>
          <w:szCs w:val="26"/>
          <w:lang w:val="vi-VN"/>
        </w:rPr>
        <w:t xml:space="preserve"> </w:t>
      </w:r>
      <w:r w:rsidR="00AF6405" w:rsidRPr="009E6960">
        <w:rPr>
          <w:rFonts w:cs="Times New Roman"/>
          <w:szCs w:val="26"/>
          <w:lang w:val="vi-VN"/>
        </w:rPr>
        <w:t>tới</w:t>
      </w:r>
      <w:r w:rsidRPr="009E6960">
        <w:rPr>
          <w:rFonts w:cs="Times New Roman"/>
          <w:szCs w:val="26"/>
          <w:lang w:val="vi-VN"/>
        </w:rPr>
        <w:t xml:space="preserve"> đến </w:t>
      </w:r>
      <w:r w:rsidR="00AF6405" w:rsidRPr="009E6960">
        <w:rPr>
          <w:rFonts w:cs="Times New Roman"/>
          <w:szCs w:val="26"/>
          <w:lang w:val="vi-VN"/>
        </w:rPr>
        <w:t>240</w:t>
      </w:r>
      <w:r w:rsidRPr="009E6960">
        <w:rPr>
          <w:rFonts w:cs="Times New Roman"/>
          <w:szCs w:val="26"/>
          <w:lang w:val="vi-VN"/>
        </w:rPr>
        <w:t xml:space="preserve"> phút.</w:t>
      </w:r>
    </w:p>
    <w:p w14:paraId="22B2DDF7" w14:textId="590958E3" w:rsidR="003059A0" w:rsidRPr="009E6960" w:rsidRDefault="003059A0" w:rsidP="00CE4BC2">
      <w:pPr>
        <w:numPr>
          <w:ilvl w:val="0"/>
          <w:numId w:val="4"/>
        </w:numPr>
        <w:tabs>
          <w:tab w:val="clear" w:pos="720"/>
        </w:tabs>
        <w:ind w:left="426" w:hanging="426"/>
        <w:rPr>
          <w:rFonts w:cs="Times New Roman"/>
          <w:szCs w:val="26"/>
          <w:lang w:val="vi-VN"/>
        </w:rPr>
      </w:pPr>
      <w:r w:rsidRPr="009E6960">
        <w:rPr>
          <w:rFonts w:cs="Times New Roman"/>
          <w:szCs w:val="26"/>
          <w:lang w:val="vi-VN"/>
        </w:rPr>
        <w:t>Ảnh hưởng của pH dung dịch: chỉnh pH của dung dịch bằng NaOH, KOH để khảo sát các giá trị pH = 2, 4, 5, 6, 7, 8, 10, 12.</w:t>
      </w:r>
    </w:p>
    <w:p w14:paraId="65409B35" w14:textId="6AEF9F9C" w:rsidR="003059A0" w:rsidRPr="009E6960" w:rsidRDefault="003059A0" w:rsidP="00CE4BC2">
      <w:pPr>
        <w:numPr>
          <w:ilvl w:val="0"/>
          <w:numId w:val="4"/>
        </w:numPr>
        <w:tabs>
          <w:tab w:val="clear" w:pos="720"/>
        </w:tabs>
        <w:ind w:left="426" w:hanging="426"/>
        <w:rPr>
          <w:rFonts w:cs="Times New Roman"/>
          <w:szCs w:val="26"/>
          <w:lang w:val="vi-VN"/>
        </w:rPr>
      </w:pPr>
      <w:r w:rsidRPr="009E6960">
        <w:rPr>
          <w:rFonts w:cs="Times New Roman"/>
          <w:szCs w:val="26"/>
          <w:lang w:val="vi-VN"/>
        </w:rPr>
        <w:t>Ảnh hưởng của nồng độ kháng sinh: khảo sát các giá trị nồng độ từ 20</w:t>
      </w:r>
      <w:r w:rsidR="00882FCC" w:rsidRPr="009E6960">
        <w:rPr>
          <w:rFonts w:eastAsia="Calibri"/>
          <w:lang w:val="vi-VN" w:eastAsia="en-US"/>
        </w:rPr>
        <w:t>–</w:t>
      </w:r>
      <w:r w:rsidRPr="009E6960">
        <w:rPr>
          <w:rFonts w:cs="Times New Roman"/>
          <w:szCs w:val="26"/>
          <w:lang w:val="vi-VN"/>
        </w:rPr>
        <w:t>300 ppm.</w:t>
      </w:r>
    </w:p>
    <w:p w14:paraId="5A0F0817" w14:textId="77777777" w:rsidR="009C27E6" w:rsidRPr="009E6960" w:rsidRDefault="009C27E6" w:rsidP="00BA4142">
      <w:pPr>
        <w:pStyle w:val="Heading3"/>
        <w:rPr>
          <w:lang w:val="vi-VN"/>
        </w:rPr>
      </w:pPr>
      <w:bookmarkStart w:id="15" w:name="_Toc233142632"/>
      <w:r w:rsidRPr="009E6960">
        <w:rPr>
          <w:lang w:val="vi-VN"/>
        </w:rPr>
        <w:t>Nghiên cứu động học hấp phụ</w:t>
      </w:r>
      <w:bookmarkEnd w:id="15"/>
    </w:p>
    <w:p w14:paraId="711150A5" w14:textId="64DBA689" w:rsidR="00B1728E" w:rsidRPr="009E6960" w:rsidRDefault="00AD3C80" w:rsidP="003A2585">
      <w:pPr>
        <w:ind w:firstLine="454"/>
        <w:jc w:val="both"/>
        <w:rPr>
          <w:rFonts w:cs="Times New Roman"/>
          <w:szCs w:val="26"/>
          <w:lang w:val="vi-VN"/>
        </w:rPr>
      </w:pPr>
      <w:bookmarkStart w:id="16" w:name="_Toc216474607"/>
      <w:bookmarkStart w:id="17" w:name="_Toc216808293"/>
      <w:r w:rsidRPr="009E6960">
        <w:rPr>
          <w:lang w:val="vi-VN"/>
        </w:rPr>
        <w:t xml:space="preserve">Nghiên cứu động học hấp phụ đóng vai trò then chốt trong việc xác định tốc độ phản ứng, thời gian đạt cân bằng và làm sáng tỏ cơ chế kiểm soát quá trình lưu giữ chất tan trên bề mặt vật liệu. </w:t>
      </w:r>
      <w:r w:rsidR="009C27E6" w:rsidRPr="009E6960">
        <w:rPr>
          <w:rFonts w:cs="Times New Roman"/>
          <w:szCs w:val="26"/>
          <w:lang w:val="vi-VN"/>
        </w:rPr>
        <w:t xml:space="preserve">Để xác định được mô hình hấp phụ động học, tiến hành khảo sát sự phụ thuộc của dung lượng hấp phụ vào thời gian t. Áp dụng số liệu thực nghiệm với các mô hình động học biểu kiến bậc 1 và bậc 2 cùng mô hình hấp phụ Elovich (với tính chất và công thức được tóm tắt trong </w:t>
      </w:r>
      <w:r w:rsidR="009C41BC" w:rsidRPr="009E6960">
        <w:rPr>
          <w:lang w:val="vi-VN"/>
        </w:rPr>
        <w:t>Bảng</w:t>
      </w:r>
      <w:r w:rsidR="000012C2" w:rsidRPr="009E6960">
        <w:rPr>
          <w:lang w:val="vi-VN"/>
        </w:rPr>
        <w:t xml:space="preserve"> 2.2</w:t>
      </w:r>
      <w:r w:rsidR="009C27E6" w:rsidRPr="009E6960">
        <w:rPr>
          <w:rFonts w:cs="Times New Roman"/>
          <w:szCs w:val="26"/>
          <w:lang w:val="vi-VN"/>
        </w:rPr>
        <w:t>).</w:t>
      </w:r>
      <w:r w:rsidR="001E71DE" w:rsidRPr="009E6960">
        <w:rPr>
          <w:rFonts w:cs="Times New Roman"/>
          <w:szCs w:val="26"/>
          <w:lang w:val="vi-VN"/>
        </w:rPr>
        <w:t xml:space="preserve"> </w:t>
      </w:r>
      <w:r w:rsidR="001E71DE" w:rsidRPr="009E6960">
        <w:rPr>
          <w:lang w:val="vi-VN"/>
        </w:rPr>
        <w:t xml:space="preserve">Việc phân tích đa chiều thông qua các phương trình này cho phép đánh giá sâu hơn về bản chất tương tác </w:t>
      </w:r>
      <w:r w:rsidR="001E71DE" w:rsidRPr="009E6960">
        <w:rPr>
          <w:lang w:val="vi-VN"/>
        </w:rPr>
        <w:lastRenderedPageBreak/>
        <w:t>(vật lý hay hóa học) cũng như xác định chính xác giai đoạn nào (khuếch tán hay phản ứng bề mặt) đóng vai trò quyết định tốc độ chung của toàn bộ quá trình</w:t>
      </w:r>
      <w:r w:rsidR="002A2145" w:rsidRPr="009E6960">
        <w:rPr>
          <w:lang w:val="vi-VN"/>
        </w:rPr>
        <w:t>.</w:t>
      </w:r>
      <w:r w:rsidR="009C27E6" w:rsidRPr="009E6960">
        <w:rPr>
          <w:rFonts w:cs="Times New Roman"/>
          <w:szCs w:val="26"/>
          <w:lang w:val="vi-VN"/>
        </w:rPr>
        <w:t xml:space="preserve"> </w:t>
      </w:r>
      <w:r w:rsidR="00F7450A" w:rsidRPr="009E6960">
        <w:rPr>
          <w:lang w:val="vi-VN"/>
        </w:rPr>
        <w:t xml:space="preserve">Đồng thời, các thông số động học tìm được sẽ là cơ sở dữ liệu quan trọng để dự báo diễn biến quá trình theo thời gian, phục vụ trực tiếp cho việc tính toán và thiết kế hệ thống xử lý ở quy mô thực tế. </w:t>
      </w:r>
      <w:r w:rsidR="009C27E6" w:rsidRPr="009E6960">
        <w:rPr>
          <w:rFonts w:cs="Times New Roman"/>
          <w:szCs w:val="26"/>
          <w:lang w:val="vi-VN"/>
        </w:rPr>
        <w:t>So sánh các giá trị dung lượng hấp phụ theo tính toán và theo thực nghiệm cùng hệ số tương quan R</w:t>
      </w:r>
      <w:r w:rsidR="00BA4142" w:rsidRPr="009E6960">
        <w:rPr>
          <w:rFonts w:cs="Times New Roman"/>
          <w:szCs w:val="26"/>
          <w:vertAlign w:val="superscript"/>
          <w:lang w:val="vi-VN"/>
        </w:rPr>
        <w:t>2</w:t>
      </w:r>
      <w:r w:rsidR="009C27E6" w:rsidRPr="009E6960">
        <w:rPr>
          <w:rFonts w:cs="Times New Roman"/>
          <w:szCs w:val="26"/>
          <w:lang w:val="vi-VN"/>
        </w:rPr>
        <w:t xml:space="preserve"> để xác định mô hình động học phù hợp</w:t>
      </w:r>
      <w:r w:rsidR="00082927" w:rsidRPr="009E6960">
        <w:rPr>
          <w:rFonts w:cs="Times New Roman"/>
          <w:szCs w:val="26"/>
          <w:lang w:val="vi-VN"/>
        </w:rPr>
        <w:t xml:space="preserve"> </w:t>
      </w:r>
      <w:r w:rsidR="00082927">
        <w:rPr>
          <w:rFonts w:cs="Times New Roman"/>
          <w:szCs w:val="26"/>
        </w:rPr>
        <w:fldChar w:fldCharType="begin"/>
      </w:r>
      <w:r w:rsidR="000270E4" w:rsidRPr="009E6960">
        <w:rPr>
          <w:rFonts w:cs="Times New Roman"/>
          <w:szCs w:val="26"/>
          <w:lang w:val="vi-VN"/>
        </w:rPr>
        <w:instrText xml:space="preserve"> ADDIN ZOTERO_ITEM CSL_CITATION {"citationID":"Tt0YMDv6","properties":{"formattedCitation":"[60]","plainCitation":"[60]","noteIndex":0},"citationItems":[{"id":388,"uris":["http://zotero.org/users/12953706/items/AJJFDJD2"],"itemData":{"id":388,"type":"article-journal","abstract":"In recent years, adsorption science and technology for water and wastewater treatment has attracted substantial attention from the scientific community. However, the number of publications containing inconsistent concepts is increasing. Many publications either reiterate previously discussed mistakes or create new mistakes. The inconsistencies are reflected by the increasing publication of certain types of article in this field, including “short communications”, “discussions”, “critical reviews”, “comments”, “letters to the editor”, and “correspondence (comment/rebuttal)”. This article aims to discuss (1) the inaccurate use of technical terms, (2) the problem associated with quantities for measuring adsorption performance, (3) the important roles of the adsorbate and adsorbent pKa, (4) mistakes related to the study of adsorption kinetics, isotherms, and thermodynamics, (5) several problems related to adsorption mechanisms, (6) inconsistent data points in experimental data and model fitting, (7) mistakes in measuring the specific surface area of an adsorbent, and (8) other mistakes found in the literature. Furthermore, correct expressions and original citations of the relevant models (i.e., adsorption kinetics and isotherms) are provided. The authors hope that this work will be helpful for readers, researchers, reviewers, and editors who are interested in the field of adsorption studies.","container-title":"Water Research","DOI":"10.1016/j.watres.2017.04.014","ISSN":"0043-1354","journalAbbreviation":"Water Research","page":"88-116","source":"ScienceDirect","title":"Mistakes and inconsistencies regarding adsorption of contaminants from aqueous solutions: A critical review","title-short":"Mistakes and inconsistencies regarding adsorption of contaminants from aqueous solutions","volume":"120","author":[{"family":"Tran","given":"Hai Nguyen"},{"family":"You","given":"Sheng-Jie"},{"family":"Hosseini-Bandegharaei","given":"Ahmad"},{"family":"Chao","given":"Huan-Ping"}],"issued":{"date-parts":[["2017",9,1]]}}}],"schema":"https://github.com/citation-style-language/schema/raw/master/csl-citation.json"} </w:instrText>
      </w:r>
      <w:r w:rsidR="00082927">
        <w:rPr>
          <w:rFonts w:cs="Times New Roman"/>
          <w:szCs w:val="26"/>
        </w:rPr>
        <w:fldChar w:fldCharType="separate"/>
      </w:r>
      <w:r w:rsidR="000270E4" w:rsidRPr="009E6960">
        <w:rPr>
          <w:rFonts w:cs="Times New Roman"/>
          <w:lang w:val="vi-VN"/>
        </w:rPr>
        <w:t>[60]</w:t>
      </w:r>
      <w:r w:rsidR="00082927">
        <w:rPr>
          <w:rFonts w:cs="Times New Roman"/>
          <w:szCs w:val="26"/>
        </w:rPr>
        <w:fldChar w:fldCharType="end"/>
      </w:r>
      <w:r w:rsidR="009C27E6" w:rsidRPr="009E6960">
        <w:rPr>
          <w:rFonts w:cs="Times New Roman"/>
          <w:szCs w:val="26"/>
          <w:lang w:val="vi-VN"/>
        </w:rPr>
        <w:t>.</w:t>
      </w:r>
      <w:bookmarkEnd w:id="16"/>
      <w:bookmarkEnd w:id="17"/>
    </w:p>
    <w:p w14:paraId="26641152" w14:textId="3867B7DE" w:rsidR="003A2585" w:rsidRPr="009E6960" w:rsidRDefault="00B1728E" w:rsidP="00D65973">
      <w:pPr>
        <w:spacing w:after="160" w:line="278" w:lineRule="auto"/>
        <w:ind w:firstLine="0"/>
        <w:rPr>
          <w:rFonts w:cs="Times New Roman"/>
          <w:szCs w:val="26"/>
          <w:lang w:val="vi-VN"/>
        </w:rPr>
      </w:pPr>
      <w:r w:rsidRPr="009E6960">
        <w:rPr>
          <w:rFonts w:cs="Times New Roman"/>
          <w:szCs w:val="26"/>
          <w:lang w:val="vi-VN"/>
        </w:rPr>
        <w:br w:type="page"/>
      </w:r>
    </w:p>
    <w:p w14:paraId="376EDCC2" w14:textId="774BD849" w:rsidR="003A2585" w:rsidRPr="009E6960" w:rsidRDefault="003A2585" w:rsidP="00A36209">
      <w:pPr>
        <w:pStyle w:val="Caption"/>
        <w:keepNext/>
        <w:spacing w:after="240"/>
        <w:ind w:firstLine="0"/>
        <w:rPr>
          <w:lang w:val="vi-VN"/>
        </w:rPr>
      </w:pPr>
      <w:bookmarkStart w:id="18" w:name="_Toc218004838"/>
      <w:r w:rsidRPr="009E6960">
        <w:rPr>
          <w:lang w:val="vi-VN"/>
        </w:rPr>
        <w:lastRenderedPageBreak/>
        <w:t xml:space="preserve">Bảng </w:t>
      </w:r>
      <w:r w:rsidR="00CF0C31">
        <w:fldChar w:fldCharType="begin"/>
      </w:r>
      <w:r w:rsidR="00CF0C31" w:rsidRPr="009E6960">
        <w:rPr>
          <w:lang w:val="vi-VN"/>
        </w:rPr>
        <w:instrText xml:space="preserve"> STYLEREF 1 \s </w:instrText>
      </w:r>
      <w:r w:rsidR="00CF0C31">
        <w:fldChar w:fldCharType="separate"/>
      </w:r>
      <w:r w:rsidR="009801F7" w:rsidRPr="009E6960">
        <w:rPr>
          <w:noProof/>
          <w:lang w:val="vi-VN"/>
        </w:rPr>
        <w:t>2</w:t>
      </w:r>
      <w:r w:rsidR="00CF0C31">
        <w:rPr>
          <w:noProof/>
        </w:rPr>
        <w:fldChar w:fldCharType="end"/>
      </w:r>
      <w:r w:rsidR="00CF487F" w:rsidRPr="009E6960">
        <w:rPr>
          <w:lang w:val="vi-VN"/>
        </w:rPr>
        <w:t>.</w:t>
      </w:r>
      <w:r w:rsidR="00F2277E">
        <w:fldChar w:fldCharType="begin"/>
      </w:r>
      <w:r w:rsidR="00F2277E" w:rsidRPr="009E6960">
        <w:rPr>
          <w:lang w:val="vi-VN"/>
        </w:rPr>
        <w:instrText xml:space="preserve"> SEQ Bảng_ \* ARABIC \s 1 </w:instrText>
      </w:r>
      <w:r w:rsidR="00F2277E">
        <w:fldChar w:fldCharType="separate"/>
      </w:r>
      <w:r w:rsidR="009801F7" w:rsidRPr="009E6960">
        <w:rPr>
          <w:noProof/>
          <w:lang w:val="vi-VN"/>
        </w:rPr>
        <w:t>2</w:t>
      </w:r>
      <w:r w:rsidR="00F2277E">
        <w:rPr>
          <w:noProof/>
        </w:rPr>
        <w:fldChar w:fldCharType="end"/>
      </w:r>
      <w:r w:rsidRPr="009E6960">
        <w:rPr>
          <w:lang w:val="vi-VN"/>
        </w:rPr>
        <w:t>. Định nghĩa và phương trình các mô hình động học hấp phụ</w:t>
      </w:r>
      <w:r w:rsidR="004758FD" w:rsidRPr="009E6960">
        <w:rPr>
          <w:lang w:val="vi-VN"/>
        </w:rPr>
        <w:t>.</w:t>
      </w:r>
      <w:bookmarkEnd w:id="18"/>
    </w:p>
    <w:tbl>
      <w:tblPr>
        <w:tblStyle w:val="TableGrid"/>
        <w:tblW w:w="9214" w:type="dxa"/>
        <w:tblInd w:w="-147" w:type="dxa"/>
        <w:tblLook w:val="04A0" w:firstRow="1" w:lastRow="0" w:firstColumn="1" w:lastColumn="0" w:noHBand="0" w:noVBand="1"/>
      </w:tblPr>
      <w:tblGrid>
        <w:gridCol w:w="1276"/>
        <w:gridCol w:w="3119"/>
        <w:gridCol w:w="2410"/>
        <w:gridCol w:w="2409"/>
      </w:tblGrid>
      <w:tr w:rsidR="00B65003" w:rsidRPr="009E6960" w14:paraId="13903098" w14:textId="77777777" w:rsidTr="002A2145">
        <w:tc>
          <w:tcPr>
            <w:tcW w:w="1276" w:type="dxa"/>
            <w:vAlign w:val="center"/>
          </w:tcPr>
          <w:p w14:paraId="6FEC9B77" w14:textId="77777777" w:rsidR="00B65003" w:rsidRPr="002A1288" w:rsidRDefault="00B65003" w:rsidP="002A1288">
            <w:pPr>
              <w:ind w:firstLine="0"/>
              <w:contextualSpacing/>
              <w:jc w:val="center"/>
              <w:rPr>
                <w:b/>
                <w:bCs/>
                <w:lang w:val="vi-VN"/>
              </w:rPr>
            </w:pPr>
            <w:r w:rsidRPr="002A1288">
              <w:rPr>
                <w:b/>
                <w:bCs/>
                <w:lang w:val="vi-VN"/>
              </w:rPr>
              <w:t>Mô hình</w:t>
            </w:r>
          </w:p>
        </w:tc>
        <w:tc>
          <w:tcPr>
            <w:tcW w:w="3119" w:type="dxa"/>
            <w:vAlign w:val="center"/>
          </w:tcPr>
          <w:p w14:paraId="6315258E" w14:textId="6146B06C" w:rsidR="00B65003" w:rsidRPr="002A1288" w:rsidRDefault="00B65003" w:rsidP="002A1288">
            <w:pPr>
              <w:ind w:firstLine="0"/>
              <w:contextualSpacing/>
              <w:jc w:val="center"/>
              <w:rPr>
                <w:b/>
                <w:bCs/>
              </w:rPr>
            </w:pPr>
            <w:r w:rsidRPr="002A1288">
              <w:rPr>
                <w:b/>
                <w:bCs/>
              </w:rPr>
              <w:t>Cơ chế</w:t>
            </w:r>
          </w:p>
        </w:tc>
        <w:tc>
          <w:tcPr>
            <w:tcW w:w="2410" w:type="dxa"/>
            <w:vAlign w:val="center"/>
          </w:tcPr>
          <w:p w14:paraId="3D4EA635" w14:textId="77777777" w:rsidR="00B65003" w:rsidRPr="002A1288" w:rsidRDefault="00B65003" w:rsidP="002A1288">
            <w:pPr>
              <w:ind w:firstLine="0"/>
              <w:contextualSpacing/>
              <w:jc w:val="center"/>
              <w:rPr>
                <w:b/>
                <w:bCs/>
                <w:lang w:val="vi-VN"/>
              </w:rPr>
            </w:pPr>
            <w:r w:rsidRPr="002A1288">
              <w:rPr>
                <w:b/>
                <w:bCs/>
                <w:lang w:val="vi-VN"/>
              </w:rPr>
              <w:t>Phương trình</w:t>
            </w:r>
          </w:p>
        </w:tc>
        <w:tc>
          <w:tcPr>
            <w:tcW w:w="2409" w:type="dxa"/>
          </w:tcPr>
          <w:p w14:paraId="0D4B0F22" w14:textId="77777777" w:rsidR="00B65003" w:rsidRPr="009E6960" w:rsidRDefault="00B65003" w:rsidP="002A1288">
            <w:pPr>
              <w:ind w:firstLine="0"/>
              <w:contextualSpacing/>
              <w:jc w:val="center"/>
              <w:rPr>
                <w:b/>
                <w:bCs/>
                <w:lang w:val="vi-VN"/>
              </w:rPr>
            </w:pPr>
            <w:r w:rsidRPr="009E6960">
              <w:rPr>
                <w:b/>
                <w:bCs/>
                <w:lang w:val="vi-VN"/>
              </w:rPr>
              <w:t>Thông số và đơn vị</w:t>
            </w:r>
          </w:p>
        </w:tc>
      </w:tr>
      <w:tr w:rsidR="00B65003" w:rsidRPr="009E6960" w14:paraId="7D778624" w14:textId="77777777" w:rsidTr="002A2145">
        <w:tc>
          <w:tcPr>
            <w:tcW w:w="1276" w:type="dxa"/>
            <w:vAlign w:val="center"/>
          </w:tcPr>
          <w:p w14:paraId="3CBD80E3" w14:textId="77777777" w:rsidR="00B65003" w:rsidRDefault="00B65003" w:rsidP="002A1288">
            <w:pPr>
              <w:ind w:firstLine="0"/>
              <w:contextualSpacing/>
            </w:pPr>
            <w:r>
              <w:t>Giả động học bậc 1</w:t>
            </w:r>
          </w:p>
          <w:p w14:paraId="5C61CE19" w14:textId="170B2DAB" w:rsidR="00B65003" w:rsidRPr="000E6C1B" w:rsidRDefault="00B65003" w:rsidP="002A1288">
            <w:pPr>
              <w:ind w:firstLine="0"/>
              <w:contextualSpacing/>
            </w:pPr>
            <w:r>
              <w:t>(Pseudo-first-order)</w:t>
            </w:r>
          </w:p>
        </w:tc>
        <w:tc>
          <w:tcPr>
            <w:tcW w:w="3119" w:type="dxa"/>
            <w:vAlign w:val="center"/>
          </w:tcPr>
          <w:p w14:paraId="66B75177" w14:textId="5C4D16F2" w:rsidR="00B65003" w:rsidRPr="00166593" w:rsidRDefault="00B65003" w:rsidP="002A1288">
            <w:pPr>
              <w:ind w:firstLine="0"/>
              <w:contextualSpacing/>
              <w:jc w:val="both"/>
            </w:pPr>
            <w:r w:rsidRPr="00EB36D8">
              <w:t xml:space="preserve">- Quá trình hấp phụ được kiểm soát bởi sự </w:t>
            </w:r>
            <w:r w:rsidRPr="00166593">
              <w:t>khuếch tán.</w:t>
            </w:r>
          </w:p>
          <w:p w14:paraId="727FA6F4" w14:textId="5A300F8B" w:rsidR="00B65003" w:rsidRPr="00EB36D8" w:rsidRDefault="00B65003" w:rsidP="002A1288">
            <w:pPr>
              <w:ind w:firstLine="0"/>
              <w:contextualSpacing/>
              <w:jc w:val="both"/>
            </w:pPr>
            <w:r w:rsidRPr="00EB36D8">
              <w:t>- Thường phù hợp với giai đoạn đầu của quá trình hấp phụ hoặc nồng độ thấp.</w:t>
            </w:r>
          </w:p>
          <w:p w14:paraId="2F2C8F37" w14:textId="11DA0F60" w:rsidR="00B65003" w:rsidRPr="00EB36D8" w:rsidRDefault="00B65003" w:rsidP="002A1288">
            <w:pPr>
              <w:ind w:firstLine="0"/>
              <w:contextualSpacing/>
              <w:jc w:val="both"/>
            </w:pPr>
            <w:r w:rsidRPr="00EB36D8">
              <w:t>- Giả định tốc độ tỉ lệ với số lượng vị trí trống.</w:t>
            </w:r>
          </w:p>
        </w:tc>
        <w:tc>
          <w:tcPr>
            <w:tcW w:w="2410" w:type="dxa"/>
            <w:vAlign w:val="center"/>
          </w:tcPr>
          <w:p w14:paraId="2E5DE5E2" w14:textId="61A91F13" w:rsidR="00B65003" w:rsidRPr="00BD5C3F" w:rsidRDefault="00CF0C31" w:rsidP="00BD5C3F">
            <w:pPr>
              <w:rPr>
                <w:rFonts w:ascii="Cambria Math" w:hAnsi="Cambria Math" w:cs="Times New Roman"/>
                <w:szCs w:val="26"/>
                <w:oMath/>
              </w:rPr>
            </w:pPr>
            <m:oMathPara>
              <m:oMathParaPr>
                <m:jc m:val="left"/>
              </m:oMathParaPr>
              <m:oMath>
                <m:sSub>
                  <m:sSubPr>
                    <m:ctrlPr>
                      <w:rPr>
                        <w:rFonts w:ascii="Cambria Math" w:hAnsi="Cambria Math" w:cs="Times New Roman"/>
                        <w:i/>
                        <w:szCs w:val="26"/>
                      </w:rPr>
                    </m:ctrlPr>
                  </m:sSubPr>
                  <m:e>
                    <m:r>
                      <w:rPr>
                        <w:rFonts w:ascii="Cambria Math" w:hAnsi="Cambria Math" w:cs="Times New Roman"/>
                        <w:szCs w:val="26"/>
                      </w:rPr>
                      <m:t>q</m:t>
                    </m:r>
                  </m:e>
                  <m:sub>
                    <m:r>
                      <w:rPr>
                        <w:rFonts w:ascii="Cambria Math" w:hAnsi="Cambria Math" w:cs="Times New Roman"/>
                        <w:szCs w:val="26"/>
                      </w:rPr>
                      <m:t>t</m:t>
                    </m:r>
                  </m:sub>
                </m:sSub>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q</m:t>
                    </m:r>
                  </m:e>
                  <m:sub>
                    <m:r>
                      <w:rPr>
                        <w:rFonts w:ascii="Cambria Math" w:hAnsi="Cambria Math" w:cs="Times New Roman"/>
                        <w:szCs w:val="26"/>
                      </w:rPr>
                      <m:t>e</m:t>
                    </m:r>
                  </m:sub>
                </m:sSub>
                <m:d>
                  <m:dPr>
                    <m:ctrlPr>
                      <w:rPr>
                        <w:rFonts w:ascii="Cambria Math" w:hAnsi="Cambria Math" w:cs="Times New Roman"/>
                        <w:szCs w:val="26"/>
                      </w:rPr>
                    </m:ctrlPr>
                  </m:dPr>
                  <m:e>
                    <m:r>
                      <w:rPr>
                        <w:rFonts w:ascii="Cambria Math" w:hAnsi="Cambria Math" w:cs="Times New Roman"/>
                        <w:szCs w:val="26"/>
                      </w:rPr>
                      <m:t>1-</m:t>
                    </m:r>
                    <m:sSup>
                      <m:sSupPr>
                        <m:ctrlPr>
                          <w:rPr>
                            <w:rFonts w:ascii="Cambria Math" w:hAnsi="Cambria Math" w:cs="Times New Roman"/>
                            <w:i/>
                            <w:szCs w:val="26"/>
                          </w:rPr>
                        </m:ctrlPr>
                      </m:sSupPr>
                      <m:e>
                        <m:r>
                          <w:rPr>
                            <w:rFonts w:ascii="Cambria Math" w:hAnsi="Cambria Math" w:cs="Times New Roman"/>
                            <w:szCs w:val="26"/>
                          </w:rPr>
                          <m:t>e</m:t>
                        </m:r>
                      </m:e>
                      <m:sup>
                        <m:r>
                          <w:rPr>
                            <w:rFonts w:ascii="Cambria Math" w:hAnsi="Cambria Math" w:cs="Times New Roman"/>
                            <w:szCs w:val="26"/>
                          </w:rPr>
                          <m:t>-</m:t>
                        </m:r>
                        <m:sSub>
                          <m:sSubPr>
                            <m:ctrlPr>
                              <w:rPr>
                                <w:rFonts w:ascii="Cambria Math" w:hAnsi="Cambria Math" w:cs="Times New Roman"/>
                                <w:i/>
                                <w:szCs w:val="26"/>
                              </w:rPr>
                            </m:ctrlPr>
                          </m:sSubPr>
                          <m:e>
                            <m:r>
                              <w:rPr>
                                <w:rFonts w:ascii="Cambria Math" w:hAnsi="Cambria Math" w:cs="Times New Roman"/>
                                <w:szCs w:val="26"/>
                              </w:rPr>
                              <m:t>k</m:t>
                            </m:r>
                          </m:e>
                          <m:sub>
                            <m:r>
                              <w:rPr>
                                <w:rFonts w:ascii="Cambria Math" w:hAnsi="Cambria Math" w:cs="Times New Roman"/>
                                <w:szCs w:val="26"/>
                              </w:rPr>
                              <m:t>1</m:t>
                            </m:r>
                          </m:sub>
                        </m:sSub>
                        <m:r>
                          <w:rPr>
                            <w:rFonts w:ascii="Cambria Math" w:hAnsi="Cambria Math" w:cs="Times New Roman"/>
                            <w:szCs w:val="26"/>
                          </w:rPr>
                          <m:t>t</m:t>
                        </m:r>
                      </m:sup>
                    </m:sSup>
                    <m:ctrlPr>
                      <w:rPr>
                        <w:rFonts w:ascii="Cambria Math" w:hAnsi="Cambria Math" w:cs="Times New Roman"/>
                        <w:i/>
                        <w:szCs w:val="26"/>
                      </w:rPr>
                    </m:ctrlPr>
                  </m:e>
                </m:d>
              </m:oMath>
            </m:oMathPara>
          </w:p>
          <w:p w14:paraId="343C270C" w14:textId="420AAB64" w:rsidR="00B65003" w:rsidRPr="00553202" w:rsidRDefault="00B65003" w:rsidP="00BD5C3F">
            <w:pPr>
              <w:contextualSpacing/>
              <w:rPr>
                <w:lang w:val="vi-VN"/>
              </w:rPr>
            </w:pPr>
          </w:p>
        </w:tc>
        <w:tc>
          <w:tcPr>
            <w:tcW w:w="2409" w:type="dxa"/>
          </w:tcPr>
          <w:p w14:paraId="22630D81" w14:textId="55F3FC29" w:rsidR="00701390" w:rsidRPr="009E6960" w:rsidRDefault="009D4AEA" w:rsidP="00850051">
            <w:pPr>
              <w:spacing w:before="100" w:beforeAutospacing="1" w:after="100" w:afterAutospacing="1" w:line="240" w:lineRule="auto"/>
              <w:ind w:firstLine="0"/>
              <w:rPr>
                <w:rFonts w:eastAsia="Times New Roman" w:cs="Times New Roman"/>
                <w:sz w:val="24"/>
                <w:szCs w:val="24"/>
                <w:lang w:val="vi-VN" w:eastAsia="en-US"/>
              </w:rPr>
            </w:pPr>
            <w:r w:rsidRPr="009E6960">
              <w:rPr>
                <w:rFonts w:eastAsia="Times New Roman" w:cs="Times New Roman"/>
                <w:sz w:val="24"/>
                <w:szCs w:val="24"/>
                <w:lang w:val="vi-VN" w:eastAsia="en-US"/>
              </w:rPr>
              <w:t>-</w:t>
            </w:r>
            <w:r w:rsidR="00701390" w:rsidRPr="009E6960">
              <w:rPr>
                <w:rFonts w:eastAsia="Times New Roman" w:cs="Times New Roman"/>
                <w:sz w:val="24"/>
                <w:szCs w:val="24"/>
                <w:lang w:val="vi-VN" w:eastAsia="en-US"/>
              </w:rPr>
              <w:t xml:space="preserve"> </w:t>
            </w:r>
            <m:oMath>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val="vi-VN" w:eastAsia="en-US"/>
                    </w:rPr>
                    <m:t>q</m:t>
                  </m:r>
                </m:e>
                <m:sub>
                  <m:r>
                    <w:rPr>
                      <w:rFonts w:ascii="Cambria Math" w:eastAsia="Times New Roman" w:hAnsi="Cambria Math" w:cs="Times New Roman"/>
                      <w:sz w:val="24"/>
                      <w:szCs w:val="24"/>
                      <w:lang w:val="vi-VN" w:eastAsia="en-US"/>
                    </w:rPr>
                    <m:t>t</m:t>
                  </m:r>
                </m:sub>
              </m:sSub>
            </m:oMath>
            <w:r w:rsidR="00701390" w:rsidRPr="009E6960">
              <w:rPr>
                <w:rFonts w:eastAsia="Times New Roman" w:cs="Times New Roman"/>
                <w:sz w:val="24"/>
                <w:szCs w:val="24"/>
                <w:lang w:val="vi-VN" w:eastAsia="en-US"/>
              </w:rPr>
              <w:t>: Dung lượng tại thời điểm t (mg/g)</w:t>
            </w:r>
          </w:p>
          <w:p w14:paraId="13A6B4EC" w14:textId="180114E1" w:rsidR="00B65003" w:rsidRPr="009E6960" w:rsidRDefault="00701390" w:rsidP="00850051">
            <w:pPr>
              <w:spacing w:before="100" w:beforeAutospacing="1" w:after="100" w:afterAutospacing="1" w:line="240" w:lineRule="auto"/>
              <w:ind w:firstLine="0"/>
              <w:rPr>
                <w:rFonts w:eastAsia="Times New Roman" w:cs="Times New Roman"/>
                <w:sz w:val="24"/>
                <w:szCs w:val="24"/>
                <w:lang w:val="vi-VN" w:eastAsia="en-US"/>
              </w:rPr>
            </w:pPr>
            <w:r w:rsidRPr="009E6960">
              <w:rPr>
                <w:rFonts w:eastAsia="Times New Roman" w:cs="Times New Roman"/>
                <w:sz w:val="24"/>
                <w:szCs w:val="24"/>
                <w:lang w:val="vi-VN" w:eastAsia="en-US"/>
              </w:rPr>
              <w:t xml:space="preserve">- </w:t>
            </w:r>
            <m:oMath>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val="vi-VN" w:eastAsia="en-US"/>
                    </w:rPr>
                    <m:t>k</m:t>
                  </m:r>
                </m:e>
                <m:sub>
                  <m:r>
                    <w:rPr>
                      <w:rFonts w:ascii="Cambria Math" w:eastAsia="Times New Roman" w:hAnsi="Cambria Math" w:cs="Times New Roman"/>
                      <w:sz w:val="24"/>
                      <w:szCs w:val="24"/>
                      <w:lang w:val="vi-VN" w:eastAsia="en-US"/>
                    </w:rPr>
                    <m:t>1</m:t>
                  </m:r>
                </m:sub>
              </m:sSub>
            </m:oMath>
            <w:r w:rsidRPr="009E6960">
              <w:rPr>
                <w:rFonts w:eastAsia="Times New Roman" w:cs="Times New Roman"/>
                <w:sz w:val="24"/>
                <w:szCs w:val="24"/>
                <w:lang w:val="vi-VN" w:eastAsia="en-US"/>
              </w:rPr>
              <w:t xml:space="preserve">: Hằng số tốc độ bậc 1 </w:t>
            </w:r>
            <m:oMath>
              <m:d>
                <m:dPr>
                  <m:ctrlPr>
                    <w:rPr>
                      <w:rFonts w:ascii="Cambria Math" w:eastAsia="Times New Roman" w:hAnsi="Cambria Math" w:cs="Times New Roman"/>
                      <w:i/>
                      <w:sz w:val="24"/>
                      <w:szCs w:val="24"/>
                      <w:lang w:eastAsia="en-US"/>
                    </w:rPr>
                  </m:ctrlPr>
                </m:dPr>
                <m:e>
                  <m:r>
                    <w:rPr>
                      <w:rFonts w:ascii="Cambria Math" w:eastAsia="Times New Roman" w:hAnsi="Cambria Math" w:cs="Times New Roman"/>
                      <w:sz w:val="24"/>
                      <w:szCs w:val="24"/>
                      <w:lang w:val="vi-VN" w:eastAsia="en-US"/>
                    </w:rPr>
                    <m:t>phú</m:t>
                  </m:r>
                  <m:sSup>
                    <m:sSupPr>
                      <m:ctrlPr>
                        <w:rPr>
                          <w:rFonts w:ascii="Cambria Math" w:eastAsia="Times New Roman" w:hAnsi="Cambria Math" w:cs="Times New Roman"/>
                          <w:i/>
                          <w:sz w:val="24"/>
                          <w:szCs w:val="24"/>
                          <w:lang w:eastAsia="en-US"/>
                        </w:rPr>
                      </m:ctrlPr>
                    </m:sSupPr>
                    <m:e>
                      <m:r>
                        <w:rPr>
                          <w:rFonts w:ascii="Cambria Math" w:eastAsia="Times New Roman" w:hAnsi="Cambria Math" w:cs="Times New Roman"/>
                          <w:sz w:val="24"/>
                          <w:szCs w:val="24"/>
                          <w:lang w:val="vi-VN" w:eastAsia="en-US"/>
                        </w:rPr>
                        <m:t>t</m:t>
                      </m:r>
                    </m:e>
                    <m:sup>
                      <m:r>
                        <w:rPr>
                          <w:rFonts w:ascii="Cambria Math" w:eastAsia="Times New Roman" w:hAnsi="Cambria Math" w:cs="Times New Roman"/>
                          <w:sz w:val="24"/>
                          <w:szCs w:val="24"/>
                          <w:lang w:val="vi-VN" w:eastAsia="en-US"/>
                        </w:rPr>
                        <m:t>-1</m:t>
                      </m:r>
                    </m:sup>
                  </m:sSup>
                </m:e>
              </m:d>
            </m:oMath>
          </w:p>
        </w:tc>
      </w:tr>
      <w:tr w:rsidR="00B65003" w:rsidRPr="00553202" w14:paraId="35402C9A" w14:textId="77777777" w:rsidTr="002A2145">
        <w:tc>
          <w:tcPr>
            <w:tcW w:w="1276" w:type="dxa"/>
            <w:vAlign w:val="center"/>
          </w:tcPr>
          <w:p w14:paraId="798DE53A" w14:textId="0C51B3AA" w:rsidR="00B65003" w:rsidRDefault="00B65003" w:rsidP="002A1288">
            <w:pPr>
              <w:ind w:firstLine="0"/>
              <w:contextualSpacing/>
            </w:pPr>
            <w:r>
              <w:t>Giả động học bậc 2</w:t>
            </w:r>
          </w:p>
          <w:p w14:paraId="659BED8F" w14:textId="6ABE8F57" w:rsidR="00B65003" w:rsidRPr="00553202" w:rsidRDefault="00B65003" w:rsidP="002A1288">
            <w:pPr>
              <w:ind w:firstLine="0"/>
              <w:contextualSpacing/>
              <w:rPr>
                <w:lang w:val="vi-VN"/>
              </w:rPr>
            </w:pPr>
            <w:r>
              <w:t>(Pseudo-second-order)</w:t>
            </w:r>
          </w:p>
        </w:tc>
        <w:tc>
          <w:tcPr>
            <w:tcW w:w="3119" w:type="dxa"/>
            <w:vAlign w:val="center"/>
          </w:tcPr>
          <w:p w14:paraId="06C33044" w14:textId="32E816D4" w:rsidR="00B65003" w:rsidRPr="009E6960" w:rsidRDefault="00B65003" w:rsidP="002A1288">
            <w:pPr>
              <w:ind w:firstLine="0"/>
              <w:contextualSpacing/>
              <w:jc w:val="both"/>
              <w:rPr>
                <w:lang w:val="vi-VN"/>
              </w:rPr>
            </w:pPr>
            <w:r w:rsidRPr="009E6960">
              <w:rPr>
                <w:lang w:val="vi-VN"/>
              </w:rPr>
              <w:t>- Quá trình hấp phụ bị chi phối bởi hấp phụ hóa học</w:t>
            </w:r>
            <w:r w:rsidR="00166593" w:rsidRPr="009E6960">
              <w:rPr>
                <w:lang w:val="vi-VN"/>
              </w:rPr>
              <w:t>.</w:t>
            </w:r>
          </w:p>
          <w:p w14:paraId="10C247D6" w14:textId="67DADF75" w:rsidR="00B65003" w:rsidRPr="009E6960" w:rsidRDefault="00B65003" w:rsidP="002A1288">
            <w:pPr>
              <w:ind w:firstLine="0"/>
              <w:contextualSpacing/>
              <w:jc w:val="both"/>
              <w:rPr>
                <w:lang w:val="vi-VN"/>
              </w:rPr>
            </w:pPr>
            <w:r w:rsidRPr="009E6960">
              <w:rPr>
                <w:lang w:val="vi-VN"/>
              </w:rPr>
              <w:t>- Liên quan đến sự trao đổi hoặc chia sẻ electron giữa chất tan và bề mặt vật liệu.</w:t>
            </w:r>
          </w:p>
          <w:p w14:paraId="29F5838E" w14:textId="22527B08" w:rsidR="00B65003" w:rsidRPr="009E6960" w:rsidRDefault="00B65003" w:rsidP="00DB5608">
            <w:pPr>
              <w:ind w:firstLine="0"/>
              <w:contextualSpacing/>
              <w:jc w:val="both"/>
              <w:rPr>
                <w:lang w:val="vi-VN"/>
              </w:rPr>
            </w:pPr>
            <w:r w:rsidRPr="009E6960">
              <w:rPr>
                <w:lang w:val="vi-VN"/>
              </w:rPr>
              <w:t>- Thường mô tả tốt toàn bộ quá trình hấp phụ.</w:t>
            </w:r>
          </w:p>
        </w:tc>
        <w:tc>
          <w:tcPr>
            <w:tcW w:w="2410" w:type="dxa"/>
            <w:vAlign w:val="center"/>
          </w:tcPr>
          <w:p w14:paraId="5A2856F0" w14:textId="77777777" w:rsidR="00B65003" w:rsidRPr="009C27E6" w:rsidRDefault="00CF0C31" w:rsidP="00B65003">
            <w:pPr>
              <w:rPr>
                <w:rFonts w:ascii="Cambria Math" w:hAnsi="Cambria Math" w:cs="Times New Roman"/>
                <w:szCs w:val="26"/>
                <w:oMath/>
              </w:rPr>
            </w:pPr>
            <m:oMathPara>
              <m:oMath>
                <m:sSub>
                  <m:sSubPr>
                    <m:ctrlPr>
                      <w:rPr>
                        <w:rFonts w:ascii="Cambria Math" w:hAnsi="Cambria Math" w:cs="Times New Roman"/>
                        <w:i/>
                        <w:szCs w:val="26"/>
                      </w:rPr>
                    </m:ctrlPr>
                  </m:sSubPr>
                  <m:e>
                    <m:r>
                      <w:rPr>
                        <w:rFonts w:ascii="Cambria Math" w:hAnsi="Cambria Math" w:cs="Times New Roman"/>
                        <w:szCs w:val="26"/>
                      </w:rPr>
                      <m:t>q</m:t>
                    </m:r>
                  </m:e>
                  <m:sub>
                    <m:r>
                      <w:rPr>
                        <w:rFonts w:ascii="Cambria Math" w:hAnsi="Cambria Math" w:cs="Times New Roman"/>
                        <w:szCs w:val="26"/>
                      </w:rPr>
                      <m:t>t</m:t>
                    </m:r>
                  </m:sub>
                </m:sSub>
                <m:r>
                  <w:rPr>
                    <w:rFonts w:ascii="Cambria Math" w:hAnsi="Cambria Math" w:cs="Times New Roman"/>
                    <w:szCs w:val="26"/>
                  </w:rPr>
                  <m:t>=</m:t>
                </m:r>
                <m:f>
                  <m:fPr>
                    <m:ctrlPr>
                      <w:rPr>
                        <w:rFonts w:ascii="Cambria Math" w:hAnsi="Cambria Math" w:cs="Times New Roman"/>
                        <w:szCs w:val="26"/>
                      </w:rPr>
                    </m:ctrlPr>
                  </m:fPr>
                  <m:num>
                    <m:sSub>
                      <m:sSubPr>
                        <m:ctrlPr>
                          <w:rPr>
                            <w:rFonts w:ascii="Cambria Math" w:hAnsi="Cambria Math" w:cs="Times New Roman"/>
                            <w:i/>
                            <w:szCs w:val="26"/>
                          </w:rPr>
                        </m:ctrlPr>
                      </m:sSubPr>
                      <m:e>
                        <m:r>
                          <w:rPr>
                            <w:rFonts w:ascii="Cambria Math" w:hAnsi="Cambria Math" w:cs="Times New Roman"/>
                            <w:szCs w:val="26"/>
                          </w:rPr>
                          <m:t>k</m:t>
                        </m:r>
                      </m:e>
                      <m:sub>
                        <m:r>
                          <w:rPr>
                            <w:rFonts w:ascii="Cambria Math" w:hAnsi="Cambria Math" w:cs="Times New Roman"/>
                            <w:szCs w:val="26"/>
                          </w:rPr>
                          <m:t>2</m:t>
                        </m:r>
                      </m:sub>
                    </m:sSub>
                    <m:sSubSup>
                      <m:sSubSupPr>
                        <m:ctrlPr>
                          <w:rPr>
                            <w:rFonts w:ascii="Cambria Math" w:hAnsi="Cambria Math" w:cs="Times New Roman"/>
                            <w:i/>
                            <w:szCs w:val="26"/>
                          </w:rPr>
                        </m:ctrlPr>
                      </m:sSubSupPr>
                      <m:e>
                        <m:r>
                          <w:rPr>
                            <w:rFonts w:ascii="Cambria Math" w:hAnsi="Cambria Math" w:cs="Times New Roman"/>
                            <w:szCs w:val="26"/>
                          </w:rPr>
                          <m:t>q</m:t>
                        </m:r>
                      </m:e>
                      <m:sub>
                        <m:r>
                          <w:rPr>
                            <w:rFonts w:ascii="Cambria Math" w:hAnsi="Cambria Math" w:cs="Times New Roman"/>
                            <w:szCs w:val="26"/>
                          </w:rPr>
                          <m:t>e</m:t>
                        </m:r>
                      </m:sub>
                      <m:sup>
                        <m:r>
                          <w:rPr>
                            <w:rFonts w:ascii="Cambria Math" w:hAnsi="Cambria Math" w:cs="Times New Roman"/>
                            <w:szCs w:val="26"/>
                          </w:rPr>
                          <m:t>2</m:t>
                        </m:r>
                      </m:sup>
                    </m:sSubSup>
                    <m:r>
                      <w:rPr>
                        <w:rFonts w:ascii="Cambria Math" w:hAnsi="Cambria Math" w:cs="Times New Roman"/>
                        <w:szCs w:val="26"/>
                      </w:rPr>
                      <m:t>t</m:t>
                    </m:r>
                    <m:ctrlPr>
                      <w:rPr>
                        <w:rFonts w:ascii="Cambria Math" w:hAnsi="Cambria Math" w:cs="Times New Roman"/>
                        <w:i/>
                        <w:szCs w:val="26"/>
                      </w:rPr>
                    </m:ctrlPr>
                  </m:num>
                  <m:den>
                    <m:r>
                      <w:rPr>
                        <w:rFonts w:ascii="Cambria Math" w:hAnsi="Cambria Math" w:cs="Times New Roman"/>
                        <w:szCs w:val="26"/>
                      </w:rPr>
                      <m:t>1+</m:t>
                    </m:r>
                    <m:sSub>
                      <m:sSubPr>
                        <m:ctrlPr>
                          <w:rPr>
                            <w:rFonts w:ascii="Cambria Math" w:hAnsi="Cambria Math" w:cs="Times New Roman"/>
                            <w:i/>
                            <w:szCs w:val="26"/>
                          </w:rPr>
                        </m:ctrlPr>
                      </m:sSubPr>
                      <m:e>
                        <m:r>
                          <w:rPr>
                            <w:rFonts w:ascii="Cambria Math" w:hAnsi="Cambria Math" w:cs="Times New Roman"/>
                            <w:szCs w:val="26"/>
                          </w:rPr>
                          <m:t>k</m:t>
                        </m:r>
                      </m:e>
                      <m:sub>
                        <m:r>
                          <w:rPr>
                            <w:rFonts w:ascii="Cambria Math" w:hAnsi="Cambria Math" w:cs="Times New Roman"/>
                            <w:szCs w:val="26"/>
                          </w:rPr>
                          <m:t>2</m:t>
                        </m:r>
                      </m:sub>
                    </m:sSub>
                    <m:sSub>
                      <m:sSubPr>
                        <m:ctrlPr>
                          <w:rPr>
                            <w:rFonts w:ascii="Cambria Math" w:hAnsi="Cambria Math" w:cs="Times New Roman"/>
                            <w:i/>
                            <w:szCs w:val="26"/>
                          </w:rPr>
                        </m:ctrlPr>
                      </m:sSubPr>
                      <m:e>
                        <m:r>
                          <w:rPr>
                            <w:rFonts w:ascii="Cambria Math" w:hAnsi="Cambria Math" w:cs="Times New Roman"/>
                            <w:szCs w:val="26"/>
                          </w:rPr>
                          <m:t>q</m:t>
                        </m:r>
                      </m:e>
                      <m:sub>
                        <m:r>
                          <w:rPr>
                            <w:rFonts w:ascii="Cambria Math" w:hAnsi="Cambria Math" w:cs="Times New Roman"/>
                            <w:szCs w:val="26"/>
                          </w:rPr>
                          <m:t>e</m:t>
                        </m:r>
                      </m:sub>
                    </m:sSub>
                    <m:r>
                      <w:rPr>
                        <w:rFonts w:ascii="Cambria Math" w:hAnsi="Cambria Math" w:cs="Times New Roman"/>
                        <w:szCs w:val="26"/>
                      </w:rPr>
                      <m:t>t</m:t>
                    </m:r>
                    <m:ctrlPr>
                      <w:rPr>
                        <w:rFonts w:ascii="Cambria Math" w:hAnsi="Cambria Math" w:cs="Times New Roman"/>
                        <w:i/>
                        <w:szCs w:val="26"/>
                      </w:rPr>
                    </m:ctrlPr>
                  </m:den>
                </m:f>
              </m:oMath>
            </m:oMathPara>
          </w:p>
          <w:p w14:paraId="4AC4BB0C" w14:textId="4FE68926" w:rsidR="00B65003" w:rsidRPr="0033768F" w:rsidRDefault="00B65003" w:rsidP="00D94AFD">
            <w:pPr>
              <w:spacing w:before="240"/>
              <w:jc w:val="center"/>
            </w:pPr>
          </w:p>
        </w:tc>
        <w:tc>
          <w:tcPr>
            <w:tcW w:w="2409" w:type="dxa"/>
          </w:tcPr>
          <w:p w14:paraId="568C06B2" w14:textId="429874AC" w:rsidR="00D31F95" w:rsidRPr="00D31F95" w:rsidRDefault="00D31F95" w:rsidP="00850051">
            <w:pPr>
              <w:spacing w:before="240"/>
              <w:ind w:firstLine="0"/>
              <w:rPr>
                <w:rFonts w:eastAsia="Times New Roman" w:cs="Times New Roman"/>
              </w:rPr>
            </w:pPr>
            <w:r w:rsidRPr="00D31F95">
              <w:rPr>
                <w:rFonts w:eastAsia="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k</m:t>
                  </m:r>
                </m:e>
                <m:sub>
                  <m:r>
                    <w:rPr>
                      <w:rFonts w:ascii="Cambria Math" w:eastAsia="Times New Roman" w:hAnsi="Cambria Math" w:cs="Times New Roman"/>
                    </w:rPr>
                    <m:t>2</m:t>
                  </m:r>
                </m:sub>
              </m:sSub>
            </m:oMath>
            <w:r w:rsidRPr="00D31F95">
              <w:rPr>
                <w:rFonts w:eastAsia="Times New Roman" w:cs="Times New Roman"/>
              </w:rPr>
              <w:t xml:space="preserve">: Hằng số tốc độ bậc 2 </w:t>
            </w:r>
            <m:oMath>
              <m:d>
                <m:dPr>
                  <m:ctrlPr>
                    <w:rPr>
                      <w:rFonts w:ascii="Cambria Math" w:eastAsia="Times New Roman" w:hAnsi="Cambria Math" w:cs="Times New Roman"/>
                      <w:i/>
                    </w:rPr>
                  </m:ctrlPr>
                </m:dPr>
                <m:e>
                  <m:r>
                    <w:rPr>
                      <w:rFonts w:ascii="Cambria Math" w:eastAsia="Times New Roman" w:hAnsi="Cambria Math" w:cs="Times New Roman"/>
                    </w:rPr>
                    <m:t>g</m:t>
                  </m:r>
                  <m:r>
                    <m:rPr>
                      <m:sty m:val="p"/>
                    </m:rPr>
                    <w:rPr>
                      <w:rFonts w:ascii="Cambria Math" w:eastAsia="Times New Roman" w:hAnsi="Cambria Math" w:cs="Times New Roman"/>
                    </w:rPr>
                    <m:t>⋅</m:t>
                  </m:r>
                  <m:r>
                    <w:rPr>
                      <w:rFonts w:ascii="Cambria Math" w:eastAsia="Times New Roman" w:hAnsi="Cambria Math" w:cs="Times New Roman"/>
                    </w:rPr>
                    <m:t>m</m:t>
                  </m:r>
                  <m:sSup>
                    <m:sSupPr>
                      <m:ctrlPr>
                        <w:rPr>
                          <w:rFonts w:ascii="Cambria Math" w:eastAsia="Times New Roman" w:hAnsi="Cambria Math" w:cs="Times New Roman"/>
                          <w:i/>
                        </w:rPr>
                      </m:ctrlPr>
                    </m:sSupPr>
                    <m:e>
                      <m:r>
                        <w:rPr>
                          <w:rFonts w:ascii="Cambria Math" w:eastAsia="Times New Roman" w:hAnsi="Cambria Math" w:cs="Times New Roman"/>
                        </w:rPr>
                        <m:t>g</m:t>
                      </m:r>
                    </m:e>
                    <m:sup>
                      <m:r>
                        <w:rPr>
                          <w:rFonts w:ascii="Cambria Math" w:eastAsia="Times New Roman" w:hAnsi="Cambria Math" w:cs="Times New Roman"/>
                        </w:rPr>
                        <m:t>-1</m:t>
                      </m:r>
                    </m:sup>
                  </m:sSup>
                  <m:r>
                    <m:rPr>
                      <m:sty m:val="p"/>
                    </m:rPr>
                    <w:rPr>
                      <w:rFonts w:ascii="Cambria Math" w:eastAsia="Times New Roman" w:hAnsi="Cambria Math" w:cs="Times New Roman"/>
                    </w:rPr>
                    <m:t>⋅</m:t>
                  </m:r>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-1</m:t>
                      </m:r>
                    </m:sup>
                  </m:sSup>
                </m:e>
              </m:d>
            </m:oMath>
          </w:p>
          <w:p w14:paraId="0D5FF4D4" w14:textId="5FF931F5" w:rsidR="00B65003" w:rsidRDefault="00B65003" w:rsidP="00850051">
            <w:pPr>
              <w:spacing w:before="240"/>
              <w:ind w:firstLine="0"/>
              <w:rPr>
                <w:rFonts w:eastAsia="Times New Roman" w:cs="Times New Roman"/>
              </w:rPr>
            </w:pPr>
          </w:p>
        </w:tc>
      </w:tr>
      <w:tr w:rsidR="00B65003" w:rsidRPr="009E6960" w14:paraId="02D9C891" w14:textId="77777777" w:rsidTr="002A2145">
        <w:tc>
          <w:tcPr>
            <w:tcW w:w="1276" w:type="dxa"/>
            <w:vAlign w:val="center"/>
          </w:tcPr>
          <w:p w14:paraId="4F58E04C" w14:textId="2981C866" w:rsidR="00B65003" w:rsidRPr="00590F02" w:rsidRDefault="00B65003" w:rsidP="002A1288">
            <w:pPr>
              <w:ind w:firstLine="0"/>
              <w:contextualSpacing/>
            </w:pPr>
            <w:r>
              <w:t>Elovich</w:t>
            </w:r>
          </w:p>
        </w:tc>
        <w:tc>
          <w:tcPr>
            <w:tcW w:w="3119" w:type="dxa"/>
            <w:vAlign w:val="center"/>
          </w:tcPr>
          <w:p w14:paraId="1C870EAD" w14:textId="51269392" w:rsidR="00B65003" w:rsidRPr="00590F02" w:rsidRDefault="00B65003" w:rsidP="002A1288">
            <w:pPr>
              <w:ind w:firstLine="0"/>
              <w:contextualSpacing/>
              <w:jc w:val="both"/>
            </w:pPr>
            <w:r w:rsidRPr="00590F02">
              <w:t>- Bề mặt hấp phụ là</w:t>
            </w:r>
            <w:r w:rsidR="00166593">
              <w:t xml:space="preserve"> </w:t>
            </w:r>
            <w:r w:rsidRPr="00166593">
              <w:t>không đồng nhất</w:t>
            </w:r>
            <w:r w:rsidRPr="00590F02">
              <w:t xml:space="preserve"> về mặt năng lượng.</w:t>
            </w:r>
          </w:p>
          <w:p w14:paraId="4301CBA6" w14:textId="66A552DB" w:rsidR="00B65003" w:rsidRPr="00590F02" w:rsidRDefault="00B65003" w:rsidP="002A1288">
            <w:pPr>
              <w:ind w:firstLine="0"/>
              <w:contextualSpacing/>
              <w:jc w:val="both"/>
            </w:pPr>
            <w:r w:rsidRPr="00590F02">
              <w:t>- Tốc độ hấp phụ giảm theo hàm mũ khi bề mặt bị che phủ.</w:t>
            </w:r>
          </w:p>
          <w:p w14:paraId="1FA195A8" w14:textId="1A548200" w:rsidR="00B65003" w:rsidRPr="00BF317B" w:rsidRDefault="00B65003" w:rsidP="002A1288">
            <w:pPr>
              <w:ind w:firstLine="0"/>
              <w:contextualSpacing/>
              <w:jc w:val="both"/>
            </w:pPr>
            <w:r w:rsidRPr="00590F02">
              <w:t>- Đặc trưng cho quá trình hấp phụ hóa học trên bề mặt rắn không đồng nhất.</w:t>
            </w:r>
          </w:p>
        </w:tc>
        <w:tc>
          <w:tcPr>
            <w:tcW w:w="2410" w:type="dxa"/>
            <w:vAlign w:val="center"/>
          </w:tcPr>
          <w:p w14:paraId="081D2034" w14:textId="77777777" w:rsidR="00B65003" w:rsidRPr="009C27E6" w:rsidRDefault="00CF0C31" w:rsidP="00B65003">
            <w:pPr>
              <w:rPr>
                <w:rFonts w:ascii="Cambria Math" w:hAnsi="Cambria Math" w:cs="Times New Roman"/>
                <w:szCs w:val="26"/>
                <w:oMath/>
              </w:rPr>
            </w:pPr>
            <m:oMathPara>
              <m:oMath>
                <m:sSub>
                  <m:sSubPr>
                    <m:ctrlPr>
                      <w:rPr>
                        <w:rFonts w:ascii="Cambria Math" w:hAnsi="Cambria Math" w:cs="Times New Roman"/>
                        <w:i/>
                        <w:szCs w:val="26"/>
                      </w:rPr>
                    </m:ctrlPr>
                  </m:sSubPr>
                  <m:e>
                    <m:r>
                      <w:rPr>
                        <w:rFonts w:ascii="Cambria Math" w:hAnsi="Cambria Math" w:cs="Times New Roman"/>
                        <w:szCs w:val="26"/>
                      </w:rPr>
                      <m:t>q</m:t>
                    </m:r>
                  </m:e>
                  <m:sub>
                    <m:r>
                      <w:rPr>
                        <w:rFonts w:ascii="Cambria Math" w:hAnsi="Cambria Math" w:cs="Times New Roman"/>
                        <w:szCs w:val="26"/>
                      </w:rPr>
                      <m:t>t</m:t>
                    </m:r>
                  </m:sub>
                </m:sSub>
                <m:r>
                  <w:rPr>
                    <w:rFonts w:ascii="Cambria Math" w:hAnsi="Cambria Math" w:cs="Times New Roman"/>
                    <w:szCs w:val="26"/>
                  </w:rPr>
                  <m:t>=</m:t>
                </m:r>
                <m:f>
                  <m:fPr>
                    <m:ctrlPr>
                      <w:rPr>
                        <w:rFonts w:ascii="Cambria Math" w:hAnsi="Cambria Math" w:cs="Times New Roman"/>
                        <w:szCs w:val="26"/>
                      </w:rPr>
                    </m:ctrlPr>
                  </m:fPr>
                  <m:num>
                    <m:r>
                      <w:rPr>
                        <w:rFonts w:ascii="Cambria Math" w:hAnsi="Cambria Math" w:cs="Times New Roman"/>
                        <w:szCs w:val="26"/>
                      </w:rPr>
                      <m:t>1</m:t>
                    </m:r>
                    <m:ctrlPr>
                      <w:rPr>
                        <w:rFonts w:ascii="Cambria Math" w:hAnsi="Cambria Math" w:cs="Times New Roman"/>
                        <w:i/>
                        <w:szCs w:val="26"/>
                      </w:rPr>
                    </m:ctrlPr>
                  </m:num>
                  <m:den>
                    <m:r>
                      <w:rPr>
                        <w:rFonts w:ascii="Cambria Math" w:hAnsi="Cambria Math" w:cs="Times New Roman"/>
                        <w:szCs w:val="26"/>
                      </w:rPr>
                      <m:t>β</m:t>
                    </m:r>
                    <m:ctrlPr>
                      <w:rPr>
                        <w:rFonts w:ascii="Cambria Math" w:hAnsi="Cambria Math" w:cs="Times New Roman"/>
                        <w:i/>
                        <w:szCs w:val="26"/>
                      </w:rPr>
                    </m:ctrlPr>
                  </m:den>
                </m:f>
                <m:func>
                  <m:funcPr>
                    <m:ctrlPr>
                      <w:rPr>
                        <w:rFonts w:ascii="Cambria Math" w:hAnsi="Cambria Math" w:cs="Times New Roman"/>
                        <w:szCs w:val="26"/>
                      </w:rPr>
                    </m:ctrlPr>
                  </m:funcPr>
                  <m:fName>
                    <m:r>
                      <m:rPr>
                        <m:sty m:val="p"/>
                      </m:rPr>
                      <w:rPr>
                        <w:rFonts w:ascii="Cambria Math" w:hAnsi="Cambria Math" w:cs="Times New Roman"/>
                        <w:szCs w:val="26"/>
                      </w:rPr>
                      <m:t>ln</m:t>
                    </m:r>
                    <m:ctrlPr>
                      <w:rPr>
                        <w:rFonts w:ascii="Cambria Math" w:hAnsi="Cambria Math" w:cs="Times New Roman"/>
                        <w:i/>
                        <w:szCs w:val="26"/>
                      </w:rPr>
                    </m:ctrlPr>
                  </m:fName>
                  <m:e>
                    <m:d>
                      <m:dPr>
                        <m:ctrlPr>
                          <w:rPr>
                            <w:rFonts w:ascii="Cambria Math" w:hAnsi="Cambria Math" w:cs="Times New Roman"/>
                            <w:szCs w:val="26"/>
                          </w:rPr>
                        </m:ctrlPr>
                      </m:dPr>
                      <m:e>
                        <m:r>
                          <w:rPr>
                            <w:rFonts w:ascii="Cambria Math" w:hAnsi="Cambria Math" w:cs="Times New Roman"/>
                            <w:szCs w:val="26"/>
                          </w:rPr>
                          <m:t>1+αβt</m:t>
                        </m:r>
                        <m:ctrlPr>
                          <w:rPr>
                            <w:rFonts w:ascii="Cambria Math" w:hAnsi="Cambria Math" w:cs="Times New Roman"/>
                            <w:i/>
                            <w:szCs w:val="26"/>
                          </w:rPr>
                        </m:ctrlPr>
                      </m:e>
                    </m:d>
                  </m:e>
                </m:func>
              </m:oMath>
            </m:oMathPara>
          </w:p>
          <w:p w14:paraId="68290E89" w14:textId="77777777" w:rsidR="00B65003" w:rsidRPr="00553202" w:rsidRDefault="00B65003" w:rsidP="00D94AFD">
            <w:pPr>
              <w:contextualSpacing/>
              <w:rPr>
                <w:lang w:val="vi-VN"/>
              </w:rPr>
            </w:pPr>
          </w:p>
        </w:tc>
        <w:tc>
          <w:tcPr>
            <w:tcW w:w="2409" w:type="dxa"/>
            <w:vAlign w:val="center"/>
          </w:tcPr>
          <w:p w14:paraId="63DF4FD1" w14:textId="4881D1BC" w:rsidR="00D31F95" w:rsidRPr="009E6960" w:rsidRDefault="00BF317B" w:rsidP="005D337C">
            <w:pPr>
              <w:spacing w:before="100" w:beforeAutospacing="1" w:after="100" w:afterAutospacing="1" w:line="240" w:lineRule="auto"/>
              <w:ind w:firstLine="0"/>
              <w:rPr>
                <w:rFonts w:eastAsia="Times New Roman" w:cs="Times New Roman"/>
                <w:sz w:val="24"/>
                <w:szCs w:val="24"/>
                <w:lang w:val="vi-VN" w:eastAsia="en-US"/>
              </w:rPr>
            </w:pPr>
            <w:r w:rsidRPr="009E6960">
              <w:rPr>
                <w:sz w:val="24"/>
                <w:szCs w:val="24"/>
                <w:lang w:val="vi-VN" w:eastAsia="en-US"/>
              </w:rPr>
              <w:t xml:space="preserve">- </w:t>
            </w:r>
            <m:oMath>
              <m:r>
                <m:rPr>
                  <m:sty m:val="p"/>
                </m:rPr>
                <w:rPr>
                  <w:rFonts w:ascii="Cambria Math" w:eastAsia="Times New Roman" w:hAnsi="Cambria Math" w:cs="Times New Roman"/>
                  <w:sz w:val="24"/>
                  <w:szCs w:val="24"/>
                  <w:lang w:eastAsia="en-US"/>
                </w:rPr>
                <m:t>α</m:t>
              </m:r>
            </m:oMath>
            <w:r w:rsidR="00D31F95" w:rsidRPr="009E6960">
              <w:rPr>
                <w:rFonts w:eastAsia="Times New Roman" w:cs="Times New Roman"/>
                <w:sz w:val="24"/>
                <w:szCs w:val="24"/>
                <w:lang w:val="vi-VN" w:eastAsia="en-US"/>
              </w:rPr>
              <w:t xml:space="preserve">: Tốc độ hấp phụ khởi đầu </w:t>
            </w:r>
            <m:oMath>
              <m:d>
                <m:dPr>
                  <m:ctrlPr>
                    <w:rPr>
                      <w:rFonts w:ascii="Cambria Math" w:eastAsia="Times New Roman" w:hAnsi="Cambria Math" w:cs="Times New Roman"/>
                      <w:i/>
                      <w:sz w:val="24"/>
                      <w:szCs w:val="24"/>
                      <w:lang w:eastAsia="en-US"/>
                    </w:rPr>
                  </m:ctrlPr>
                </m:dPr>
                <m:e>
                  <m:r>
                    <w:rPr>
                      <w:rFonts w:ascii="Cambria Math" w:eastAsia="Times New Roman" w:hAnsi="Cambria Math" w:cs="Times New Roman"/>
                      <w:sz w:val="24"/>
                      <w:szCs w:val="24"/>
                      <w:lang w:val="vi-VN" w:eastAsia="en-US"/>
                    </w:rPr>
                    <m:t>mg</m:t>
                  </m:r>
                  <m:r>
                    <m:rPr>
                      <m:sty m:val="p"/>
                    </m:rPr>
                    <w:rPr>
                      <w:rFonts w:ascii="Cambria Math" w:eastAsia="Times New Roman" w:hAnsi="Cambria Math" w:cs="Times New Roman"/>
                      <w:sz w:val="24"/>
                      <w:szCs w:val="24"/>
                      <w:lang w:val="vi-VN" w:eastAsia="en-US"/>
                    </w:rPr>
                    <m:t>⋅</m:t>
                  </m:r>
                  <m:sSup>
                    <m:sSupPr>
                      <m:ctrlPr>
                        <w:rPr>
                          <w:rFonts w:ascii="Cambria Math" w:eastAsia="Times New Roman" w:hAnsi="Cambria Math" w:cs="Times New Roman"/>
                          <w:i/>
                          <w:sz w:val="24"/>
                          <w:szCs w:val="24"/>
                          <w:lang w:eastAsia="en-US"/>
                        </w:rPr>
                      </m:ctrlPr>
                    </m:sSupPr>
                    <m:e>
                      <m:r>
                        <w:rPr>
                          <w:rFonts w:ascii="Cambria Math" w:eastAsia="Times New Roman" w:hAnsi="Cambria Math" w:cs="Times New Roman"/>
                          <w:sz w:val="24"/>
                          <w:szCs w:val="24"/>
                          <w:lang w:val="vi-VN" w:eastAsia="en-US"/>
                        </w:rPr>
                        <m:t>g</m:t>
                      </m:r>
                      <m:ctrlPr>
                        <w:rPr>
                          <w:rFonts w:ascii="Cambria Math" w:eastAsia="Times New Roman" w:hAnsi="Cambria Math" w:cs="Times New Roman"/>
                          <w:sz w:val="24"/>
                          <w:szCs w:val="24"/>
                          <w:lang w:eastAsia="en-US"/>
                        </w:rPr>
                      </m:ctrlPr>
                    </m:e>
                    <m:sup>
                      <m:r>
                        <w:rPr>
                          <w:rFonts w:ascii="Cambria Math" w:eastAsia="Times New Roman" w:hAnsi="Cambria Math" w:cs="Times New Roman"/>
                          <w:sz w:val="24"/>
                          <w:szCs w:val="24"/>
                          <w:lang w:val="vi-VN" w:eastAsia="en-US"/>
                        </w:rPr>
                        <m:t>-1</m:t>
                      </m:r>
                    </m:sup>
                  </m:sSup>
                  <m:r>
                    <m:rPr>
                      <m:sty m:val="p"/>
                    </m:rPr>
                    <w:rPr>
                      <w:rFonts w:ascii="Cambria Math" w:eastAsia="Times New Roman" w:hAnsi="Cambria Math" w:cs="Times New Roman"/>
                      <w:sz w:val="24"/>
                      <w:szCs w:val="24"/>
                      <w:lang w:val="vi-VN" w:eastAsia="en-US"/>
                    </w:rPr>
                    <m:t>⋅</m:t>
                  </m:r>
                  <m:sSup>
                    <m:sSupPr>
                      <m:ctrlPr>
                        <w:rPr>
                          <w:rFonts w:ascii="Cambria Math" w:eastAsia="Times New Roman" w:hAnsi="Cambria Math" w:cs="Times New Roman"/>
                          <w:i/>
                          <w:sz w:val="24"/>
                          <w:szCs w:val="24"/>
                          <w:lang w:eastAsia="en-US"/>
                        </w:rPr>
                      </m:ctrlPr>
                    </m:sSupPr>
                    <m:e>
                      <m:r>
                        <w:rPr>
                          <w:rFonts w:ascii="Cambria Math" w:eastAsia="Times New Roman" w:hAnsi="Cambria Math" w:cs="Times New Roman"/>
                          <w:sz w:val="24"/>
                          <w:szCs w:val="24"/>
                          <w:lang w:val="vi-VN" w:eastAsia="en-US"/>
                        </w:rPr>
                        <m:t>t</m:t>
                      </m:r>
                    </m:e>
                    <m:sup>
                      <m:r>
                        <w:rPr>
                          <w:rFonts w:ascii="Cambria Math" w:eastAsia="Times New Roman" w:hAnsi="Cambria Math" w:cs="Times New Roman"/>
                          <w:sz w:val="24"/>
                          <w:szCs w:val="24"/>
                          <w:lang w:val="vi-VN" w:eastAsia="en-US"/>
                        </w:rPr>
                        <m:t>-1</m:t>
                      </m:r>
                    </m:sup>
                  </m:sSup>
                </m:e>
              </m:d>
            </m:oMath>
          </w:p>
          <w:p w14:paraId="7574CF4F" w14:textId="2FF6AC3D" w:rsidR="00D31F95" w:rsidRPr="009E6960" w:rsidRDefault="00BF317B" w:rsidP="005D337C">
            <w:pPr>
              <w:spacing w:before="100" w:beforeAutospacing="1" w:after="100" w:afterAutospacing="1" w:line="240" w:lineRule="auto"/>
              <w:ind w:firstLine="0"/>
              <w:rPr>
                <w:rFonts w:eastAsia="Times New Roman" w:cs="Times New Roman"/>
                <w:sz w:val="24"/>
                <w:szCs w:val="24"/>
                <w:lang w:val="vi-VN" w:eastAsia="en-US"/>
              </w:rPr>
            </w:pPr>
            <w:r w:rsidRPr="009E6960">
              <w:rPr>
                <w:rFonts w:eastAsia="Times New Roman" w:cs="Times New Roman"/>
                <w:sz w:val="24"/>
                <w:szCs w:val="24"/>
                <w:lang w:val="vi-VN" w:eastAsia="en-US"/>
              </w:rPr>
              <w:t xml:space="preserve">- </w:t>
            </w:r>
            <m:oMath>
              <m:r>
                <m:rPr>
                  <m:sty m:val="p"/>
                </m:rPr>
                <w:rPr>
                  <w:rFonts w:ascii="Cambria Math" w:eastAsia="Times New Roman" w:hAnsi="Cambria Math" w:cs="Times New Roman"/>
                  <w:sz w:val="24"/>
                  <w:szCs w:val="24"/>
                  <w:lang w:eastAsia="en-US"/>
                </w:rPr>
                <m:t>β</m:t>
              </m:r>
            </m:oMath>
            <w:r w:rsidR="00D31F95" w:rsidRPr="009E6960">
              <w:rPr>
                <w:rFonts w:eastAsia="Times New Roman" w:cs="Times New Roman"/>
                <w:sz w:val="24"/>
                <w:szCs w:val="24"/>
                <w:lang w:val="vi-VN" w:eastAsia="en-US"/>
              </w:rPr>
              <w:t xml:space="preserve">: Hằng số liên quan đến năng lượng hoạt hóa và độ che phủ bề mặt </w:t>
            </w:r>
            <m:oMath>
              <m:d>
                <m:dPr>
                  <m:ctrlPr>
                    <w:rPr>
                      <w:rFonts w:ascii="Cambria Math" w:eastAsia="Times New Roman" w:hAnsi="Cambria Math" w:cs="Times New Roman"/>
                      <w:i/>
                      <w:sz w:val="24"/>
                      <w:szCs w:val="24"/>
                      <w:lang w:eastAsia="en-US"/>
                    </w:rPr>
                  </m:ctrlPr>
                </m:dPr>
                <m:e>
                  <m:r>
                    <w:rPr>
                      <w:rFonts w:ascii="Cambria Math" w:eastAsia="Times New Roman" w:hAnsi="Cambria Math" w:cs="Times New Roman"/>
                      <w:sz w:val="24"/>
                      <w:szCs w:val="24"/>
                      <w:lang w:val="vi-VN" w:eastAsia="en-US"/>
                    </w:rPr>
                    <m:t>g</m:t>
                  </m:r>
                  <m:r>
                    <m:rPr>
                      <m:sty m:val="p"/>
                    </m:rPr>
                    <w:rPr>
                      <w:rFonts w:ascii="Cambria Math" w:eastAsia="Times New Roman" w:hAnsi="Cambria Math" w:cs="Times New Roman"/>
                      <w:sz w:val="24"/>
                      <w:szCs w:val="24"/>
                      <w:lang w:val="vi-VN" w:eastAsia="en-US"/>
                    </w:rPr>
                    <m:t>⋅</m:t>
                  </m:r>
                  <m:r>
                    <w:rPr>
                      <w:rFonts w:ascii="Cambria Math" w:eastAsia="Times New Roman" w:hAnsi="Cambria Math" w:cs="Times New Roman"/>
                      <w:sz w:val="24"/>
                      <w:szCs w:val="24"/>
                      <w:lang w:val="vi-VN" w:eastAsia="en-US"/>
                    </w:rPr>
                    <m:t>m</m:t>
                  </m:r>
                  <m:sSup>
                    <m:sSupPr>
                      <m:ctrlPr>
                        <w:rPr>
                          <w:rFonts w:ascii="Cambria Math" w:eastAsia="Times New Roman" w:hAnsi="Cambria Math" w:cs="Times New Roman"/>
                          <w:i/>
                          <w:sz w:val="24"/>
                          <w:szCs w:val="24"/>
                          <w:lang w:eastAsia="en-US"/>
                        </w:rPr>
                      </m:ctrlPr>
                    </m:sSupPr>
                    <m:e>
                      <m:r>
                        <w:rPr>
                          <w:rFonts w:ascii="Cambria Math" w:eastAsia="Times New Roman" w:hAnsi="Cambria Math" w:cs="Times New Roman"/>
                          <w:sz w:val="24"/>
                          <w:szCs w:val="24"/>
                          <w:lang w:val="vi-VN" w:eastAsia="en-US"/>
                        </w:rPr>
                        <m:t>g</m:t>
                      </m:r>
                    </m:e>
                    <m:sup>
                      <m:r>
                        <w:rPr>
                          <w:rFonts w:ascii="Cambria Math" w:eastAsia="Times New Roman" w:hAnsi="Cambria Math" w:cs="Times New Roman"/>
                          <w:sz w:val="24"/>
                          <w:szCs w:val="24"/>
                          <w:lang w:val="vi-VN" w:eastAsia="en-US"/>
                        </w:rPr>
                        <m:t>-1</m:t>
                      </m:r>
                    </m:sup>
                  </m:sSup>
                </m:e>
              </m:d>
            </m:oMath>
          </w:p>
          <w:p w14:paraId="2339FE34" w14:textId="4995F887" w:rsidR="00B65003" w:rsidRPr="009E6960" w:rsidRDefault="00B65003" w:rsidP="005D337C">
            <w:pPr>
              <w:spacing w:before="100" w:beforeAutospacing="1" w:after="100" w:afterAutospacing="1" w:line="240" w:lineRule="auto"/>
              <w:rPr>
                <w:rFonts w:eastAsia="Times New Roman" w:cs="Times New Roman"/>
                <w:sz w:val="24"/>
                <w:szCs w:val="24"/>
                <w:lang w:val="vi-VN" w:eastAsia="en-US"/>
              </w:rPr>
            </w:pPr>
          </w:p>
        </w:tc>
      </w:tr>
    </w:tbl>
    <w:p w14:paraId="4E7E07D7" w14:textId="77777777" w:rsidR="0023692D" w:rsidRPr="009E6960" w:rsidRDefault="00AF6405" w:rsidP="00BA4142">
      <w:pPr>
        <w:pStyle w:val="Heading3"/>
        <w:rPr>
          <w:lang w:val="vi-VN"/>
        </w:rPr>
      </w:pPr>
      <w:bookmarkStart w:id="19" w:name="_Toc233142633"/>
      <w:r w:rsidRPr="009E6960">
        <w:rPr>
          <w:lang w:val="vi-VN"/>
        </w:rPr>
        <w:t>Nghiên cứu cơ chế hấp phụ đẳng nhiệt</w:t>
      </w:r>
      <w:bookmarkEnd w:id="19"/>
    </w:p>
    <w:p w14:paraId="461A540C" w14:textId="241EBFCB" w:rsidR="00B1728E" w:rsidRPr="009E6960" w:rsidRDefault="00AD3C80" w:rsidP="00871D6C">
      <w:pPr>
        <w:spacing w:after="0"/>
        <w:ind w:firstLine="454"/>
        <w:jc w:val="both"/>
        <w:rPr>
          <w:lang w:val="vi-VN"/>
        </w:rPr>
      </w:pPr>
      <w:bookmarkStart w:id="20" w:name="_Toc216474609"/>
      <w:bookmarkStart w:id="21" w:name="_Toc216808295"/>
      <w:r w:rsidRPr="009E6960">
        <w:rPr>
          <w:lang w:val="vi-VN"/>
        </w:rPr>
        <w:t xml:space="preserve">Các mô hình đẳng nhiệt hấp phụ cung cấp cơ sở lý thuyết quan trọng để đánh giá dung lượng hấp phụ cực đại, đồng thời mô tả trạng thái phân bố của chất tan giữa pha lỏng và bề mặt chất rắn tại thời điểm cân bằng. </w:t>
      </w:r>
      <w:r w:rsidR="00AF6405" w:rsidRPr="009E6960">
        <w:rPr>
          <w:lang w:val="vi-VN"/>
        </w:rPr>
        <w:t xml:space="preserve">Để xác định mô hình đẳng nhiệt hấp phụ phù hợp với kết quả thực nghiệm, tiến hành khảo sát mối quan hệ giữa nồng độ và dung lượng hấp phụ. Áp dụng số liệu </w:t>
      </w:r>
      <w:r w:rsidR="00B53533" w:rsidRPr="009E6960">
        <w:rPr>
          <w:lang w:val="vi-VN"/>
        </w:rPr>
        <w:t xml:space="preserve">thu được qua quá trình </w:t>
      </w:r>
      <w:r w:rsidR="00AF6405" w:rsidRPr="009E6960">
        <w:rPr>
          <w:lang w:val="vi-VN"/>
        </w:rPr>
        <w:t xml:space="preserve">thực nghiệm với các mô hình đẳng nhiệt hấp phụ </w:t>
      </w:r>
      <w:r w:rsidR="00B53533" w:rsidRPr="009E6960">
        <w:rPr>
          <w:lang w:val="vi-VN"/>
        </w:rPr>
        <w:t>nhằm xác định,</w:t>
      </w:r>
      <w:r w:rsidR="00AF6405" w:rsidRPr="009E6960">
        <w:rPr>
          <w:lang w:val="vi-VN"/>
        </w:rPr>
        <w:t xml:space="preserve"> đánh giá sự tương quan để xác định sự hấp </w:t>
      </w:r>
      <w:r w:rsidR="00AF6405" w:rsidRPr="009E6960">
        <w:rPr>
          <w:lang w:val="vi-VN"/>
        </w:rPr>
        <w:lastRenderedPageBreak/>
        <w:t>phụ là tuân theo cơ chế hấp phụ Freundlich</w:t>
      </w:r>
      <w:r w:rsidR="0023692D" w:rsidRPr="009E6960">
        <w:rPr>
          <w:lang w:val="vi-VN"/>
        </w:rPr>
        <w:t>,</w:t>
      </w:r>
      <w:r w:rsidR="00AF6405" w:rsidRPr="009E6960">
        <w:rPr>
          <w:lang w:val="vi-VN"/>
        </w:rPr>
        <w:t xml:space="preserve"> Langmuir</w:t>
      </w:r>
      <w:r w:rsidR="0023692D" w:rsidRPr="009E6960">
        <w:rPr>
          <w:lang w:val="vi-VN"/>
        </w:rPr>
        <w:t xml:space="preserve"> hay Redlich-Peterson</w:t>
      </w:r>
      <w:r w:rsidR="00AF6405" w:rsidRPr="009E6960">
        <w:rPr>
          <w:lang w:val="vi-VN"/>
        </w:rPr>
        <w:t xml:space="preserve"> </w:t>
      </w:r>
      <w:r w:rsidR="008B30BE" w:rsidRPr="009E6960">
        <w:rPr>
          <w:lang w:val="vi-VN"/>
        </w:rPr>
        <w:t xml:space="preserve">(với tính chất và công thức được tóm tắt trong </w:t>
      </w:r>
      <w:r w:rsidR="00A3250A" w:rsidRPr="009E6960">
        <w:rPr>
          <w:lang w:val="vi-VN"/>
        </w:rPr>
        <w:t>Bảng</w:t>
      </w:r>
      <w:r w:rsidR="00075C6D" w:rsidRPr="009E6960">
        <w:rPr>
          <w:lang w:val="vi-VN"/>
        </w:rPr>
        <w:t xml:space="preserve"> 2.3</w:t>
      </w:r>
      <w:r w:rsidR="008B30BE" w:rsidRPr="009E6960">
        <w:rPr>
          <w:lang w:val="vi-VN"/>
        </w:rPr>
        <w:t>)</w:t>
      </w:r>
      <w:r w:rsidR="000D6DA9" w:rsidRPr="009E6960">
        <w:rPr>
          <w:lang w:val="vi-VN"/>
        </w:rPr>
        <w:t xml:space="preserve"> </w:t>
      </w:r>
      <w:r w:rsidR="000D6DA9">
        <w:fldChar w:fldCharType="begin"/>
      </w:r>
      <w:r w:rsidR="00860ADE" w:rsidRPr="009E6960">
        <w:rPr>
          <w:lang w:val="vi-VN"/>
        </w:rPr>
        <w:instrText xml:space="preserve"> ADDIN ZOTERO_ITEM CSL_CITATION {"citationID":"rHBhdnBK","properties":{"formattedCitation":"[78]","plainCitation":"[78]","noteIndex":0},"citationItems":[{"id":315,"uris":["http://zotero.org/users/12953706/items/SPLCDTNU"],"itemData":{"id":315,"type":"chapter","abstract":"One of the effective and economically viable methods in wastewater treatment is sorption, if for this sorbent, material of a natural, readily availabl…","container-title":"Handbook of Nanomaterials for Wastewater Treatment","language":"en-US","note":"DOI: 10.1016/B978-0-12-821496-1.00024-6","page":"417-481","publisher":"Elsevier","source":"www.sciencedirect.com","title":"Role of zeolite adsorbent in water treatment","URL":"https://www.sciencedirect.com:5037/science/chapter/edited-volume/abs/pii/B9780128214961000246","author":[{"family":"S. Y. Lee et al","given":""}],"accessed":{"date-parts":[["2025",12,3]]},"issued":{"date-parts":[["2021",1,1]]}}}],"schema":"https://github.com/citation-style-language/schema/raw/master/csl-citation.json"} </w:instrText>
      </w:r>
      <w:r w:rsidR="000D6DA9">
        <w:fldChar w:fldCharType="separate"/>
      </w:r>
      <w:r w:rsidR="00871C6F" w:rsidRPr="009E6960">
        <w:rPr>
          <w:rFonts w:cs="Times New Roman"/>
          <w:lang w:val="vi-VN"/>
        </w:rPr>
        <w:t>[78]</w:t>
      </w:r>
      <w:r w:rsidR="000D6DA9">
        <w:fldChar w:fldCharType="end"/>
      </w:r>
      <w:bookmarkEnd w:id="20"/>
      <w:bookmarkEnd w:id="21"/>
      <w:r w:rsidR="00BB264A" w:rsidRPr="009E6960">
        <w:rPr>
          <w:lang w:val="vi-VN"/>
        </w:rPr>
        <w:t>.</w:t>
      </w:r>
      <w:r w:rsidR="0030379B" w:rsidRPr="009E6960">
        <w:rPr>
          <w:lang w:val="vi-VN"/>
        </w:rPr>
        <w:t xml:space="preserve"> </w:t>
      </w:r>
    </w:p>
    <w:p w14:paraId="52F238AB" w14:textId="1B748877" w:rsidR="00EF3FBF" w:rsidRPr="009E6960" w:rsidRDefault="00EF3FBF" w:rsidP="002D7A5E">
      <w:pPr>
        <w:spacing w:after="160" w:line="278" w:lineRule="auto"/>
        <w:ind w:firstLine="0"/>
        <w:jc w:val="center"/>
        <w:rPr>
          <w:lang w:val="vi-VN"/>
        </w:rPr>
      </w:pPr>
      <w:bookmarkStart w:id="22" w:name="_Toc216359788"/>
      <w:bookmarkStart w:id="23" w:name="_Toc218004839"/>
      <w:r w:rsidRPr="009E6960">
        <w:rPr>
          <w:lang w:val="vi-VN"/>
        </w:rPr>
        <w:t xml:space="preserve">Bảng </w:t>
      </w:r>
      <w:r w:rsidR="00CF0C31">
        <w:fldChar w:fldCharType="begin"/>
      </w:r>
      <w:r w:rsidR="00CF0C31" w:rsidRPr="009E6960">
        <w:rPr>
          <w:lang w:val="vi-VN"/>
        </w:rPr>
        <w:instrText xml:space="preserve"> STYLEREF 1 \s </w:instrText>
      </w:r>
      <w:r w:rsidR="00CF0C31">
        <w:fldChar w:fldCharType="separate"/>
      </w:r>
      <w:r w:rsidR="009801F7" w:rsidRPr="009E6960">
        <w:rPr>
          <w:noProof/>
          <w:lang w:val="vi-VN"/>
        </w:rPr>
        <w:t>2</w:t>
      </w:r>
      <w:r w:rsidR="00CF0C31">
        <w:rPr>
          <w:noProof/>
        </w:rPr>
        <w:fldChar w:fldCharType="end"/>
      </w:r>
      <w:r w:rsidR="00CF487F" w:rsidRPr="009E6960">
        <w:rPr>
          <w:lang w:val="vi-VN"/>
        </w:rPr>
        <w:t>.</w:t>
      </w:r>
      <w:r w:rsidR="00F2277E">
        <w:fldChar w:fldCharType="begin"/>
      </w:r>
      <w:r w:rsidR="00F2277E" w:rsidRPr="009E6960">
        <w:rPr>
          <w:lang w:val="vi-VN"/>
        </w:rPr>
        <w:instrText xml:space="preserve"> SEQ Bảng_ \* ARABIC \s 1 </w:instrText>
      </w:r>
      <w:r w:rsidR="00F2277E">
        <w:fldChar w:fldCharType="separate"/>
      </w:r>
      <w:r w:rsidR="009801F7" w:rsidRPr="009E6960">
        <w:rPr>
          <w:noProof/>
          <w:lang w:val="vi-VN"/>
        </w:rPr>
        <w:t>3</w:t>
      </w:r>
      <w:r w:rsidR="00F2277E">
        <w:rPr>
          <w:noProof/>
        </w:rPr>
        <w:fldChar w:fldCharType="end"/>
      </w:r>
      <w:r w:rsidRPr="009E6960">
        <w:rPr>
          <w:lang w:val="vi-VN"/>
        </w:rPr>
        <w:t xml:space="preserve">. </w:t>
      </w:r>
      <w:r w:rsidRPr="00553202">
        <w:rPr>
          <w:iCs/>
          <w:color w:val="000000" w:themeColor="text1"/>
          <w:szCs w:val="18"/>
          <w:lang w:val="vi-VN"/>
        </w:rPr>
        <w:t>Định nghĩa và phương trình các mô hình đẳng nhiệt hấp phụ</w:t>
      </w:r>
      <w:bookmarkEnd w:id="22"/>
      <w:r w:rsidR="004758FD" w:rsidRPr="009E6960">
        <w:rPr>
          <w:lang w:val="vi-VN"/>
        </w:rPr>
        <w:t>.</w:t>
      </w:r>
      <w:bookmarkEnd w:id="23"/>
    </w:p>
    <w:tbl>
      <w:tblPr>
        <w:tblStyle w:val="TableGrid"/>
        <w:tblW w:w="9148" w:type="dxa"/>
        <w:tblInd w:w="-289" w:type="dxa"/>
        <w:tblLook w:val="04A0" w:firstRow="1" w:lastRow="0" w:firstColumn="1" w:lastColumn="0" w:noHBand="0" w:noVBand="1"/>
      </w:tblPr>
      <w:tblGrid>
        <w:gridCol w:w="1560"/>
        <w:gridCol w:w="2811"/>
        <w:gridCol w:w="2192"/>
        <w:gridCol w:w="2585"/>
      </w:tblGrid>
      <w:tr w:rsidR="005B48A1" w:rsidRPr="009E6960" w14:paraId="4646EBCA" w14:textId="25A2D83F" w:rsidTr="006D6286">
        <w:tc>
          <w:tcPr>
            <w:tcW w:w="1560" w:type="dxa"/>
            <w:vAlign w:val="center"/>
          </w:tcPr>
          <w:p w14:paraId="68B7BA92" w14:textId="77777777" w:rsidR="005B48A1" w:rsidRPr="009E3D3E" w:rsidRDefault="005B48A1" w:rsidP="00DF1404">
            <w:pPr>
              <w:ind w:firstLine="0"/>
              <w:contextualSpacing/>
              <w:jc w:val="center"/>
              <w:rPr>
                <w:b/>
                <w:bCs/>
                <w:lang w:val="vi-VN"/>
              </w:rPr>
            </w:pPr>
            <w:r w:rsidRPr="009E3D3E">
              <w:rPr>
                <w:b/>
                <w:bCs/>
                <w:lang w:val="vi-VN"/>
              </w:rPr>
              <w:t>Mô hình</w:t>
            </w:r>
          </w:p>
        </w:tc>
        <w:tc>
          <w:tcPr>
            <w:tcW w:w="2811" w:type="dxa"/>
            <w:vAlign w:val="center"/>
          </w:tcPr>
          <w:p w14:paraId="6B7D5DE2" w14:textId="77777777" w:rsidR="005B48A1" w:rsidRPr="009E3D3E" w:rsidRDefault="005B48A1" w:rsidP="00DF1404">
            <w:pPr>
              <w:ind w:firstLine="0"/>
              <w:contextualSpacing/>
              <w:jc w:val="center"/>
              <w:rPr>
                <w:b/>
                <w:bCs/>
                <w:lang w:val="vi-VN"/>
              </w:rPr>
            </w:pPr>
            <w:r w:rsidRPr="009E3D3E">
              <w:rPr>
                <w:b/>
                <w:bCs/>
                <w:lang w:val="vi-VN"/>
              </w:rPr>
              <w:t>Định nghĩa</w:t>
            </w:r>
          </w:p>
        </w:tc>
        <w:tc>
          <w:tcPr>
            <w:tcW w:w="2192" w:type="dxa"/>
            <w:vAlign w:val="center"/>
          </w:tcPr>
          <w:p w14:paraId="4387A80E" w14:textId="77777777" w:rsidR="005B48A1" w:rsidRPr="009E3D3E" w:rsidRDefault="005B48A1" w:rsidP="00DF1404">
            <w:pPr>
              <w:ind w:firstLine="0"/>
              <w:contextualSpacing/>
              <w:jc w:val="center"/>
              <w:rPr>
                <w:b/>
                <w:bCs/>
                <w:lang w:val="vi-VN"/>
              </w:rPr>
            </w:pPr>
            <w:r w:rsidRPr="009E3D3E">
              <w:rPr>
                <w:b/>
                <w:bCs/>
                <w:lang w:val="vi-VN"/>
              </w:rPr>
              <w:t>Phương trình</w:t>
            </w:r>
          </w:p>
        </w:tc>
        <w:tc>
          <w:tcPr>
            <w:tcW w:w="2585" w:type="dxa"/>
          </w:tcPr>
          <w:p w14:paraId="292008D1" w14:textId="293D09B7" w:rsidR="005B48A1" w:rsidRPr="009E6960" w:rsidRDefault="005B48A1" w:rsidP="00DF1404">
            <w:pPr>
              <w:ind w:firstLine="0"/>
              <w:contextualSpacing/>
              <w:jc w:val="center"/>
              <w:rPr>
                <w:b/>
                <w:bCs/>
                <w:lang w:val="vi-VN"/>
              </w:rPr>
            </w:pPr>
            <w:r w:rsidRPr="009E6960">
              <w:rPr>
                <w:b/>
                <w:bCs/>
                <w:lang w:val="vi-VN"/>
              </w:rPr>
              <w:t>Thông số và đơn vị</w:t>
            </w:r>
          </w:p>
        </w:tc>
      </w:tr>
      <w:tr w:rsidR="005B48A1" w:rsidRPr="009E6960" w14:paraId="4F665A0F" w14:textId="2A166A5B" w:rsidTr="00A065F1">
        <w:tc>
          <w:tcPr>
            <w:tcW w:w="1560" w:type="dxa"/>
            <w:vAlign w:val="center"/>
          </w:tcPr>
          <w:p w14:paraId="3F13FC0B" w14:textId="77777777" w:rsidR="005B48A1" w:rsidRPr="00553202" w:rsidRDefault="005B48A1" w:rsidP="006D6286">
            <w:pPr>
              <w:ind w:firstLine="0"/>
              <w:contextualSpacing/>
              <w:rPr>
                <w:lang w:val="vi-VN"/>
              </w:rPr>
            </w:pPr>
            <w:r w:rsidRPr="00553202">
              <w:rPr>
                <w:lang w:val="vi-VN"/>
              </w:rPr>
              <w:t>Langmuir</w:t>
            </w:r>
          </w:p>
        </w:tc>
        <w:tc>
          <w:tcPr>
            <w:tcW w:w="2811" w:type="dxa"/>
          </w:tcPr>
          <w:p w14:paraId="7CB90144" w14:textId="77777777" w:rsidR="005B48A1" w:rsidRPr="00553202" w:rsidRDefault="005B48A1" w:rsidP="00A065F1">
            <w:pPr>
              <w:ind w:firstLine="0"/>
              <w:contextualSpacing/>
              <w:jc w:val="both"/>
              <w:rPr>
                <w:lang w:val="vi-VN"/>
              </w:rPr>
            </w:pPr>
            <w:r w:rsidRPr="009E6960">
              <w:rPr>
                <w:lang w:val="vi-VN"/>
              </w:rPr>
              <w:t>Mô hình hấp phụ đơn lớp xảy ra trên bề mặt hấp phụ đồng nhất về mặt cấu trúc, trong đó các vị trí hấp phụ là đồng nhất và tương đương về năng lượng (tức là nhiệt hấp phụ không đổi cho tất cả các vị trí).</w:t>
            </w:r>
          </w:p>
        </w:tc>
        <w:tc>
          <w:tcPr>
            <w:tcW w:w="2192" w:type="dxa"/>
            <w:vAlign w:val="center"/>
          </w:tcPr>
          <w:p w14:paraId="75D2AA5D" w14:textId="277EA3E9" w:rsidR="005B48A1" w:rsidRPr="00E44DEA" w:rsidRDefault="00CF0C31" w:rsidP="0033768F">
            <w:pPr>
              <w:spacing w:before="240"/>
              <w:rPr>
                <w:rFonts w:cs="Times New Roman"/>
                <w:i/>
              </w:rPr>
            </w:pPr>
            <m:oMathPara>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m</m:t>
                    </m:r>
                  </m:sub>
                </m:sSub>
                <m:f>
                  <m:fPr>
                    <m:ctrlPr>
                      <w:rPr>
                        <w:rFonts w:ascii="Cambria Math" w:hAnsi="Cambria Math" w:cs="Times New Roman"/>
                      </w:rPr>
                    </m:ctrlPr>
                  </m:fPr>
                  <m:num>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ctrlPr>
                      <w:rPr>
                        <w:rFonts w:ascii="Cambria Math" w:hAnsi="Cambria Math" w:cs="Times New Roman"/>
                        <w:i/>
                      </w:rPr>
                    </m:ctrlPr>
                  </m:num>
                  <m:den>
                    <m:r>
                      <w:rPr>
                        <w:rFonts w:ascii="Cambria Math" w:hAnsi="Cambria Math" w:cs="Times New Roman"/>
                      </w:rPr>
                      <m:t>1+b</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ctrlPr>
                      <w:rPr>
                        <w:rFonts w:ascii="Cambria Math" w:hAnsi="Cambria Math" w:cs="Times New Roman"/>
                        <w:i/>
                      </w:rPr>
                    </m:ctrlPr>
                  </m:den>
                </m:f>
              </m:oMath>
            </m:oMathPara>
          </w:p>
          <w:p w14:paraId="26BD8364" w14:textId="3F2D392E" w:rsidR="005B48A1" w:rsidRPr="00E44DEA" w:rsidRDefault="00AC1F44" w:rsidP="00E44DEA">
            <w:pPr>
              <w:ind w:firstLine="0"/>
              <w:contextualSpacing/>
              <w:rPr>
                <w:szCs w:val="26"/>
                <w:lang w:val="vi-VN"/>
              </w:rPr>
            </w:pPr>
            <w:r w:rsidRPr="00E44DEA">
              <w:rPr>
                <w:szCs w:val="26"/>
                <w:lang w:val="vi-VN"/>
              </w:rPr>
              <w:t>V</w:t>
            </w:r>
            <w:r w:rsidR="005B48A1" w:rsidRPr="00E44DEA">
              <w:rPr>
                <w:szCs w:val="26"/>
                <w:lang w:val="vi-VN"/>
              </w:rPr>
              <w:t>à</w:t>
            </w:r>
            <w:r>
              <w:rPr>
                <w:szCs w:val="26"/>
              </w:rPr>
              <w:t xml:space="preserve"> </w:t>
            </w:r>
            <w:r w:rsidRPr="00AC1F44">
              <w:rPr>
                <w:i/>
                <w:iCs/>
                <w:szCs w:val="26"/>
              </w:rPr>
              <w:t>R</w:t>
            </w:r>
            <w:r w:rsidRPr="00AC1F44">
              <w:rPr>
                <w:i/>
                <w:iCs/>
                <w:szCs w:val="26"/>
                <w:vertAlign w:val="subscript"/>
              </w:rPr>
              <w:t>L</w:t>
            </w:r>
            <w:r w:rsidR="00ED0753">
              <w:rPr>
                <w:szCs w:val="26"/>
              </w:rPr>
              <w:t xml:space="preserve"> = </w:t>
            </w:r>
            <w:r w:rsidR="005B48A1" w:rsidRPr="00AC1F44">
              <w:rPr>
                <w:szCs w:val="26"/>
                <w:lang w:val="vi-VN"/>
              </w:rPr>
              <w:t xml:space="preserve"> </w:t>
            </w:r>
            <m:oMath>
              <m:f>
                <m:fPr>
                  <m:ctrlPr>
                    <w:rPr>
                      <w:rFonts w:ascii="Cambria Math" w:hAnsi="Cambria Math"/>
                      <w:i/>
                      <w:sz w:val="32"/>
                      <w:szCs w:val="32"/>
                      <w:lang w:val="vi-VN"/>
                    </w:rPr>
                  </m:ctrlPr>
                </m:fPr>
                <m:num>
                  <m:r>
                    <w:rPr>
                      <w:rFonts w:ascii="Cambria Math" w:hAnsi="Cambria Math"/>
                      <w:sz w:val="32"/>
                      <w:szCs w:val="32"/>
                      <w:lang w:val="vi-VN"/>
                    </w:rPr>
                    <m:t>1</m:t>
                  </m:r>
                </m:num>
                <m:den>
                  <m:r>
                    <w:rPr>
                      <w:rFonts w:ascii="Cambria Math" w:hAnsi="Cambria Math"/>
                      <w:sz w:val="32"/>
                      <w:szCs w:val="32"/>
                      <w:lang w:val="vi-VN"/>
                    </w:rPr>
                    <m:t>1+</m:t>
                  </m:r>
                  <m:sSub>
                    <m:sSubPr>
                      <m:ctrlPr>
                        <w:rPr>
                          <w:rFonts w:ascii="Cambria Math" w:hAnsi="Cambria Math"/>
                          <w:i/>
                          <w:sz w:val="32"/>
                          <w:szCs w:val="32"/>
                          <w:lang w:val="vi-VN"/>
                        </w:rPr>
                      </m:ctrlPr>
                    </m:sSubPr>
                    <m:e>
                      <m:r>
                        <w:rPr>
                          <w:rFonts w:ascii="Cambria Math" w:hAnsi="Cambria Math"/>
                          <w:sz w:val="32"/>
                          <w:szCs w:val="32"/>
                          <w:lang w:val="vi-VN"/>
                        </w:rPr>
                        <m:t>C</m:t>
                      </m:r>
                    </m:e>
                    <m:sub>
                      <m:r>
                        <w:rPr>
                          <w:rFonts w:ascii="Cambria Math" w:hAnsi="Cambria Math"/>
                          <w:sz w:val="32"/>
                          <w:szCs w:val="32"/>
                          <w:lang w:val="vi-VN"/>
                        </w:rPr>
                        <m:t>0</m:t>
                      </m:r>
                    </m:sub>
                  </m:sSub>
                  <m:sSub>
                    <m:sSubPr>
                      <m:ctrlPr>
                        <w:rPr>
                          <w:rFonts w:ascii="Cambria Math" w:hAnsi="Cambria Math"/>
                          <w:i/>
                          <w:sz w:val="32"/>
                          <w:szCs w:val="32"/>
                          <w:lang w:val="vi-VN"/>
                        </w:rPr>
                      </m:ctrlPr>
                    </m:sSubPr>
                    <m:e>
                      <m:r>
                        <w:rPr>
                          <w:rFonts w:ascii="Cambria Math" w:hAnsi="Cambria Math"/>
                          <w:sz w:val="32"/>
                          <w:szCs w:val="32"/>
                          <w:lang w:val="vi-VN"/>
                        </w:rPr>
                        <m:t>K</m:t>
                      </m:r>
                    </m:e>
                    <m:sub>
                      <m:r>
                        <w:rPr>
                          <w:rFonts w:ascii="Cambria Math" w:hAnsi="Cambria Math"/>
                          <w:sz w:val="32"/>
                          <w:szCs w:val="32"/>
                          <w:lang w:val="vi-VN"/>
                        </w:rPr>
                        <m:t>L</m:t>
                      </m:r>
                    </m:sub>
                  </m:sSub>
                </m:den>
              </m:f>
            </m:oMath>
          </w:p>
        </w:tc>
        <w:tc>
          <w:tcPr>
            <w:tcW w:w="2585" w:type="dxa"/>
          </w:tcPr>
          <w:p w14:paraId="787285D3" w14:textId="05798046" w:rsidR="006D6286" w:rsidRPr="009E6960" w:rsidRDefault="006530B3" w:rsidP="00A065F1">
            <w:pPr>
              <w:ind w:firstLine="0"/>
              <w:rPr>
                <w:rFonts w:eastAsia="Times New Roman" w:cs="Times New Roman"/>
                <w:lang w:val="vi-VN"/>
              </w:rPr>
            </w:pPr>
            <w:r w:rsidRPr="009E6960">
              <w:rPr>
                <w:lang w:val="vi-V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lang w:val="vi-VN"/>
                    </w:rPr>
                    <m:t>q</m:t>
                  </m:r>
                </m:e>
                <m:sub>
                  <m:r>
                    <w:rPr>
                      <w:rFonts w:ascii="Cambria Math" w:eastAsia="Times New Roman" w:hAnsi="Cambria Math" w:cs="Times New Roman"/>
                      <w:lang w:val="vi-VN"/>
                    </w:rPr>
                    <m:t>m</m:t>
                  </m:r>
                </m:sub>
              </m:sSub>
            </m:oMath>
            <w:r w:rsidR="005B48A1" w:rsidRPr="009E6960">
              <w:rPr>
                <w:rFonts w:eastAsia="Times New Roman" w:cs="Times New Roman"/>
                <w:lang w:val="vi-VN"/>
              </w:rPr>
              <w:t xml:space="preserve"> Dung lượng hấp phụ cực đại đơn lớp (mg/g)</w:t>
            </w:r>
          </w:p>
          <w:p w14:paraId="31403AAD" w14:textId="77777777" w:rsidR="005B48A1" w:rsidRPr="009E6960" w:rsidRDefault="00E44DEA" w:rsidP="00A065F1">
            <w:pPr>
              <w:ind w:firstLine="0"/>
              <w:rPr>
                <w:rFonts w:eastAsia="Times New Roman" w:cs="Times New Roman"/>
                <w:lang w:val="vi-VN"/>
              </w:rPr>
            </w:pPr>
            <w:r w:rsidRPr="009E6960">
              <w:rPr>
                <w:rFonts w:eastAsia="Times New Roman" w:cs="Times New Roman"/>
                <w:lang w:val="vi-VN"/>
              </w:rPr>
              <w:t xml:space="preserve">- </w:t>
            </w:r>
            <m:oMath>
              <m:r>
                <w:rPr>
                  <w:rFonts w:ascii="Cambria Math" w:eastAsia="Times New Roman" w:hAnsi="Cambria Math" w:cs="Times New Roman"/>
                  <w:lang w:val="vi-VN"/>
                </w:rPr>
                <m:t>b</m:t>
              </m:r>
            </m:oMath>
            <w:r w:rsidR="005B48A1" w:rsidRPr="009E6960">
              <w:rPr>
                <w:rFonts w:eastAsia="Times New Roman" w:cs="Times New Roman"/>
                <w:lang w:val="vi-VN"/>
              </w:rPr>
              <w:t xml:space="preserve"> (hoặc </w:t>
            </w:r>
            <m:oMath>
              <m:sSub>
                <m:sSubPr>
                  <m:ctrlPr>
                    <w:rPr>
                      <w:rFonts w:ascii="Cambria Math" w:eastAsia="Times New Roman" w:hAnsi="Cambria Math" w:cs="Times New Roman"/>
                      <w:i/>
                    </w:rPr>
                  </m:ctrlPr>
                </m:sSubPr>
                <m:e>
                  <m:r>
                    <w:rPr>
                      <w:rFonts w:ascii="Cambria Math" w:eastAsia="Times New Roman" w:hAnsi="Cambria Math" w:cs="Times New Roman"/>
                      <w:lang w:val="vi-VN"/>
                    </w:rPr>
                    <m:t>K</m:t>
                  </m:r>
                </m:e>
                <m:sub>
                  <m:r>
                    <w:rPr>
                      <w:rFonts w:ascii="Cambria Math" w:eastAsia="Times New Roman" w:hAnsi="Cambria Math" w:cs="Times New Roman"/>
                      <w:lang w:val="vi-VN"/>
                    </w:rPr>
                    <m:t>L</m:t>
                  </m:r>
                </m:sub>
              </m:sSub>
            </m:oMath>
            <w:r w:rsidR="005B48A1" w:rsidRPr="009E6960">
              <w:rPr>
                <w:rFonts w:eastAsia="Times New Roman" w:cs="Times New Roman"/>
                <w:lang w:val="vi-VN"/>
              </w:rPr>
              <w:t>) Hằng số Langmuir liên quan đến năng lượng hấp phụ (L/mg)</w:t>
            </w:r>
          </w:p>
          <w:p w14:paraId="6DF716C8" w14:textId="307E0334" w:rsidR="006530B3" w:rsidRPr="006530B3" w:rsidRDefault="006530B3" w:rsidP="00A065F1">
            <w:pPr>
              <w:ind w:firstLine="0"/>
              <w:rPr>
                <w:color w:val="000000" w:themeColor="text1"/>
                <w:lang w:val="vi-VN"/>
              </w:rPr>
            </w:pPr>
            <w:r w:rsidRPr="009E6960">
              <w:rPr>
                <w:rFonts w:eastAsia="Times New Roman" w:cs="Times New Roman"/>
                <w:lang w:val="vi-VN"/>
              </w:rPr>
              <w:t xml:space="preserve">- </w:t>
            </w:r>
            <w:r w:rsidRPr="006530B3">
              <w:rPr>
                <w:i/>
                <w:iCs/>
                <w:color w:val="000000" w:themeColor="text1"/>
                <w:lang w:val="vi-VN"/>
              </w:rPr>
              <w:t>R</w:t>
            </w:r>
            <w:r w:rsidRPr="006530B3">
              <w:rPr>
                <w:i/>
                <w:iCs/>
                <w:color w:val="000000" w:themeColor="text1"/>
                <w:vertAlign w:val="subscript"/>
                <w:lang w:val="vi-VN"/>
              </w:rPr>
              <w:t>L</w:t>
            </w:r>
            <w:r w:rsidRPr="0021232E">
              <w:rPr>
                <w:b/>
                <w:bCs/>
                <w:color w:val="000000" w:themeColor="text1"/>
                <w:lang w:val="vi-VN"/>
              </w:rPr>
              <w:t>:</w:t>
            </w:r>
            <w:r w:rsidRPr="0021232E">
              <w:rPr>
                <w:color w:val="000000" w:themeColor="text1"/>
                <w:lang w:val="vi-VN"/>
              </w:rPr>
              <w:t xml:space="preserve"> Hệ số phân tách vô thứ nguyên</w:t>
            </w:r>
          </w:p>
        </w:tc>
      </w:tr>
      <w:tr w:rsidR="005B48A1" w:rsidRPr="00553202" w14:paraId="17B7F4AC" w14:textId="0CB33607" w:rsidTr="00A065F1">
        <w:tc>
          <w:tcPr>
            <w:tcW w:w="1560" w:type="dxa"/>
            <w:vAlign w:val="center"/>
          </w:tcPr>
          <w:p w14:paraId="3DCA8884" w14:textId="0BE3E3DB" w:rsidR="005B48A1" w:rsidRPr="00553202" w:rsidRDefault="005B48A1" w:rsidP="006D6286">
            <w:pPr>
              <w:ind w:firstLine="0"/>
              <w:contextualSpacing/>
              <w:rPr>
                <w:lang w:val="vi-VN"/>
              </w:rPr>
            </w:pPr>
            <w:r w:rsidRPr="00553202">
              <w:rPr>
                <w:lang w:val="vi-VN"/>
              </w:rPr>
              <w:t>Freundlich</w:t>
            </w:r>
          </w:p>
        </w:tc>
        <w:tc>
          <w:tcPr>
            <w:tcW w:w="2811" w:type="dxa"/>
          </w:tcPr>
          <w:p w14:paraId="1DE411BD" w14:textId="0CC19547" w:rsidR="005B48A1" w:rsidRPr="00553202" w:rsidRDefault="005B48A1" w:rsidP="00A065F1">
            <w:pPr>
              <w:ind w:firstLine="0"/>
              <w:contextualSpacing/>
              <w:jc w:val="both"/>
              <w:rPr>
                <w:lang w:val="vi-VN"/>
              </w:rPr>
            </w:pPr>
            <w:r w:rsidRPr="009E6960">
              <w:rPr>
                <w:lang w:val="vi-VN"/>
              </w:rPr>
              <w:t>Mô hình mô tả sự hấp phụ không lý tưởng và có thể đảo ngược, xảy ra trên bề mặt không đồng nhất với phân bố không đồng đều của các vị trí hấp phụ và ái lực khác nhau</w:t>
            </w:r>
            <w:r w:rsidR="002231B1" w:rsidRPr="009E6960">
              <w:rPr>
                <w:lang w:val="vi-VN"/>
              </w:rPr>
              <w:t>.</w:t>
            </w:r>
          </w:p>
        </w:tc>
        <w:tc>
          <w:tcPr>
            <w:tcW w:w="2192" w:type="dxa"/>
            <w:vAlign w:val="center"/>
          </w:tcPr>
          <w:p w14:paraId="518934B5" w14:textId="3E5F5F2A" w:rsidR="005B48A1" w:rsidRPr="0033768F" w:rsidRDefault="00CF0C31" w:rsidP="0033768F">
            <w:pPr>
              <w:spacing w:before="240"/>
              <w:jc w:val="center"/>
            </w:pPr>
            <m:oMathPara>
              <m:oMathParaPr>
                <m:jc m:val="center"/>
              </m:oMathParaP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sSubSup>
                  <m:sSubSupPr>
                    <m:ctrlPr>
                      <w:rPr>
                        <w:rFonts w:ascii="Cambria Math" w:hAnsi="Cambria Math"/>
                        <w:i/>
                      </w:rPr>
                    </m:ctrlPr>
                  </m:sSubSupPr>
                  <m:e>
                    <m:r>
                      <w:rPr>
                        <w:rFonts w:ascii="Cambria Math" w:hAnsi="Cambria Math"/>
                      </w:rPr>
                      <m:t>C</m:t>
                    </m:r>
                  </m:e>
                  <m:sub>
                    <m:r>
                      <w:rPr>
                        <w:rFonts w:ascii="Cambria Math" w:hAnsi="Cambria Math"/>
                      </w:rPr>
                      <m:t>e</m:t>
                    </m:r>
                  </m:sub>
                  <m:sup>
                    <m:r>
                      <w:rPr>
                        <w:rFonts w:ascii="Cambria Math" w:hAnsi="Cambria Math"/>
                      </w:rPr>
                      <m:t>1</m:t>
                    </m:r>
                    <m:r>
                      <m:rPr>
                        <m:lit/>
                      </m:rPr>
                      <w:rPr>
                        <w:rFonts w:ascii="Cambria Math" w:hAnsi="Cambria Math"/>
                      </w:rPr>
                      <m:t>/</m:t>
                    </m:r>
                    <m:r>
                      <w:rPr>
                        <w:rFonts w:ascii="Cambria Math" w:hAnsi="Cambria Math"/>
                      </w:rPr>
                      <m:t>n</m:t>
                    </m:r>
                  </m:sup>
                </m:sSubSup>
              </m:oMath>
            </m:oMathPara>
          </w:p>
        </w:tc>
        <w:tc>
          <w:tcPr>
            <w:tcW w:w="2585" w:type="dxa"/>
          </w:tcPr>
          <w:p w14:paraId="50430AE1" w14:textId="4A291320" w:rsidR="00E44DEA" w:rsidRPr="009E3D3E" w:rsidRDefault="009D4AEA" w:rsidP="00A065F1">
            <w:pPr>
              <w:ind w:firstLine="0"/>
              <w:rPr>
                <w:rFonts w:eastAsia="Times New Roman" w:cs="Times New Roman"/>
              </w:rPr>
            </w:pPr>
            <w:r>
              <w:t>-</w:t>
            </w:r>
            <m:oMath>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k</m:t>
                  </m:r>
                </m:e>
                <m:sub>
                  <m:r>
                    <w:rPr>
                      <w:rFonts w:ascii="Cambria Math" w:eastAsia="Times New Roman" w:hAnsi="Cambria Math" w:cs="Times New Roman"/>
                    </w:rPr>
                    <m:t>F</m:t>
                  </m:r>
                </m:sub>
              </m:sSub>
            </m:oMath>
            <w:r w:rsidR="005B48A1" w:rsidRPr="009E3D3E">
              <w:rPr>
                <w:rFonts w:eastAsia="Times New Roman" w:cs="Times New Roman"/>
              </w:rPr>
              <w:t>: Hằng số Freundlich đặc trưng cho khả năng hấp phụ (</w:t>
            </w:r>
            <m:oMath>
              <m:d>
                <m:dPr>
                  <m:ctrlPr>
                    <w:rPr>
                      <w:rFonts w:ascii="Cambria Math" w:eastAsia="Times New Roman" w:hAnsi="Cambria Math" w:cs="Times New Roman"/>
                      <w:i/>
                    </w:rPr>
                  </m:ctrlPr>
                </m:dPr>
                <m:e>
                  <m:r>
                    <w:rPr>
                      <w:rFonts w:ascii="Cambria Math" w:eastAsia="Times New Roman" w:hAnsi="Cambria Math" w:cs="Times New Roman"/>
                    </w:rPr>
                    <m:t>mg</m:t>
                  </m:r>
                  <m:r>
                    <m:rPr>
                      <m:lit/>
                    </m:rPr>
                    <w:rPr>
                      <w:rFonts w:ascii="Cambria Math" w:eastAsia="Times New Roman" w:hAnsi="Cambria Math" w:cs="Times New Roman"/>
                    </w:rPr>
                    <m:t>/</m:t>
                  </m:r>
                  <m:r>
                    <w:rPr>
                      <w:rFonts w:ascii="Cambria Math" w:eastAsia="Times New Roman" w:hAnsi="Cambria Math" w:cs="Times New Roman"/>
                    </w:rPr>
                    <m:t>g</m:t>
                  </m:r>
                </m:e>
              </m:d>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r>
                        <w:rPr>
                          <w:rFonts w:ascii="Cambria Math" w:eastAsia="Times New Roman" w:hAnsi="Cambria Math" w:cs="Times New Roman"/>
                        </w:rPr>
                        <m:t>L</m:t>
                      </m:r>
                      <m:r>
                        <m:rPr>
                          <m:lit/>
                        </m:rPr>
                        <w:rPr>
                          <w:rFonts w:ascii="Cambria Math" w:eastAsia="Times New Roman" w:hAnsi="Cambria Math" w:cs="Times New Roman"/>
                        </w:rPr>
                        <m:t>/</m:t>
                      </m:r>
                      <m:r>
                        <w:rPr>
                          <w:rFonts w:ascii="Cambria Math" w:eastAsia="Times New Roman" w:hAnsi="Cambria Math" w:cs="Times New Roman"/>
                        </w:rPr>
                        <m:t>mg</m:t>
                      </m:r>
                    </m:e>
                  </m:d>
                </m:e>
                <m:sup>
                  <m:r>
                    <w:rPr>
                      <w:rFonts w:ascii="Cambria Math" w:eastAsia="Times New Roman" w:hAnsi="Cambria Math" w:cs="Times New Roman"/>
                    </w:rPr>
                    <m:t>1</m:t>
                  </m:r>
                  <m:r>
                    <m:rPr>
                      <m:lit/>
                    </m:rPr>
                    <w:rPr>
                      <w:rFonts w:ascii="Cambria Math" w:eastAsia="Times New Roman" w:hAnsi="Cambria Math" w:cs="Times New Roman"/>
                    </w:rPr>
                    <m:t>/</m:t>
                  </m:r>
                  <m:r>
                    <w:rPr>
                      <w:rFonts w:ascii="Cambria Math" w:eastAsia="Times New Roman" w:hAnsi="Cambria Math" w:cs="Times New Roman"/>
                    </w:rPr>
                    <m:t>n</m:t>
                  </m:r>
                </m:sup>
              </m:sSup>
            </m:oMath>
            <w:r w:rsidR="005B48A1" w:rsidRPr="009E3D3E">
              <w:rPr>
                <w:rFonts w:eastAsia="Times New Roman" w:cs="Times New Roman"/>
              </w:rPr>
              <w:t>)</w:t>
            </w:r>
          </w:p>
          <w:p w14:paraId="04E6DE1F" w14:textId="4AF8CFA2" w:rsidR="005B48A1" w:rsidRPr="005B48A1" w:rsidRDefault="009D4AEA" w:rsidP="00A065F1">
            <w:pPr>
              <w:ind w:firstLine="0"/>
              <w:rPr>
                <w:rFonts w:eastAsia="Times New Roman" w:cs="Times New Roman"/>
              </w:rPr>
            </w:pPr>
            <w:r>
              <w:rPr>
                <w:rFonts w:eastAsia="Times New Roman" w:cs="Times New Roman"/>
              </w:rPr>
              <w:t>-</w:t>
            </w:r>
            <m:oMath>
              <m:r>
                <w:rPr>
                  <w:rFonts w:ascii="Cambria Math" w:eastAsia="Times New Roman" w:hAnsi="Cambria Math" w:cs="Times New Roman"/>
                </w:rPr>
                <m:t xml:space="preserve"> 1</m:t>
              </m:r>
              <m:r>
                <m:rPr>
                  <m:lit/>
                </m:rPr>
                <w:rPr>
                  <w:rFonts w:ascii="Cambria Math" w:eastAsia="Times New Roman" w:hAnsi="Cambria Math" w:cs="Times New Roman"/>
                </w:rPr>
                <m:t>/</m:t>
              </m:r>
              <m:r>
                <w:rPr>
                  <w:rFonts w:ascii="Cambria Math" w:eastAsia="Times New Roman" w:hAnsi="Cambria Math" w:cs="Times New Roman"/>
                </w:rPr>
                <m:t>n</m:t>
              </m:r>
            </m:oMath>
            <w:r w:rsidR="005B48A1" w:rsidRPr="00D14BD9">
              <w:rPr>
                <w:rFonts w:eastAsia="Times New Roman" w:cs="Times New Roman"/>
              </w:rPr>
              <w:t xml:space="preserve">: Cường độ hấp phụ hay yếu tố không đồng nhất (không thứ nguyên, thường </w:t>
            </w:r>
            <m:oMath>
              <m:r>
                <w:rPr>
                  <w:rFonts w:ascii="Cambria Math" w:eastAsia="Times New Roman" w:hAnsi="Cambria Math" w:cs="Times New Roman"/>
                </w:rPr>
                <m:t>0 &lt; 1</m:t>
              </m:r>
              <m:r>
                <m:rPr>
                  <m:lit/>
                </m:rPr>
                <w:rPr>
                  <w:rFonts w:ascii="Cambria Math" w:eastAsia="Times New Roman" w:hAnsi="Cambria Math" w:cs="Times New Roman"/>
                </w:rPr>
                <m:t>/</m:t>
              </m:r>
              <m:r>
                <w:rPr>
                  <w:rFonts w:ascii="Cambria Math" w:eastAsia="Times New Roman" w:hAnsi="Cambria Math" w:cs="Times New Roman"/>
                </w:rPr>
                <m:t>n &lt; 1</m:t>
              </m:r>
            </m:oMath>
            <w:r w:rsidR="005B48A1" w:rsidRPr="00D14BD9">
              <w:rPr>
                <w:rFonts w:eastAsia="Times New Roman" w:cs="Times New Roman"/>
              </w:rPr>
              <w:t>)</w:t>
            </w:r>
          </w:p>
        </w:tc>
      </w:tr>
      <w:tr w:rsidR="005B48A1" w:rsidRPr="00553202" w14:paraId="026E6BF2" w14:textId="0C5BE944" w:rsidTr="009E3D3E">
        <w:trPr>
          <w:trHeight w:val="2709"/>
        </w:trPr>
        <w:tc>
          <w:tcPr>
            <w:tcW w:w="1560" w:type="dxa"/>
            <w:vAlign w:val="center"/>
          </w:tcPr>
          <w:p w14:paraId="7C434F30" w14:textId="77777777" w:rsidR="005B48A1" w:rsidRPr="00553202" w:rsidRDefault="005B48A1" w:rsidP="006D6286">
            <w:pPr>
              <w:ind w:firstLine="0"/>
              <w:contextualSpacing/>
              <w:rPr>
                <w:lang w:val="vi-VN"/>
              </w:rPr>
            </w:pPr>
            <w:r w:rsidRPr="00553202">
              <w:rPr>
                <w:lang w:val="vi-VN"/>
              </w:rPr>
              <w:t>Redlich-Peterson</w:t>
            </w:r>
          </w:p>
        </w:tc>
        <w:tc>
          <w:tcPr>
            <w:tcW w:w="2811" w:type="dxa"/>
          </w:tcPr>
          <w:p w14:paraId="3D41DAC0" w14:textId="0651DFD4" w:rsidR="005B48A1" w:rsidRPr="00553202" w:rsidRDefault="005B48A1" w:rsidP="00A065F1">
            <w:pPr>
              <w:ind w:firstLine="0"/>
              <w:contextualSpacing/>
              <w:jc w:val="both"/>
              <w:rPr>
                <w:lang w:val="vi-VN"/>
              </w:rPr>
            </w:pPr>
            <w:r w:rsidRPr="009E6960">
              <w:rPr>
                <w:lang w:val="vi-VN"/>
              </w:rPr>
              <w:t>Kết hợp đặc điểm của cả mô hình Langmuir và Freundlich và áp dụng cho hệ hấp phụ đồng nhất hoặc không đồng nhất.</w:t>
            </w:r>
          </w:p>
        </w:tc>
        <w:tc>
          <w:tcPr>
            <w:tcW w:w="2192" w:type="dxa"/>
            <w:vAlign w:val="center"/>
          </w:tcPr>
          <w:p w14:paraId="14BCB865" w14:textId="68A76F0D" w:rsidR="005B48A1" w:rsidRPr="00DA323F" w:rsidRDefault="00CF0C31" w:rsidP="0033768F">
            <w:pPr>
              <w:spacing w:before="240"/>
            </w:pPr>
            <m:oMathPara>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K</m:t>
                        </m:r>
                      </m:e>
                      <m:sub>
                        <m:r>
                          <w:rPr>
                            <w:rFonts w:ascii="Cambria Math" w:hAnsi="Cambria Math"/>
                          </w:rPr>
                          <m:t>R</m:t>
                        </m:r>
                      </m:sub>
                    </m:sSub>
                    <m:sSub>
                      <m:sSubPr>
                        <m:ctrlPr>
                          <w:rPr>
                            <w:rFonts w:ascii="Cambria Math" w:hAnsi="Cambria Math"/>
                            <w:i/>
                          </w:rPr>
                        </m:ctrlPr>
                      </m:sSubPr>
                      <m:e>
                        <m:r>
                          <w:rPr>
                            <w:rFonts w:ascii="Cambria Math" w:hAnsi="Cambria Math"/>
                          </w:rPr>
                          <m:t>C</m:t>
                        </m:r>
                      </m:e>
                      <m:sub>
                        <m:r>
                          <w:rPr>
                            <w:rFonts w:ascii="Cambria Math" w:hAnsi="Cambria Math"/>
                          </w:rPr>
                          <m:t>e</m:t>
                        </m:r>
                      </m:sub>
                    </m:sSub>
                    <m:ctrlPr>
                      <w:rPr>
                        <w:rFonts w:ascii="Cambria Math" w:hAnsi="Cambria Math"/>
                        <w:i/>
                      </w:rPr>
                    </m:ctrlPr>
                  </m:num>
                  <m:den>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R</m:t>
                        </m:r>
                      </m:sub>
                    </m:sSub>
                    <m:sSubSup>
                      <m:sSubSupPr>
                        <m:ctrlPr>
                          <w:rPr>
                            <w:rFonts w:ascii="Cambria Math" w:hAnsi="Cambria Math"/>
                            <w:i/>
                          </w:rPr>
                        </m:ctrlPr>
                      </m:sSubSupPr>
                      <m:e>
                        <m:r>
                          <w:rPr>
                            <w:rFonts w:ascii="Cambria Math" w:hAnsi="Cambria Math"/>
                          </w:rPr>
                          <m:t>C</m:t>
                        </m:r>
                      </m:e>
                      <m:sub>
                        <m:r>
                          <w:rPr>
                            <w:rFonts w:ascii="Cambria Math" w:hAnsi="Cambria Math"/>
                          </w:rPr>
                          <m:t>e</m:t>
                        </m:r>
                      </m:sub>
                      <m:sup>
                        <m:r>
                          <w:rPr>
                            <w:rFonts w:ascii="Cambria Math" w:hAnsi="Cambria Math"/>
                          </w:rPr>
                          <m:t>g</m:t>
                        </m:r>
                      </m:sup>
                    </m:sSubSup>
                    <m:ctrlPr>
                      <w:rPr>
                        <w:rFonts w:ascii="Cambria Math" w:hAnsi="Cambria Math"/>
                        <w:i/>
                      </w:rPr>
                    </m:ctrlPr>
                  </m:den>
                </m:f>
              </m:oMath>
            </m:oMathPara>
          </w:p>
          <w:p w14:paraId="2271CA66" w14:textId="33D886EB" w:rsidR="005B48A1" w:rsidRPr="00553202" w:rsidRDefault="005B48A1" w:rsidP="00D94AFD">
            <w:pPr>
              <w:contextualSpacing/>
              <w:rPr>
                <w:lang w:val="vi-VN"/>
              </w:rPr>
            </w:pPr>
          </w:p>
        </w:tc>
        <w:tc>
          <w:tcPr>
            <w:tcW w:w="2585" w:type="dxa"/>
            <w:vAlign w:val="center"/>
          </w:tcPr>
          <w:p w14:paraId="78A8387F" w14:textId="2798ACA6" w:rsidR="005B48A1" w:rsidRPr="005B48A1" w:rsidRDefault="009E3D3E" w:rsidP="009E3D3E">
            <w:pPr>
              <w:spacing w:before="100" w:beforeAutospacing="1" w:after="100" w:afterAutospacing="1" w:line="240" w:lineRule="auto"/>
              <w:ind w:firstLine="0"/>
              <w:rPr>
                <w:rFonts w:eastAsia="Times New Roman" w:cs="Times New Roman"/>
                <w:sz w:val="24"/>
                <w:szCs w:val="24"/>
                <w:lang w:eastAsia="en-US"/>
              </w:rPr>
            </w:pPr>
            <w:r>
              <w:rPr>
                <w:rFonts w:eastAsia="Times New Roman" w:cs="Times New Roman"/>
                <w:sz w:val="24"/>
                <w:szCs w:val="24"/>
                <w:lang w:eastAsia="en-US"/>
              </w:rPr>
              <w:t>-</w:t>
            </w:r>
            <w:r w:rsidR="005B48A1" w:rsidRPr="001A3F01">
              <w:rPr>
                <w:rFonts w:eastAsia="Times New Roman" w:cs="Times New Roman"/>
                <w:sz w:val="24"/>
                <w:szCs w:val="24"/>
                <w:lang w:eastAsia="en-US"/>
              </w:rPr>
              <w:t xml:space="preserve"> </w:t>
            </w:r>
            <m:oMath>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K</m:t>
                  </m:r>
                </m:e>
                <m:sub>
                  <m:r>
                    <w:rPr>
                      <w:rFonts w:ascii="Cambria Math" w:eastAsia="Times New Roman" w:hAnsi="Cambria Math" w:cs="Times New Roman"/>
                      <w:sz w:val="24"/>
                      <w:szCs w:val="24"/>
                      <w:lang w:eastAsia="en-US"/>
                    </w:rPr>
                    <m:t>R</m:t>
                  </m:r>
                </m:sub>
              </m:sSub>
            </m:oMath>
            <w:r w:rsidR="005B48A1" w:rsidRPr="001A3F01">
              <w:rPr>
                <w:rFonts w:eastAsia="Times New Roman" w:cs="Times New Roman"/>
                <w:sz w:val="24"/>
                <w:szCs w:val="24"/>
                <w:lang w:eastAsia="en-US"/>
              </w:rPr>
              <w:t>: Hằng số Redlich-Peterson (L/g)</w:t>
            </w:r>
          </w:p>
          <w:p w14:paraId="395C0F48" w14:textId="224743D3" w:rsidR="005B48A1" w:rsidRPr="005B48A1" w:rsidRDefault="005B48A1" w:rsidP="009E3D3E">
            <w:pPr>
              <w:spacing w:before="100" w:beforeAutospacing="1" w:after="100" w:afterAutospacing="1" w:line="240" w:lineRule="auto"/>
              <w:ind w:firstLine="0"/>
              <w:rPr>
                <w:rFonts w:eastAsia="Times New Roman" w:cs="Times New Roman"/>
                <w:sz w:val="24"/>
                <w:szCs w:val="24"/>
                <w:lang w:eastAsia="en-US"/>
              </w:rPr>
            </w:pPr>
            <w:r w:rsidRPr="001A3F01">
              <w:rPr>
                <w:rFonts w:eastAsia="Times New Roman" w:cs="Times New Roman"/>
                <w:sz w:val="24"/>
                <w:szCs w:val="24"/>
                <w:lang w:eastAsia="en-US"/>
              </w:rPr>
              <w:t xml:space="preserve">- </w:t>
            </w:r>
            <m:oMath>
              <m:sSub>
                <m:sSubPr>
                  <m:ctrlPr>
                    <w:rPr>
                      <w:rFonts w:ascii="Cambria Math" w:eastAsia="Times New Roman" w:hAnsi="Cambria Math" w:cs="Times New Roman"/>
                      <w:i/>
                      <w:sz w:val="24"/>
                      <w:szCs w:val="24"/>
                      <w:lang w:eastAsia="en-US"/>
                    </w:rPr>
                  </m:ctrlPr>
                </m:sSubPr>
                <m:e>
                  <m:r>
                    <m:rPr>
                      <m:sty m:val="p"/>
                    </m:rPr>
                    <w:rPr>
                      <w:rFonts w:ascii="Cambria Math" w:eastAsia="Times New Roman" w:hAnsi="Cambria Math" w:cs="Times New Roman"/>
                      <w:sz w:val="24"/>
                      <w:szCs w:val="24"/>
                      <w:lang w:eastAsia="en-US"/>
                    </w:rPr>
                    <m:t>α</m:t>
                  </m:r>
                  <m:ctrlPr>
                    <w:rPr>
                      <w:rFonts w:ascii="Cambria Math" w:eastAsia="Times New Roman" w:hAnsi="Cambria Math" w:cs="Times New Roman"/>
                      <w:sz w:val="24"/>
                      <w:szCs w:val="24"/>
                      <w:lang w:eastAsia="en-US"/>
                    </w:rPr>
                  </m:ctrlPr>
                </m:e>
                <m:sub>
                  <m:r>
                    <w:rPr>
                      <w:rFonts w:ascii="Cambria Math" w:eastAsia="Times New Roman" w:hAnsi="Cambria Math" w:cs="Times New Roman"/>
                      <w:sz w:val="24"/>
                      <w:szCs w:val="24"/>
                      <w:lang w:eastAsia="en-US"/>
                    </w:rPr>
                    <m:t>R</m:t>
                  </m:r>
                </m:sub>
              </m:sSub>
            </m:oMath>
            <w:r w:rsidRPr="001A3F01">
              <w:rPr>
                <w:rFonts w:eastAsia="Times New Roman" w:cs="Times New Roman"/>
                <w:sz w:val="24"/>
                <w:szCs w:val="24"/>
                <w:lang w:eastAsia="en-US"/>
              </w:rPr>
              <w:t xml:space="preserve">: Hằng số Redlich-Peterson </w:t>
            </w:r>
            <m:oMath>
              <m:sSup>
                <m:sSupPr>
                  <m:ctrlPr>
                    <w:rPr>
                      <w:rFonts w:ascii="Cambria Math" w:eastAsia="Times New Roman" w:hAnsi="Cambria Math" w:cs="Times New Roman"/>
                      <w:i/>
                      <w:sz w:val="24"/>
                      <w:szCs w:val="24"/>
                      <w:lang w:eastAsia="en-US"/>
                    </w:rPr>
                  </m:ctrlPr>
                </m:sSupPr>
                <m:e>
                  <m:d>
                    <m:dPr>
                      <m:ctrlPr>
                        <w:rPr>
                          <w:rFonts w:ascii="Cambria Math" w:eastAsia="Times New Roman" w:hAnsi="Cambria Math" w:cs="Times New Roman"/>
                          <w:i/>
                          <w:sz w:val="24"/>
                          <w:szCs w:val="24"/>
                          <w:lang w:eastAsia="en-US"/>
                        </w:rPr>
                      </m:ctrlPr>
                    </m:dPr>
                    <m:e>
                      <m:r>
                        <w:rPr>
                          <w:rFonts w:ascii="Cambria Math" w:eastAsia="Times New Roman" w:hAnsi="Cambria Math" w:cs="Times New Roman"/>
                          <w:sz w:val="24"/>
                          <w:szCs w:val="24"/>
                          <w:lang w:eastAsia="en-US"/>
                        </w:rPr>
                        <m:t>L</m:t>
                      </m:r>
                      <m:r>
                        <m:rPr>
                          <m:lit/>
                        </m:rPr>
                        <w:rPr>
                          <w:rFonts w:ascii="Cambria Math" w:eastAsia="Times New Roman" w:hAnsi="Cambria Math" w:cs="Times New Roman"/>
                          <w:sz w:val="24"/>
                          <w:szCs w:val="24"/>
                          <w:lang w:eastAsia="en-US"/>
                        </w:rPr>
                        <m:t>/</m:t>
                      </m:r>
                      <m:r>
                        <w:rPr>
                          <w:rFonts w:ascii="Cambria Math" w:eastAsia="Times New Roman" w:hAnsi="Cambria Math" w:cs="Times New Roman"/>
                          <w:sz w:val="24"/>
                          <w:szCs w:val="24"/>
                          <w:lang w:eastAsia="en-US"/>
                        </w:rPr>
                        <m:t>mg</m:t>
                      </m:r>
                    </m:e>
                  </m:d>
                </m:e>
                <m:sup>
                  <m:r>
                    <w:rPr>
                      <w:rFonts w:ascii="Cambria Math" w:eastAsia="Times New Roman" w:hAnsi="Cambria Math" w:cs="Times New Roman"/>
                      <w:sz w:val="24"/>
                      <w:szCs w:val="24"/>
                      <w:lang w:eastAsia="en-US"/>
                    </w:rPr>
                    <m:t>g</m:t>
                  </m:r>
                </m:sup>
              </m:sSup>
            </m:oMath>
          </w:p>
          <w:p w14:paraId="70518E99" w14:textId="5E1B09EF" w:rsidR="005B48A1" w:rsidRPr="005B48A1" w:rsidRDefault="005B48A1" w:rsidP="009E3D3E">
            <w:pPr>
              <w:spacing w:before="100" w:beforeAutospacing="1" w:after="100" w:afterAutospacing="1" w:line="240" w:lineRule="auto"/>
              <w:ind w:firstLine="0"/>
              <w:rPr>
                <w:rFonts w:eastAsia="Times New Roman" w:cs="Times New Roman"/>
                <w:sz w:val="24"/>
                <w:szCs w:val="24"/>
                <w:lang w:eastAsia="en-US"/>
              </w:rPr>
            </w:pPr>
            <w:r w:rsidRPr="001A3F01">
              <w:rPr>
                <w:rFonts w:eastAsia="Times New Roman" w:cs="Times New Roman"/>
                <w:sz w:val="24"/>
                <w:szCs w:val="24"/>
                <w:lang w:eastAsia="en-US"/>
              </w:rPr>
              <w:t xml:space="preserve">- </w:t>
            </w:r>
            <m:oMath>
              <m:r>
                <w:rPr>
                  <w:rFonts w:ascii="Cambria Math" w:eastAsia="Times New Roman" w:hAnsi="Cambria Math" w:cs="Times New Roman"/>
                  <w:sz w:val="24"/>
                  <w:szCs w:val="24"/>
                  <w:lang w:eastAsia="en-US"/>
                </w:rPr>
                <m:t>g</m:t>
              </m:r>
            </m:oMath>
            <w:r w:rsidRPr="001A3F01">
              <w:rPr>
                <w:rFonts w:eastAsia="Times New Roman" w:cs="Times New Roman"/>
                <w:sz w:val="24"/>
                <w:szCs w:val="24"/>
                <w:lang w:eastAsia="en-US"/>
              </w:rPr>
              <w:t xml:space="preserve"> (hoặc </w:t>
            </w:r>
            <m:oMath>
              <m:r>
                <m:rPr>
                  <m:sty m:val="p"/>
                </m:rPr>
                <w:rPr>
                  <w:rFonts w:ascii="Cambria Math" w:eastAsia="Times New Roman" w:hAnsi="Cambria Math" w:cs="Times New Roman"/>
                  <w:sz w:val="24"/>
                  <w:szCs w:val="24"/>
                  <w:lang w:eastAsia="en-US"/>
                </w:rPr>
                <m:t>β</m:t>
              </m:r>
            </m:oMath>
            <w:r w:rsidRPr="001A3F01">
              <w:rPr>
                <w:rFonts w:eastAsia="Times New Roman" w:cs="Times New Roman"/>
                <w:sz w:val="24"/>
                <w:szCs w:val="24"/>
                <w:lang w:eastAsia="en-US"/>
              </w:rPr>
              <w:t>): Số mũ nằm trong khoảng từ 0 đến 1 (1 là Langmuir, 0 là Henry).</w:t>
            </w:r>
          </w:p>
        </w:tc>
      </w:tr>
    </w:tbl>
    <w:p w14:paraId="4221C790" w14:textId="77777777" w:rsidR="00665002" w:rsidRDefault="00665002" w:rsidP="007C1C95">
      <w:pPr>
        <w:spacing w:after="0"/>
        <w:ind w:firstLine="454"/>
        <w:jc w:val="both"/>
      </w:pPr>
    </w:p>
    <w:p w14:paraId="4DEEF4DB" w14:textId="77777777" w:rsidR="004758FD" w:rsidRDefault="004758FD">
      <w:pPr>
        <w:spacing w:after="160" w:line="278" w:lineRule="auto"/>
        <w:ind w:firstLine="0"/>
        <w:rPr>
          <w:rFonts w:eastAsiaTheme="majorEastAsia" w:cstheme="majorBidi"/>
          <w:b/>
          <w:szCs w:val="40"/>
        </w:rPr>
      </w:pPr>
      <w:r>
        <w:br w:type="page"/>
      </w:r>
    </w:p>
    <w:p w14:paraId="54019620" w14:textId="3B83E4D8" w:rsidR="0095277F" w:rsidRPr="00B71C02" w:rsidRDefault="0095277F" w:rsidP="00081D84">
      <w:pPr>
        <w:pStyle w:val="Heading1"/>
        <w:ind w:left="0" w:firstLine="0"/>
      </w:pPr>
      <w:bookmarkStart w:id="24" w:name="_Toc233142634"/>
      <w:r w:rsidRPr="00B71C02">
        <w:lastRenderedPageBreak/>
        <w:t xml:space="preserve">KẾT QUẢ VÀ </w:t>
      </w:r>
      <w:r w:rsidR="00A74643" w:rsidRPr="00B71C02">
        <w:t>THẢO LUẬN</w:t>
      </w:r>
      <w:bookmarkEnd w:id="24"/>
    </w:p>
    <w:p w14:paraId="786D41BA" w14:textId="7DC5565B" w:rsidR="000A2002" w:rsidRDefault="004F1BC0" w:rsidP="00001B6D">
      <w:pPr>
        <w:pStyle w:val="Heading2"/>
        <w:ind w:right="-143"/>
        <w:jc w:val="both"/>
      </w:pPr>
      <w:bookmarkStart w:id="25" w:name="_Toc233142635"/>
      <w:r>
        <w:t>Đánh giá và</w:t>
      </w:r>
      <w:r w:rsidR="00221668" w:rsidRPr="00441BC1">
        <w:t xml:space="preserve"> </w:t>
      </w:r>
      <w:r w:rsidR="00A74643" w:rsidRPr="00441BC1">
        <w:t>p</w:t>
      </w:r>
      <w:r w:rsidR="000A2002" w:rsidRPr="00441BC1">
        <w:t>hân tích đặc tính cấu trúc</w:t>
      </w:r>
      <w:r w:rsidR="00DB75CC" w:rsidRPr="00441BC1">
        <w:t xml:space="preserve"> và tính chất từ</w:t>
      </w:r>
      <w:r w:rsidR="000A2002" w:rsidRPr="00441BC1">
        <w:t xml:space="preserve"> của vật liệu</w:t>
      </w:r>
      <w:bookmarkEnd w:id="25"/>
    </w:p>
    <w:p w14:paraId="366D0D13" w14:textId="01B7A8C3" w:rsidR="00FD0666" w:rsidRDefault="00FD0666" w:rsidP="00860ED1">
      <w:pPr>
        <w:ind w:firstLine="0"/>
        <w:jc w:val="center"/>
      </w:pPr>
    </w:p>
    <w:p w14:paraId="7A133042" w14:textId="266A1C9D" w:rsidR="00185ECF" w:rsidRDefault="001035E1" w:rsidP="008B611C">
      <w:pPr>
        <w:pStyle w:val="Heading2"/>
      </w:pPr>
      <w:bookmarkStart w:id="26" w:name="_Toc233142636"/>
      <w:r>
        <w:t>Kết quả khảo sát</w:t>
      </w:r>
      <w:r w:rsidR="00104A9A">
        <w:t xml:space="preserve"> kháng sinh Tetracycline bằng vật liệu</w:t>
      </w:r>
      <w:r w:rsidR="00B52C56">
        <w:t xml:space="preserve"> MGC/</w:t>
      </w:r>
      <w:r w:rsidR="00B52C56" w:rsidRPr="00326E18">
        <w:t>Fe</w:t>
      </w:r>
      <w:r w:rsidR="00B52C56" w:rsidRPr="00326E18">
        <w:rPr>
          <w:vertAlign w:val="subscript"/>
        </w:rPr>
        <w:t>3</w:t>
      </w:r>
      <w:r w:rsidR="00B52C56" w:rsidRPr="00326E18">
        <w:t>O</w:t>
      </w:r>
      <w:r w:rsidR="00B52C56" w:rsidRPr="00326E18">
        <w:rPr>
          <w:vertAlign w:val="subscript"/>
        </w:rPr>
        <w:t>4</w:t>
      </w:r>
      <w:bookmarkEnd w:id="26"/>
    </w:p>
    <w:p w14:paraId="5EBC960E" w14:textId="44B62061" w:rsidR="00516D30" w:rsidRDefault="00516D30" w:rsidP="00516D30">
      <w:pPr>
        <w:pStyle w:val="Heading3"/>
      </w:pPr>
      <w:bookmarkStart w:id="27" w:name="_Toc233142637"/>
      <w:r>
        <w:t>Đường chuẩn kháng sinh Tetracycline</w:t>
      </w:r>
      <w:bookmarkEnd w:id="27"/>
    </w:p>
    <w:p w14:paraId="56737D9E" w14:textId="75288A41" w:rsidR="00CA2043" w:rsidRDefault="00FA19E0" w:rsidP="004D4C22">
      <w:pPr>
        <w:ind w:firstLine="454"/>
        <w:jc w:val="both"/>
      </w:pPr>
      <w:r w:rsidRPr="00553202">
        <w:rPr>
          <w:lang w:val="vi-VN"/>
        </w:rPr>
        <w:t xml:space="preserve">Việc xây dựng đường chuẩn của dung dịch </w:t>
      </w:r>
      <w:r w:rsidR="004C44A6">
        <w:t>TC</w:t>
      </w:r>
      <w:r w:rsidRPr="00553202">
        <w:rPr>
          <w:lang w:val="vi-VN"/>
        </w:rPr>
        <w:t xml:space="preserve"> có vai trò quan trọng trong việc </w:t>
      </w:r>
      <w:r w:rsidRPr="00553202">
        <w:t>xác định mối quan hệ giữa độ hấp thụ quan</w:t>
      </w:r>
      <w:r w:rsidR="00E043D7">
        <w:t>g</w:t>
      </w:r>
      <w:r w:rsidRPr="00553202">
        <w:t xml:space="preserve"> và nồng độ chất cần phân tích. Trong thí nghiệm hấp phụ, đường chuẩn </w:t>
      </w:r>
      <w:r w:rsidR="00871C6F">
        <w:t>được sử dụng làm cơ sở chung, giúp tính toán</w:t>
      </w:r>
      <w:r w:rsidRPr="00553202">
        <w:t xml:space="preserve"> nồng độ dung</w:t>
      </w:r>
      <w:r w:rsidRPr="00553202">
        <w:rPr>
          <w:lang w:val="vi-VN"/>
        </w:rPr>
        <w:t xml:space="preserve"> dịch </w:t>
      </w:r>
      <w:r w:rsidRPr="00553202">
        <w:t>sau khi hấp phụ, từ đó xác định dung</w:t>
      </w:r>
      <w:r w:rsidRPr="00553202">
        <w:rPr>
          <w:lang w:val="vi-VN"/>
        </w:rPr>
        <w:t xml:space="preserve"> </w:t>
      </w:r>
      <w:r w:rsidRPr="00553202">
        <w:t xml:space="preserve">lượng chất bị hấp phụ và </w:t>
      </w:r>
      <w:r w:rsidRPr="008C670B">
        <w:t>hiệu suất hấp phụ.</w:t>
      </w:r>
    </w:p>
    <w:p w14:paraId="1A050F85" w14:textId="230FC26B" w:rsidR="0087043D" w:rsidRPr="00884BB2" w:rsidRDefault="00FA19E0" w:rsidP="004D4C22">
      <w:pPr>
        <w:ind w:firstLine="454"/>
        <w:jc w:val="both"/>
        <w:rPr>
          <w:lang w:val="vi-VN"/>
        </w:rPr>
      </w:pPr>
      <w:r w:rsidRPr="00553202">
        <w:rPr>
          <w:lang w:val="vi-VN"/>
        </w:rPr>
        <w:t>Từ dung dịch</w:t>
      </w:r>
      <w:r w:rsidR="00CA2043">
        <w:t xml:space="preserve"> kháng sinh</w:t>
      </w:r>
      <w:r w:rsidRPr="00553202">
        <w:rPr>
          <w:lang w:val="vi-VN"/>
        </w:rPr>
        <w:t xml:space="preserve"> </w:t>
      </w:r>
      <w:r>
        <w:t>TC</w:t>
      </w:r>
      <w:r w:rsidRPr="00553202">
        <w:rPr>
          <w:lang w:val="vi-VN"/>
        </w:rPr>
        <w:t xml:space="preserve"> gốc </w:t>
      </w:r>
      <w:r>
        <w:t>300</w:t>
      </w:r>
      <w:r w:rsidRPr="00553202">
        <w:rPr>
          <w:lang w:val="vi-VN"/>
        </w:rPr>
        <w:t xml:space="preserve"> ppm, ta pha loãng dung</w:t>
      </w:r>
      <w:r w:rsidR="00CA2043">
        <w:t xml:space="preserve"> dịch xuống </w:t>
      </w:r>
      <w:r w:rsidRPr="00553202">
        <w:rPr>
          <w:lang w:val="vi-VN"/>
        </w:rPr>
        <w:t xml:space="preserve">các mức nồng độ lần lượt là </w:t>
      </w:r>
      <w:r>
        <w:t>2</w:t>
      </w:r>
      <w:r w:rsidRPr="00553202">
        <w:rPr>
          <w:lang w:val="vi-VN"/>
        </w:rPr>
        <w:t>;</w:t>
      </w:r>
      <w:r w:rsidRPr="00553202">
        <w:t xml:space="preserve"> </w:t>
      </w:r>
      <w:r>
        <w:t>4</w:t>
      </w:r>
      <w:r w:rsidRPr="00553202">
        <w:rPr>
          <w:lang w:val="vi-VN"/>
        </w:rPr>
        <w:t>;</w:t>
      </w:r>
      <w:r w:rsidRPr="00553202">
        <w:t xml:space="preserve"> </w:t>
      </w:r>
      <w:r>
        <w:t>6</w:t>
      </w:r>
      <w:r w:rsidRPr="00553202">
        <w:rPr>
          <w:lang w:val="vi-VN"/>
        </w:rPr>
        <w:t xml:space="preserve">; </w:t>
      </w:r>
      <w:r>
        <w:t>8</w:t>
      </w:r>
      <w:r w:rsidRPr="00553202">
        <w:rPr>
          <w:lang w:val="vi-VN"/>
        </w:rPr>
        <w:t xml:space="preserve">; </w:t>
      </w:r>
      <w:r w:rsidRPr="00553202">
        <w:t>10</w:t>
      </w:r>
      <w:r>
        <w:t xml:space="preserve">; 20; 30; </w:t>
      </w:r>
      <w:r w:rsidR="009A6D62">
        <w:t>40; 50</w:t>
      </w:r>
      <w:r w:rsidRPr="00553202">
        <w:t xml:space="preserve"> ppm</w:t>
      </w:r>
      <w:r w:rsidR="009A6D62">
        <w:t xml:space="preserve"> bằng bình định mức để </w:t>
      </w:r>
      <w:r w:rsidR="006E6B7F">
        <w:t>giảm sai số</w:t>
      </w:r>
      <w:r w:rsidRPr="00553202">
        <w:rPr>
          <w:lang w:val="vi-VN"/>
        </w:rPr>
        <w:t>.</w:t>
      </w:r>
      <w:r w:rsidRPr="00553202">
        <w:rPr>
          <w:rFonts w:ascii="Josefin Sans" w:eastAsia="League Spartan" w:hAnsi="Josefin Sans" w:cs="League Spartan"/>
          <w:color w:val="0E2841" w:themeColor="dark2"/>
          <w:sz w:val="34"/>
          <w:szCs w:val="34"/>
        </w:rPr>
        <w:t xml:space="preserve"> </w:t>
      </w:r>
      <w:r w:rsidR="006E6B7F">
        <w:t xml:space="preserve">Bước sóng hấp thụ UV của mỗi </w:t>
      </w:r>
      <w:r w:rsidR="009255BB">
        <w:t>nồng độ</w:t>
      </w:r>
      <w:r w:rsidR="006E6B7F">
        <w:t xml:space="preserve"> sau đó được ghi lại</w:t>
      </w:r>
      <w:r w:rsidR="009255BB">
        <w:t xml:space="preserve"> </w:t>
      </w:r>
      <w:r w:rsidR="003C6480">
        <w:t>giá trị tại đỉnh hấp thụ 358 nm</w:t>
      </w:r>
      <w:r w:rsidR="006E6B7F">
        <w:t xml:space="preserve"> để xây dựng </w:t>
      </w:r>
      <w:r w:rsidR="008F11A3">
        <w:t xml:space="preserve">đường chuẩn với tác dụng </w:t>
      </w:r>
      <w:r w:rsidR="00884BB2">
        <w:t>làm</w:t>
      </w:r>
      <w:r w:rsidR="008F11A3">
        <w:t xml:space="preserve"> tham chiếu so sánh các nồng độ kháng sinh </w:t>
      </w:r>
      <w:r w:rsidR="00884BB2">
        <w:t xml:space="preserve">trong </w:t>
      </w:r>
      <w:r w:rsidR="003F5715">
        <w:t xml:space="preserve">các </w:t>
      </w:r>
      <w:r w:rsidR="00884BB2">
        <w:t>thí nghiệm</w:t>
      </w:r>
      <w:r w:rsidR="003F5715">
        <w:t xml:space="preserve"> hấp phụ </w:t>
      </w:r>
      <w:r w:rsidR="003C6480">
        <w:t>của đồ án này.</w:t>
      </w:r>
    </w:p>
    <w:p w14:paraId="66925210" w14:textId="65636966" w:rsidR="00961397" w:rsidRDefault="00F25AF1" w:rsidP="0091259E">
      <w:pPr>
        <w:keepNext/>
        <w:ind w:firstLine="0"/>
        <w:jc w:val="center"/>
      </w:pPr>
      <w:r w:rsidRPr="00F25AF1">
        <w:rPr>
          <w:noProof/>
          <w:lang w:eastAsia="en-US"/>
        </w:rPr>
        <w:drawing>
          <wp:inline distT="0" distB="0" distL="0" distR="0" wp14:anchorId="31CF6A10" wp14:editId="0D8CCA2A">
            <wp:extent cx="3600000" cy="2923758"/>
            <wp:effectExtent l="0" t="0" r="0" b="0"/>
            <wp:docPr id="888287824" name="Picture 8">
              <a:extLst xmlns:a="http://schemas.openxmlformats.org/drawingml/2006/main">
                <a:ext uri="{FF2B5EF4-FFF2-40B4-BE49-F238E27FC236}">
                  <a16:creationId xmlns:a16="http://schemas.microsoft.com/office/drawing/2014/main" id="{4166AC26-A0CE-C508-C094-EB63BE847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166AC26-A0CE-C508-C094-EB63BE847245}"/>
                        </a:ext>
                      </a:extLst>
                    </pic:cNvPr>
                    <pic:cNvPicPr>
                      <a:picLocks noChangeAspect="1"/>
                    </pic:cNvPicPr>
                  </pic:nvPicPr>
                  <pic:blipFill>
                    <a:blip r:embed="rId11">
                      <a:extLst>
                        <a:ext uri="{28A0092B-C50C-407E-A947-70E740481C1C}">
                          <a14:useLocalDpi xmlns:a14="http://schemas.microsoft.com/office/drawing/2010/main" val="0"/>
                        </a:ext>
                      </a:extLst>
                    </a:blip>
                    <a:srcRect l="8624" t="10484" r="12248" b="5450"/>
                    <a:stretch>
                      <a:fillRect/>
                    </a:stretch>
                  </pic:blipFill>
                  <pic:spPr bwMode="auto">
                    <a:xfrm>
                      <a:off x="0" y="0"/>
                      <a:ext cx="3600000" cy="2923758"/>
                    </a:xfrm>
                    <a:prstGeom prst="rect">
                      <a:avLst/>
                    </a:prstGeom>
                    <a:noFill/>
                    <a:ln>
                      <a:noFill/>
                    </a:ln>
                  </pic:spPr>
                </pic:pic>
              </a:graphicData>
            </a:graphic>
          </wp:inline>
        </w:drawing>
      </w:r>
    </w:p>
    <w:p w14:paraId="06087F0A" w14:textId="6CC50795" w:rsidR="001A4EB9" w:rsidRDefault="00961397" w:rsidP="0091259E">
      <w:pPr>
        <w:pStyle w:val="Caption"/>
        <w:ind w:firstLine="0"/>
      </w:pPr>
      <w:bookmarkStart w:id="28" w:name="_Toc218054542"/>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8</w:t>
        </w:r>
      </w:fldSimple>
      <w:r w:rsidRPr="00AD268B">
        <w:t>. Đường chuẩn kháng sinh TC</w:t>
      </w:r>
      <w:r w:rsidR="00E42DC2">
        <w:t>.</w:t>
      </w:r>
      <w:bookmarkEnd w:id="28"/>
    </w:p>
    <w:p w14:paraId="7FA12FEB" w14:textId="6EAD32EF" w:rsidR="00884BB2" w:rsidRDefault="00884BB2" w:rsidP="0002479D">
      <w:pPr>
        <w:spacing w:before="240"/>
        <w:jc w:val="both"/>
      </w:pPr>
      <w:r>
        <w:t>Đường chuẩn kháng sinh TC đ</w:t>
      </w:r>
      <w:r w:rsidR="001A4EB9">
        <w:t xml:space="preserve">ược </w:t>
      </w:r>
      <w:r w:rsidR="00E424E8">
        <w:t xml:space="preserve">thể hiện qua </w:t>
      </w:r>
      <w:r w:rsidR="00F04739">
        <w:t>Hình</w:t>
      </w:r>
      <w:r w:rsidR="003B01E2">
        <w:t xml:space="preserve"> 3.</w:t>
      </w:r>
      <w:r w:rsidR="00EA66C7">
        <w:t>8</w:t>
      </w:r>
      <w:r w:rsidR="00E424E8">
        <w:t xml:space="preserve">. </w:t>
      </w:r>
      <w:r w:rsidR="0078407D">
        <w:t>Phương trình đường chuẩn có dạng tuyến tính y = 0</w:t>
      </w:r>
      <w:r w:rsidR="00676F5F">
        <w:t>,</w:t>
      </w:r>
      <w:r w:rsidR="0078407D">
        <w:t>0297x</w:t>
      </w:r>
      <w:r w:rsidR="009E4116">
        <w:t>;</w:t>
      </w:r>
      <w:r w:rsidR="0078407D">
        <w:t xml:space="preserve"> với</w:t>
      </w:r>
      <w:r w:rsidR="00E325DA">
        <w:t xml:space="preserve"> y là độ hấp thụ </w:t>
      </w:r>
      <w:r w:rsidR="000D44B9">
        <w:t>của dung dịch và x là mức nồng độ.</w:t>
      </w:r>
      <w:r w:rsidR="0078407D">
        <w:t xml:space="preserve"> </w:t>
      </w:r>
      <w:r w:rsidR="000D44B9">
        <w:t xml:space="preserve">Phương trình </w:t>
      </w:r>
      <w:r w:rsidR="009E4116">
        <w:t xml:space="preserve">có </w:t>
      </w:r>
      <w:r w:rsidR="0078407D">
        <w:t>hệ số R</w:t>
      </w:r>
      <w:r w:rsidR="00E325DA">
        <w:rPr>
          <w:vertAlign w:val="superscript"/>
        </w:rPr>
        <w:t>2</w:t>
      </w:r>
      <w:r w:rsidR="0078407D">
        <w:t xml:space="preserve"> = 0</w:t>
      </w:r>
      <w:r w:rsidR="00676F5F">
        <w:t>,</w:t>
      </w:r>
      <w:r w:rsidR="0078407D">
        <w:t>9999</w:t>
      </w:r>
      <w:r w:rsidR="000D44B9">
        <w:t>8 cho thấy độ chính xác cao, đủ điều kiện để sử dụng làm dữ liệu tham chiếu.</w:t>
      </w:r>
    </w:p>
    <w:p w14:paraId="21CC4EF2" w14:textId="7E9C750F" w:rsidR="00884BB2" w:rsidRPr="00884BB2" w:rsidRDefault="00884BB2" w:rsidP="00884BB2">
      <w:pPr>
        <w:pStyle w:val="Heading3"/>
      </w:pPr>
      <w:bookmarkStart w:id="29" w:name="_Toc233142638"/>
      <w:r w:rsidRPr="00884BB2">
        <w:lastRenderedPageBreak/>
        <w:t>K</w:t>
      </w:r>
      <w:r w:rsidR="00EA4C4F">
        <w:t>ết quả k</w:t>
      </w:r>
      <w:r w:rsidRPr="00884BB2">
        <w:t>hảo sát</w:t>
      </w:r>
      <w:r w:rsidR="00EA4C4F">
        <w:t xml:space="preserve"> tổng quan khả năng</w:t>
      </w:r>
      <w:r w:rsidRPr="00884BB2">
        <w:t xml:space="preserve"> hấp phụ </w:t>
      </w:r>
      <w:r w:rsidR="00326E18">
        <w:t xml:space="preserve">TC của </w:t>
      </w:r>
      <w:r w:rsidR="00B52C56">
        <w:t>từng vật liệu</w:t>
      </w:r>
      <w:bookmarkEnd w:id="29"/>
    </w:p>
    <w:p w14:paraId="45060F86" w14:textId="44EBD6AE" w:rsidR="009E27AB" w:rsidRDefault="00B16955" w:rsidP="00575518">
      <w:pPr>
        <w:ind w:firstLine="454"/>
        <w:jc w:val="both"/>
      </w:pPr>
      <w:r>
        <w:t xml:space="preserve">Kết quả khảo sát </w:t>
      </w:r>
      <w:r w:rsidR="00D7667D">
        <w:t xml:space="preserve">hiệu suất hấp phụ </w:t>
      </w:r>
      <w:r>
        <w:t>kháng sinh Tetra</w:t>
      </w:r>
      <w:r w:rsidR="00C90B89">
        <w:t xml:space="preserve">cycline </w:t>
      </w:r>
      <w:r w:rsidR="00575518">
        <w:t xml:space="preserve">tại </w:t>
      </w:r>
      <w:r w:rsidR="006E21E2">
        <w:t>nồng độ 20</w:t>
      </w:r>
      <w:r w:rsidR="0095019D">
        <w:t xml:space="preserve"> </w:t>
      </w:r>
      <w:r w:rsidR="006E21E2">
        <w:t xml:space="preserve">ppm </w:t>
      </w:r>
      <w:r w:rsidR="00575518">
        <w:t>với 0,05 g</w:t>
      </w:r>
      <w:r w:rsidR="007547B9">
        <w:t xml:space="preserve"> </w:t>
      </w:r>
      <w:r w:rsidR="00C90B89">
        <w:t xml:space="preserve">vật liệu </w:t>
      </w:r>
      <w:bookmarkStart w:id="30" w:name="_Hlk215741843"/>
      <w:r w:rsidR="00C90B89">
        <w:t xml:space="preserve">than </w:t>
      </w:r>
      <w:r w:rsidR="005475B8">
        <w:t>M</w:t>
      </w:r>
      <w:r w:rsidR="003C6E6D">
        <w:t>GC</w:t>
      </w:r>
      <w:r w:rsidR="005475B8">
        <w:t>, Fe</w:t>
      </w:r>
      <w:r w:rsidR="005475B8">
        <w:rPr>
          <w:vertAlign w:val="subscript"/>
        </w:rPr>
        <w:t>3</w:t>
      </w:r>
      <w:r w:rsidR="005475B8">
        <w:t>O</w:t>
      </w:r>
      <w:r w:rsidR="005475B8">
        <w:rPr>
          <w:vertAlign w:val="subscript"/>
        </w:rPr>
        <w:t>4</w:t>
      </w:r>
      <w:r w:rsidR="005475B8">
        <w:t xml:space="preserve"> và composite </w:t>
      </w:r>
      <w:bookmarkEnd w:id="30"/>
      <w:r w:rsidR="00C863C5">
        <w:rPr>
          <w:color w:val="000000" w:themeColor="text1"/>
        </w:rPr>
        <w:t>MGC/Fe</w:t>
      </w:r>
      <w:r w:rsidR="00C863C5">
        <w:rPr>
          <w:color w:val="000000" w:themeColor="text1"/>
          <w:vertAlign w:val="subscript"/>
        </w:rPr>
        <w:t>3</w:t>
      </w:r>
      <w:r w:rsidR="00C863C5">
        <w:rPr>
          <w:color w:val="000000" w:themeColor="text1"/>
        </w:rPr>
        <w:t>O</w:t>
      </w:r>
      <w:r w:rsidR="00C863C5">
        <w:rPr>
          <w:color w:val="000000" w:themeColor="text1"/>
          <w:vertAlign w:val="subscript"/>
        </w:rPr>
        <w:t>4</w:t>
      </w:r>
      <w:r w:rsidR="009E27AB">
        <w:t xml:space="preserve"> </w:t>
      </w:r>
      <w:r w:rsidR="00575518">
        <w:t xml:space="preserve">trong thời gian 1 giờ </w:t>
      </w:r>
      <w:r w:rsidR="009E27AB">
        <w:t xml:space="preserve">được thể hiện qua biểu đồ </w:t>
      </w:r>
      <w:r w:rsidR="00F04739">
        <w:t>Hình</w:t>
      </w:r>
      <w:r w:rsidR="00C863C5">
        <w:t xml:space="preserve"> </w:t>
      </w:r>
      <w:r w:rsidR="003B01E2">
        <w:t>3.</w:t>
      </w:r>
      <w:r w:rsidR="006D3F0E">
        <w:t>9</w:t>
      </w:r>
      <w:r w:rsidR="009E27AB">
        <w:t>.</w:t>
      </w:r>
    </w:p>
    <w:p w14:paraId="5D07A840" w14:textId="14863AB4" w:rsidR="007B0977" w:rsidRDefault="00861575" w:rsidP="00861575">
      <w:pPr>
        <w:keepNext/>
        <w:ind w:firstLine="0"/>
        <w:jc w:val="center"/>
      </w:pPr>
      <w:r w:rsidRPr="00861575">
        <w:rPr>
          <w:noProof/>
          <w:lang w:eastAsia="en-US"/>
        </w:rPr>
        <w:drawing>
          <wp:inline distT="0" distB="0" distL="0" distR="0" wp14:anchorId="7C86BFD6" wp14:editId="6186B56B">
            <wp:extent cx="3240000" cy="2537780"/>
            <wp:effectExtent l="0" t="0" r="0" b="0"/>
            <wp:docPr id="888287813" name="Picture 88828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0000" cy="2537780"/>
                    </a:xfrm>
                    <a:prstGeom prst="rect">
                      <a:avLst/>
                    </a:prstGeom>
                  </pic:spPr>
                </pic:pic>
              </a:graphicData>
            </a:graphic>
          </wp:inline>
        </w:drawing>
      </w:r>
    </w:p>
    <w:p w14:paraId="59CD2A4A" w14:textId="3AF04B92" w:rsidR="006F2456" w:rsidRDefault="007B0977" w:rsidP="000D3E6D">
      <w:pPr>
        <w:pStyle w:val="Caption"/>
        <w:ind w:firstLine="0"/>
      </w:pPr>
      <w:bookmarkStart w:id="31" w:name="_Toc218054543"/>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9</w:t>
        </w:r>
      </w:fldSimple>
      <w:r w:rsidRPr="00AB62A3">
        <w:t>. Hiệu suất hấp phụ của vật liệu than M</w:t>
      </w:r>
      <w:r w:rsidR="003C6E6D">
        <w:t>GC</w:t>
      </w:r>
      <w:r w:rsidRPr="00AB62A3">
        <w:t>, Fe</w:t>
      </w:r>
      <w:r w:rsidR="00BB4D16">
        <w:rPr>
          <w:vertAlign w:val="subscript"/>
        </w:rPr>
        <w:t>3</w:t>
      </w:r>
      <w:r w:rsidR="00BB4D16">
        <w:t>O</w:t>
      </w:r>
      <w:r w:rsidR="00BB4D16">
        <w:rPr>
          <w:vertAlign w:val="subscript"/>
        </w:rPr>
        <w:t>4</w:t>
      </w:r>
      <w:r w:rsidRPr="00AB62A3">
        <w:t xml:space="preserve"> và </w:t>
      </w:r>
      <w:r w:rsidR="0032518D">
        <w:t>MGC/</w:t>
      </w:r>
      <w:r w:rsidR="00BB4D16" w:rsidRPr="00AB62A3">
        <w:t>Fe</w:t>
      </w:r>
      <w:r w:rsidR="00BB4D16">
        <w:rPr>
          <w:vertAlign w:val="subscript"/>
        </w:rPr>
        <w:t>3</w:t>
      </w:r>
      <w:r w:rsidR="00BB4D16">
        <w:t>O</w:t>
      </w:r>
      <w:r w:rsidR="00BB4D16">
        <w:rPr>
          <w:vertAlign w:val="subscript"/>
        </w:rPr>
        <w:t>4</w:t>
      </w:r>
      <w:r w:rsidR="00E42DC2">
        <w:t>.</w:t>
      </w:r>
      <w:bookmarkEnd w:id="31"/>
    </w:p>
    <w:p w14:paraId="7F31415A" w14:textId="2EA23C44" w:rsidR="008B3186" w:rsidRPr="008B3186" w:rsidRDefault="00492AE8" w:rsidP="004D4C22">
      <w:pPr>
        <w:spacing w:before="240"/>
        <w:ind w:firstLine="454"/>
        <w:jc w:val="both"/>
      </w:pPr>
      <w:r>
        <w:t xml:space="preserve">Quan sát thấy </w:t>
      </w:r>
      <w:r w:rsidR="00FB4EE8">
        <w:t xml:space="preserve">chênh lệch </w:t>
      </w:r>
      <w:r>
        <w:t xml:space="preserve">hiệu quả rõ rệt về hiệu suất xử lý giữa ba loại vật liệu, tăng dần theo thứ tự: </w:t>
      </w:r>
      <w:r w:rsidR="00344218">
        <w:t>than khí hoá M</w:t>
      </w:r>
      <w:r w:rsidR="003C6E6D">
        <w:t>GC</w:t>
      </w:r>
      <w:r w:rsidR="00344218">
        <w:t xml:space="preserve"> &lt; Fe</w:t>
      </w:r>
      <w:r w:rsidR="00344218">
        <w:rPr>
          <w:vertAlign w:val="subscript"/>
        </w:rPr>
        <w:t>3</w:t>
      </w:r>
      <w:r w:rsidR="00344218">
        <w:t>O</w:t>
      </w:r>
      <w:r w:rsidR="00344218">
        <w:rPr>
          <w:vertAlign w:val="subscript"/>
        </w:rPr>
        <w:t xml:space="preserve">4 </w:t>
      </w:r>
      <w:r w:rsidR="00344218">
        <w:t xml:space="preserve">&lt; </w:t>
      </w:r>
      <w:r w:rsidR="00C863C5">
        <w:rPr>
          <w:color w:val="000000" w:themeColor="text1"/>
        </w:rPr>
        <w:t>MGC/Fe</w:t>
      </w:r>
      <w:r w:rsidR="00C863C5">
        <w:rPr>
          <w:color w:val="000000" w:themeColor="text1"/>
          <w:vertAlign w:val="subscript"/>
        </w:rPr>
        <w:t>3</w:t>
      </w:r>
      <w:r w:rsidR="00C863C5">
        <w:rPr>
          <w:color w:val="000000" w:themeColor="text1"/>
        </w:rPr>
        <w:t>O</w:t>
      </w:r>
      <w:r w:rsidR="00C863C5">
        <w:rPr>
          <w:color w:val="000000" w:themeColor="text1"/>
          <w:vertAlign w:val="subscript"/>
        </w:rPr>
        <w:t>4</w:t>
      </w:r>
      <w:r w:rsidR="00A564D8">
        <w:t xml:space="preserve">. </w:t>
      </w:r>
      <w:r w:rsidR="00DD1F1F">
        <w:t>Đối với t</w:t>
      </w:r>
      <w:r w:rsidR="001643F3">
        <w:t>han nền M</w:t>
      </w:r>
      <w:r w:rsidR="003C6E6D">
        <w:t>GC</w:t>
      </w:r>
      <w:r w:rsidR="001643F3">
        <w:t xml:space="preserve"> </w:t>
      </w:r>
      <w:r w:rsidR="00DD1F1F">
        <w:t xml:space="preserve">tuy có </w:t>
      </w:r>
      <w:r w:rsidR="0076357F">
        <w:t>diện tích bề mặt riêng</w:t>
      </w:r>
      <w:r w:rsidR="00C54AFD">
        <w:t xml:space="preserve"> lớn nhất (407,5 </w:t>
      </w:r>
      <w:r w:rsidR="00C54AFD" w:rsidRPr="00C54AFD">
        <w:t>m</w:t>
      </w:r>
      <w:r w:rsidR="00C54AFD">
        <w:rPr>
          <w:vertAlign w:val="superscript"/>
        </w:rPr>
        <w:t>2</w:t>
      </w:r>
      <w:r w:rsidR="00C54AFD">
        <w:t xml:space="preserve">/g) nhưng lại </w:t>
      </w:r>
      <w:r w:rsidR="001643F3" w:rsidRPr="00C54AFD">
        <w:t>có</w:t>
      </w:r>
      <w:r w:rsidR="001643F3">
        <w:t xml:space="preserve"> hiệu suất thấp nhất</w:t>
      </w:r>
      <w:r w:rsidR="00670C7A">
        <w:t>. Nguyên nhân</w:t>
      </w:r>
      <w:r w:rsidR="00EB6F55">
        <w:t xml:space="preserve"> có thể</w:t>
      </w:r>
      <w:r w:rsidR="00670C7A">
        <w:t xml:space="preserve"> được xác định qua </w:t>
      </w:r>
      <w:r w:rsidR="00020464">
        <w:t xml:space="preserve">bảng </w:t>
      </w:r>
      <w:r w:rsidR="00670C7A">
        <w:t>số liệu BET</w:t>
      </w:r>
      <w:r w:rsidR="00EB6F55">
        <w:t xml:space="preserve"> </w:t>
      </w:r>
      <w:r w:rsidR="00BD1C5F">
        <w:t>vật liệu:</w:t>
      </w:r>
      <w:r w:rsidR="00EB6F55">
        <w:t xml:space="preserve"> Có</w:t>
      </w:r>
      <w:r w:rsidR="00020464">
        <w:t xml:space="preserve"> tới 86% diện tích bề mặt</w:t>
      </w:r>
      <w:r w:rsidR="00454D27">
        <w:t xml:space="preserve"> của vật liệu này</w:t>
      </w:r>
      <w:r w:rsidR="00020464">
        <w:t xml:space="preserve"> nằm trong các vi mao quản (</w:t>
      </w:r>
      <w:r w:rsidR="00020464" w:rsidRPr="00020464">
        <w:rPr>
          <w:i/>
          <w:iCs/>
        </w:rPr>
        <w:t>S</w:t>
      </w:r>
      <w:r w:rsidR="00020464" w:rsidRPr="00020464">
        <w:rPr>
          <w:i/>
          <w:iCs/>
          <w:vertAlign w:val="subscript"/>
        </w:rPr>
        <w:t>Micro</w:t>
      </w:r>
      <w:r w:rsidR="00670C7A">
        <w:t xml:space="preserve"> </w:t>
      </w:r>
      <m:oMath>
        <m:r>
          <w:rPr>
            <w:rFonts w:ascii="Cambria Math" w:hAnsi="Cambria Math"/>
          </w:rPr>
          <m:t>≈</m:t>
        </m:r>
      </m:oMath>
      <w:r w:rsidR="00454D27">
        <w:t xml:space="preserve"> 352 </w:t>
      </w:r>
      <w:r w:rsidR="00454D27" w:rsidRPr="00C54AFD">
        <w:t>m</w:t>
      </w:r>
      <w:r w:rsidR="00454D27">
        <w:rPr>
          <w:vertAlign w:val="superscript"/>
        </w:rPr>
        <w:t>2</w:t>
      </w:r>
      <w:r w:rsidR="00454D27">
        <w:t>/g), còn thể tích trung mao quản là rất thấp (0,041 cm</w:t>
      </w:r>
      <w:r w:rsidR="00454D27">
        <w:rPr>
          <w:vertAlign w:val="superscript"/>
        </w:rPr>
        <w:t>3</w:t>
      </w:r>
      <w:r w:rsidR="00454D27">
        <w:t xml:space="preserve">/g). Cấu trúc này gây cản trở không gian lớn, </w:t>
      </w:r>
      <w:r w:rsidR="006F3619">
        <w:t>khiến các phân tử kháng sinh TC với kích thước lớn khó khuếch tán vào bên trong để tiếp cận điểm hấp phụ</w:t>
      </w:r>
      <w:r w:rsidR="00800C98">
        <w:t xml:space="preserve"> </w:t>
      </w:r>
      <w:r w:rsidR="00800C98">
        <w:fldChar w:fldCharType="begin"/>
      </w:r>
      <w:r w:rsidR="000270E4">
        <w:instrText xml:space="preserve"> ADDIN ZOTERO_ITEM CSL_CITATION {"citationID":"8pYwyG1N","properties":{"formattedCitation":"[62]","plainCitation":"[62]","noteIndex":0},"citationItems":[{"id":345,"uris":["http://zotero.org/users/12953706/items/PC7R2KMH"],"itemData":{"id":345,"type":"article-journal","abstract":"Utilization of biochar (BC) as a low cost adsorbent for water remediation has gained an immense research interest due to their surface functionality and porosity. Although many reports on the BC based sorptive removal of Sulfonamides (SA) and Tetracyclines (TC) are available in literature, a deep insight into sorption mechanisms is yet to be reviewed. Objective of this review is to fill the research gap of a methodological understanding of sorption mechanisms and characteristics which is essential to develop efficient methods for contaminant removal. The most common adsorption mechanism can be considered as electron donor-acceptor interactions of electron withdrawing moieties with surface arene rings. The strongest adsorption of both antibiotics occurs at mildly acidic pH where the dominant species are zwitterionic or cationic. Smaller SAs exhibit micro pore-filling effects while bulky TCs experience size exclusions. Furthermore, the effect of matrix components and modifications are also been taken into account.","collection-title":"Special Issue on Biochar: Production, Characterization and Applications – Beyond Soil Applications","container-title":"Bioresource Technology","DOI":"10.1016/j.biortech.2017.07.150","ISSN":"0960-8524","journalAbbreviation":"Bioresource Technology","page":"150-159","source":"ScienceDirect","title":"Biochar based removal of antibiotic sulfonamides and tetracyclines in aquatic environments: A critical review","title-short":"Biochar based removal of antibiotic sulfonamides and tetracyclines in aquatic environments","volume":"246","author":[{"family":"Peiris","given":"Chathuri"},{"family":"Gunatilake","given":"Sameera R."},{"family":"Mlsna","given":"Todd E."},{"family":"Mohan","given":"Dinesh"},{"family":"Vithanage","given":"Meththika"}],"issued":{"date-parts":[["2017",12,1]]}}}],"schema":"https://github.com/citation-style-language/schema/raw/master/csl-citation.json"} </w:instrText>
      </w:r>
      <w:r w:rsidR="00800C98">
        <w:fldChar w:fldCharType="separate"/>
      </w:r>
      <w:r w:rsidR="000270E4" w:rsidRPr="000270E4">
        <w:rPr>
          <w:rFonts w:cs="Times New Roman"/>
        </w:rPr>
        <w:t>[62]</w:t>
      </w:r>
      <w:r w:rsidR="00800C98">
        <w:fldChar w:fldCharType="end"/>
      </w:r>
      <w:r w:rsidR="00FF661A" w:rsidRPr="00B60D1B">
        <w:t>.</w:t>
      </w:r>
      <w:r w:rsidR="00FF661A" w:rsidRPr="00DE50F1">
        <w:t xml:space="preserve"> </w:t>
      </w:r>
      <w:r w:rsidR="00F922BF">
        <w:t xml:space="preserve">Ngoài ra, </w:t>
      </w:r>
      <w:r w:rsidR="0087153A">
        <w:t xml:space="preserve">cơ chế hấp phụ chủ yếu dựa trên tương tác vật lý cũng là yếu tố giới hạn khả năng lưu giữ chất ô nhiễm này. </w:t>
      </w:r>
      <w:r w:rsidR="004845F8" w:rsidRPr="00DE50F1">
        <w:t>Và</w:t>
      </w:r>
      <w:r w:rsidR="0087153A">
        <w:t xml:space="preserve"> trái</w:t>
      </w:r>
      <w:r w:rsidR="004845F8" w:rsidRPr="00DE50F1">
        <w:t xml:space="preserve"> n</w:t>
      </w:r>
      <w:r w:rsidR="00FF661A" w:rsidRPr="00DE50F1">
        <w:t>gược lại</w:t>
      </w:r>
      <w:r w:rsidR="005F368E" w:rsidRPr="00DE50F1">
        <w:t xml:space="preserve">, </w:t>
      </w:r>
      <w:r w:rsidR="00931186">
        <w:t>mẫu Fe</w:t>
      </w:r>
      <w:r w:rsidR="00931186">
        <w:rPr>
          <w:vertAlign w:val="subscript"/>
        </w:rPr>
        <w:t>3</w:t>
      </w:r>
      <w:r w:rsidR="00931186">
        <w:t>O</w:t>
      </w:r>
      <w:r w:rsidR="00931186">
        <w:rPr>
          <w:vertAlign w:val="subscript"/>
        </w:rPr>
        <w:t>4</w:t>
      </w:r>
      <w:r w:rsidR="00483E43">
        <w:t xml:space="preserve"> lại có sự gia tăng đột biến về hiệu suất xử lý</w:t>
      </w:r>
      <w:r w:rsidR="0087153A">
        <w:t xml:space="preserve"> (</w:t>
      </w:r>
      <w:r w:rsidR="00D5006B">
        <w:t>87%)</w:t>
      </w:r>
      <w:r w:rsidR="00483E43">
        <w:t xml:space="preserve">. </w:t>
      </w:r>
      <w:r w:rsidR="00483E43">
        <w:rPr>
          <w:rStyle w:val="citation-71"/>
        </w:rPr>
        <w:t>Kết quả này khẳng định vai trò chủ đạo của thành phần oxit sắt từ trong việc thiết lập các liên kết hóa học bền vững (cơ chế tạo phức bề mặt) với các nhóm chức của</w:t>
      </w:r>
      <w:r w:rsidR="008D0402">
        <w:rPr>
          <w:rStyle w:val="citation-71"/>
        </w:rPr>
        <w:t xml:space="preserve"> kháng sinh TC</w:t>
      </w:r>
      <w:r w:rsidR="00483E43">
        <w:rPr>
          <w:rStyle w:val="citation-71"/>
        </w:rPr>
        <w:t>, mang lại hiệu quả vượt trội so với hấp phụ vật lý đơn thuần</w:t>
      </w:r>
      <w:r w:rsidR="009442D8">
        <w:t xml:space="preserve"> </w:t>
      </w:r>
      <w:r w:rsidR="009442D8">
        <w:fldChar w:fldCharType="begin"/>
      </w:r>
      <w:r w:rsidR="00871C6F">
        <w:instrText xml:space="preserve"> ADDIN ZOTERO_ITEM CSL_CITATION {"citationID":"yBjFIRpf","properties":{"formattedCitation":"[93]","plainCitation":"[93]","noteIndex":0},"citationItems":[{"id":302,"uris":["http://zotero.org/users/12953706/items/PHHJPRPK"],"itemData":{"id":302,"type":"article-journal","abstract":"In this study, MnFe2O4/activated carbon magnetic composites with mass ratio of 1:1, 1:1.5 and 1:2 were synthesized using a simple chemical coprecipitation procedure. A variety of techniques such as X-ray diffractometer, scanning electron microscope, magnetization measurements, BET surface area measurements were used to characterize the structure, morphology and magnetic performance of the prepared composite adsorbents. The results showed that the composites had good magnetic properties, which allowed their convenient magnetic separation from water. Spinel manganese ferrite was found to occur in the magnetic phase and the presence of magnetic particles of MnFe2O4 did not significantly affect the surface area and pore structure of the activated carbon. The magnetic composites were effective for tetracycline (TC) removal from water and the maximal adsorption capacity was 590.5 mmol kg−1 at pH 5.0. The TC adsorption followed pseudo-second-order kinetic model and its removal decreases gradually with an increase in pH value, whereas the removal rate was over 60% even at pH 9.0. The TC adsorption process is endothermic and the increase of temperature is favoring its removal. All these results indicated that the prepared composites had the potential to be used as adsorbents for the removal of TC from water or wastewater.","container-title":"Materials Chemistry and Physics","DOI":"10.1016/j.matchemphys.2012.03.035","ISSN":"0254-0584","issue":"1","journalAbbreviation":"Materials Chemistry and Physics","page":"16-24","source":"ScienceDirect","title":"Facile synthesis, characterization of a MnFe2O4/activated carbon magnetic composite and its effectiveness in tetracycline removal","volume":"135","author":[{"family":"Shao","given":"Lina"},{"family":"Ren","given":"Zongming"},{"family":"Zhang","given":"Gaosheng"},{"family":"Chen","given":"Linlin"}],"issued":{"date-parts":[["2012",7,16]]}}}],"schema":"https://github.com/citation-style-language/schema/raw/master/csl-citation.json"} </w:instrText>
      </w:r>
      <w:r w:rsidR="009442D8">
        <w:fldChar w:fldCharType="separate"/>
      </w:r>
      <w:r w:rsidR="00871C6F" w:rsidRPr="00871C6F">
        <w:rPr>
          <w:rFonts w:cs="Times New Roman"/>
        </w:rPr>
        <w:t>[93]</w:t>
      </w:r>
      <w:r w:rsidR="009442D8">
        <w:fldChar w:fldCharType="end"/>
      </w:r>
      <w:r w:rsidR="00E14DA9" w:rsidRPr="00B60D1B">
        <w:t>.</w:t>
      </w:r>
      <w:r w:rsidR="00E14DA9">
        <w:t xml:space="preserve"> </w:t>
      </w:r>
      <w:r w:rsidR="008B3186" w:rsidRPr="008B3186">
        <w:t>Tuy nhiên, hạn chế của vật liệu này là diện tích bề mặt thấp (85,8 m</w:t>
      </w:r>
      <w:r w:rsidR="008B3186">
        <w:rPr>
          <w:vertAlign w:val="superscript"/>
        </w:rPr>
        <w:t>2</w:t>
      </w:r>
      <w:r w:rsidR="008B3186">
        <w:t>/g)</w:t>
      </w:r>
      <w:r w:rsidR="008B3186" w:rsidRPr="008B3186">
        <w:t xml:space="preserve"> và xu hướng tự kết tụ mạnh trong môi trường dung dịch, dẫn đến việc sụt giảm diện tích tiếp xúc hiệu dụng theo thời gian</w:t>
      </w:r>
      <w:r w:rsidR="008B3186">
        <w:t>.</w:t>
      </w:r>
    </w:p>
    <w:p w14:paraId="12407A83" w14:textId="51AA53B8" w:rsidR="006F2456" w:rsidRDefault="00E31B21" w:rsidP="004D4C22">
      <w:pPr>
        <w:ind w:firstLine="454"/>
        <w:jc w:val="both"/>
      </w:pPr>
      <w:r>
        <w:t xml:space="preserve">Kết quả tối ưu nhất được ghi nhận trên vật liệu </w:t>
      </w:r>
      <w:r w:rsidR="00E14DA9">
        <w:t xml:space="preserve">composite </w:t>
      </w:r>
      <w:r>
        <w:t>MGC/Fe</w:t>
      </w:r>
      <w:r>
        <w:rPr>
          <w:vertAlign w:val="subscript"/>
        </w:rPr>
        <w:t>3</w:t>
      </w:r>
      <w:r>
        <w:t>O</w:t>
      </w:r>
      <w:r>
        <w:rPr>
          <w:vertAlign w:val="subscript"/>
        </w:rPr>
        <w:t>4</w:t>
      </w:r>
      <w:r>
        <w:t xml:space="preserve"> </w:t>
      </w:r>
      <w:r w:rsidR="00E14DA9">
        <w:t>v</w:t>
      </w:r>
      <w:r>
        <w:t>ới hiệu suất đạt khoảng 90%</w:t>
      </w:r>
      <w:r w:rsidR="00BD12D9">
        <w:t>.</w:t>
      </w:r>
      <w:r w:rsidR="00514F85">
        <w:t xml:space="preserve"> </w:t>
      </w:r>
      <w:r w:rsidR="00514F85" w:rsidRPr="00514F85">
        <w:t>Mặc dù mức tăng chỉ nhỉnh hơn đôi chút so với</w:t>
      </w:r>
      <w:r w:rsidR="00514F85">
        <w:t xml:space="preserve"> Fe</w:t>
      </w:r>
      <w:r w:rsidR="00514F85">
        <w:rPr>
          <w:vertAlign w:val="subscript"/>
        </w:rPr>
        <w:t>3</w:t>
      </w:r>
      <w:r w:rsidR="00514F85">
        <w:t>O</w:t>
      </w:r>
      <w:r w:rsidR="00514F85">
        <w:rPr>
          <w:vertAlign w:val="subscript"/>
        </w:rPr>
        <w:t>4</w:t>
      </w:r>
      <w:r w:rsidR="00514F85" w:rsidRPr="00514F85">
        <w:t xml:space="preserve"> đơn lẻ, nhưng đây là minh chứng thuyết phục cho sự tối ưu hóa toàn diện về mặt cấu trúc vật </w:t>
      </w:r>
      <w:r w:rsidR="00514F85" w:rsidRPr="00514F85">
        <w:lastRenderedPageBreak/>
        <w:t>liệu. Cụ thể, nền than đóng vai trò thiết yếu là c</w:t>
      </w:r>
      <w:r w:rsidR="00514F85">
        <w:t>hất đệm</w:t>
      </w:r>
      <w:r w:rsidR="00380F1D">
        <w:t>,</w:t>
      </w:r>
      <w:r w:rsidR="00514F85" w:rsidRPr="00514F85">
        <w:t xml:space="preserve"> giúp phân tán đồng đều các hạt </w:t>
      </w:r>
      <w:r w:rsidR="00380F1D">
        <w:t>Fe</w:t>
      </w:r>
      <w:r w:rsidR="00380F1D">
        <w:rPr>
          <w:vertAlign w:val="subscript"/>
        </w:rPr>
        <w:t>3</w:t>
      </w:r>
      <w:r w:rsidR="00380F1D">
        <w:t>O</w:t>
      </w:r>
      <w:r w:rsidR="00380F1D">
        <w:rPr>
          <w:vertAlign w:val="subscript"/>
        </w:rPr>
        <w:t>4</w:t>
      </w:r>
      <w:r w:rsidR="00514F85" w:rsidRPr="00514F85">
        <w:t>, khắc phục hiệu quả hiện tượng vón cục và qua đó tối đa hóa hoạt tính của từng đơn vị khối lượng sắt</w:t>
      </w:r>
      <w:r w:rsidR="008B34D7">
        <w:t xml:space="preserve"> </w:t>
      </w:r>
      <w:r w:rsidR="008B34D7">
        <w:fldChar w:fldCharType="begin"/>
      </w:r>
      <w:r w:rsidR="001B5639">
        <w:instrText xml:space="preserve"> ADDIN ZOTERO_ITEM CSL_CITATION {"citationID":"SFgoP7x9","properties":{"formattedCitation":"[11]","plainCitation":"[11]","noteIndex":0},"citationItems":[{"id":320,"uris":["http://zotero.org/users/12953706/items/5RDQLLYQ"],"itemData":{"id":320,"type":"article-journal","abstract":"The difficulty of separating the powdered biochar from the environmental medium may lead to secondary pollution and hinder the large-scale application of biochar as an adsorbent. An effective strategy to solve this bottleneck is to introduce transition metals and their oxides into the biochar matrix, creating easily separable magnetic biochar. Magnetic biochar is also effective for the removal of pollutants from aqueous solution. This review comprises a systematic analysis of 109 papers published in recent years (From 2011 to June 2019), and summarises the synthetic methods and raw materials required for magnetic biochar preparation. The basic physicochemical properties of magnetic biochar are expounded, together with findings from relevant studies, and the application of magnetic biochar as an adsorbent or catalyst in environmental remediation are summarised. Other applications of magnetic biochar are also discussed. Finally, some constructive suggestions are given for the future direction of magnetic biochar research.","container-title":"Bioresource Technology","DOI":"10.1016/j.biortech.2019.122468","ISSN":"0960-8524","journalAbbreviation":"Bioresource Technology","page":"122468","source":"ScienceDirect","title":"Magnetic biochar for environmental remediation: A review","title-short":"Magnetic biochar for environmental remediation","volume":"298","author":[{"family":"Yi","given":"Yunqiang"},{"family":"Huang","given":"Zhexi"},{"family":"Lu","given":"Baizhou"},{"family":"Xian","given":"Jingyi"},{"family":"Tsang","given":"Eric Pokeung"},{"family":"Cheng","given":"Wen"},{"family":"Fang","given":"Jianzhang"},{"family":"Fang","given":"Zhanqiang"}],"issued":{"date-parts":[["2020",2,1]]}}}],"schema":"https://github.com/citation-style-language/schema/raw/master/csl-citation.json"} </w:instrText>
      </w:r>
      <w:r w:rsidR="008B34D7">
        <w:fldChar w:fldCharType="separate"/>
      </w:r>
      <w:r w:rsidR="001B5639" w:rsidRPr="001B5639">
        <w:rPr>
          <w:rFonts w:cs="Times New Roman"/>
        </w:rPr>
        <w:t>[11]</w:t>
      </w:r>
      <w:r w:rsidR="008B34D7">
        <w:fldChar w:fldCharType="end"/>
      </w:r>
      <w:r w:rsidR="008B34D7">
        <w:t xml:space="preserve">, </w:t>
      </w:r>
      <w:r w:rsidR="008B34D7">
        <w:fldChar w:fldCharType="begin"/>
      </w:r>
      <w:r w:rsidR="00871C6F">
        <w:instrText xml:space="preserve"> ADDIN ZOTERO_ITEM CSL_CITATION {"citationID":"7mCtJdGH","properties":{"formattedCitation":"[85]","plainCitation":"[85]","noteIndex":0},"citationItems":[{"id":335,"uris":["http://zotero.org/users/12953706/items/ZXAL4K9L"],"itemData":{"id":335,"type":"article-journal","abstract":"In this work, synthesis of activated carbon-Fe3O4 composites using activated carbon and iron benzoate/oxalate precursors by simple pyrolytic method and its utility for the removal of acid yellow dye from water are presented. Iron carboxylates held up into the pores of carbon dissociate at their decomposition temperatures form dispersed Fe3O4 nanoparticles in carbon matrix. The composites were characterized by FTIR, PXRD, SEM, TEM, EDX and magnetization measurements. The size of the nano iron oxides are in the range of 21-33 nm formed from iron benzoate precursor and 6-11 nm from iron oxalate precursor. The oxides are magnetic and their saturation magnetization in the range of 0.08-0.16 emu/g and Coercivity (H(c)) 474-600, being lower and higher than that of bare bulk Fe3O4 are due to the nano size of oxides. Composites find application in the removal of acid yellow dye 17 from the synthetic aqueous solution at pH 5. The adsorption data are found to fit well for Langmuir adsorption isotherm. Kinetics data of adsorption of dyes indicate that the adsorption follows pseudo-second order kinetic model.","container-title":"Journal of Nanoscience and Nanotechnology","DOI":"10.1166/jnn.2014.9068","ISSN":"1533-4880","issue":"7","journalAbbreviation":"J Nanosci Nanotechnol","language":"eng","note":"PMID: 24757966","page":"4949-4959","source":"PubMed","title":"Magnetic activated carbon-Fe3O4 nanocomposites--synthesis and applications in the removal of acid yellow dye 17 from water","volume":"14","author":[{"family":"Ranjithkumar","given":"V."},{"family":"Hazeen","given":"A. Nizarul"},{"family":"Thamilselvan","given":"M."},{"family":"Vairam","given":"S."}],"issued":{"date-parts":[["2014",7]]}}}],"schema":"https://github.com/citation-style-language/schema/raw/master/csl-citation.json"} </w:instrText>
      </w:r>
      <w:r w:rsidR="008B34D7">
        <w:fldChar w:fldCharType="separate"/>
      </w:r>
      <w:r w:rsidR="00871C6F" w:rsidRPr="00871C6F">
        <w:rPr>
          <w:rFonts w:cs="Times New Roman"/>
        </w:rPr>
        <w:t>[85]</w:t>
      </w:r>
      <w:r w:rsidR="008B34D7">
        <w:fldChar w:fldCharType="end"/>
      </w:r>
      <w:r w:rsidR="00514F85" w:rsidRPr="00514F85">
        <w:t>.</w:t>
      </w:r>
    </w:p>
    <w:p w14:paraId="415575CD" w14:textId="77777777" w:rsidR="0064061B" w:rsidRDefault="0064061B" w:rsidP="0064061B">
      <w:pPr>
        <w:pStyle w:val="Heading3"/>
      </w:pPr>
      <w:bookmarkStart w:id="32" w:name="_Toc233142639"/>
      <w:r>
        <w:t>Kết quả khảo sát khối lượng</w:t>
      </w:r>
      <w:bookmarkEnd w:id="32"/>
    </w:p>
    <w:p w14:paraId="18E6E5EA" w14:textId="667D31F3" w:rsidR="00997D31" w:rsidRDefault="0064061B" w:rsidP="004D4C22">
      <w:pPr>
        <w:ind w:firstLine="454"/>
        <w:jc w:val="both"/>
      </w:pPr>
      <w:r w:rsidRPr="00D6603F">
        <w:t xml:space="preserve">Kết quả khảo sát ảnh hưởng của khối lượng </w:t>
      </w:r>
      <w:r w:rsidR="00D2321F">
        <w:t>vật liệu MGC/</w:t>
      </w:r>
      <w:r w:rsidR="00D2321F" w:rsidRPr="00D2321F">
        <w:t xml:space="preserve"> </w:t>
      </w:r>
      <w:r w:rsidR="00D2321F">
        <w:t>Fe</w:t>
      </w:r>
      <w:r w:rsidR="00D2321F">
        <w:rPr>
          <w:vertAlign w:val="subscript"/>
        </w:rPr>
        <w:t>3</w:t>
      </w:r>
      <w:r w:rsidR="00D2321F">
        <w:t>O</w:t>
      </w:r>
      <w:r w:rsidR="00D2321F">
        <w:rPr>
          <w:vertAlign w:val="subscript"/>
        </w:rPr>
        <w:t>4</w:t>
      </w:r>
      <w:r w:rsidRPr="00D6603F">
        <w:t xml:space="preserve"> (</w:t>
      </w:r>
      <w:r w:rsidR="00D2321F">
        <w:t>trong khoảng từ 0,01</w:t>
      </w:r>
      <w:r w:rsidR="00136B76">
        <w:t xml:space="preserve"> </w:t>
      </w:r>
      <w:r w:rsidR="00D2321F">
        <w:t>g đến 0,15</w:t>
      </w:r>
      <w:r w:rsidR="00136B76">
        <w:t xml:space="preserve"> </w:t>
      </w:r>
      <w:r w:rsidR="00D2321F">
        <w:t>g</w:t>
      </w:r>
      <w:r w:rsidRPr="00D6603F">
        <w:t>) đến quá trình xử lý</w:t>
      </w:r>
      <w:r w:rsidR="00997D31">
        <w:t xml:space="preserve"> kháng sinh được thể hiện tại Hình 3.</w:t>
      </w:r>
      <w:r w:rsidR="006D3F0E">
        <w:t>10</w:t>
      </w:r>
      <w:r w:rsidR="00997D31">
        <w:t>.</w:t>
      </w:r>
    </w:p>
    <w:p w14:paraId="1E7C4F64" w14:textId="350A11BE" w:rsidR="00997D31" w:rsidRDefault="00997D31" w:rsidP="004D4C22">
      <w:pPr>
        <w:ind w:firstLine="454"/>
        <w:jc w:val="both"/>
      </w:pPr>
      <w:r w:rsidRPr="00997D31">
        <w:t xml:space="preserve">Quan sát đồ thị cho thấy sự phụ thuộc trái chiều giữa hiệu suất loại bỏ và dung lượng hấp phụ. Cụ thể, khi tăng khối lượng chất hấp phụ từ 0,01 g lên 0,15 g, hiệu suất xử lý tăng mạnh từ 38,51% lên mức bão hòa 100%, trong khi đó dung lượng hấp phụ lại giảm đáng kể từ 22,2 mg/g xuống còn 3,81 mg/g. Xu hướng biến thiên này tương đồng với các kết quả đã được công bố trong các nghiên cứu trước đây về vật liệu hấp phụ carbon từ tính </w:t>
      </w:r>
      <w:r w:rsidR="00412BD0">
        <w:fldChar w:fldCharType="begin"/>
      </w:r>
      <w:r w:rsidR="00871C6F">
        <w:instrText xml:space="preserve"> ADDIN ZOTERO_ITEM CSL_CITATION {"citationID":"04yUgaFs","properties":{"formattedCitation":"[94]","plainCitation":"[94]","noteIndex":0},"citationItems":[{"id":436,"uris":["http://zotero.org/users/12953706/items/X2UCIC63"],"itemData":{"id":436,"type":"article-journal","abstract":"Activated sludge, which is difficult and expensive to treat and dispose of, is a key concern in wastewater treatment plants. In this study, magnetic sludge biochar containing activated sludge and different sizes (14.3, 40.2 and 90.5 nm) of Fe3O4 nanoparticles was investigated as an effective adsorbent for tetracycline (TC) adsorption. Magnetic sludge-based biochar was prepared by a facile cross-linking method and characterized by transmission electron microscopy, Fourier transform infrared spectroscopy (FTIR), X-ray diffraction, X-ray photoelectron spectroscopy (XPS) and zeta potential analysis. The adsorption performances of TC on three kinds of adsorbents were investigated. Although 14.3 nm Fe3O4 nanoparticles could be inclined to aggregate and partially filled with pores of biochar, it turned out that magnetic sludge biochar with 14.3 nm Fe3O4 nanoparticles exhibited optimum performance for TC removal with adsorption capacity up to 184.5 mg g−1, due to the larger amounts of functional groups and the change of zeta potential. Furthermore, the adsorption kinetics of TC on three kinds of adsorbents were studied, which implied that the pseudo-second-order kinetic model exhibited the better fit for the entire sorption process.","container-title":"Royal Society Open Science","DOI":"10.1098/rsos.210805","ISSN":"2054-5703","issue":"1","journalAbbreviation":"R Soc Open Sci.","page":"210805","source":"Silverchair","title":"Tetracycline adsorption on magnetic sludge biochar: size effect of the Fe3O4 nanoparticles","title-short":"Tetracycline adsorption on magnetic sludge biochar","volume":"9","author":[{"family":"Luo","given":"Suxing"},{"family":"Qin","given":"Jun"},{"family":"Wu","given":"Yuanhui"},{"family":"Feng","given":"Feng"}],"issued":{"date-parts":[["2022",1,12]]}}}],"schema":"https://github.com/citation-style-language/schema/raw/master/csl-citation.json"} </w:instrText>
      </w:r>
      <w:r w:rsidR="00412BD0">
        <w:fldChar w:fldCharType="separate"/>
      </w:r>
      <w:r w:rsidR="00871C6F" w:rsidRPr="00871C6F">
        <w:rPr>
          <w:rFonts w:cs="Times New Roman"/>
        </w:rPr>
        <w:t>[94]</w:t>
      </w:r>
      <w:r w:rsidR="00412BD0">
        <w:fldChar w:fldCharType="end"/>
      </w:r>
      <w:r w:rsidR="001C5312">
        <w:t xml:space="preserve">, </w:t>
      </w:r>
      <w:r w:rsidR="00D55D3B">
        <w:fldChar w:fldCharType="begin"/>
      </w:r>
      <w:r w:rsidR="00871C6F">
        <w:instrText xml:space="preserve"> ADDIN ZOTERO_ITEM CSL_CITATION {"citationID":"L05GgXal","properties":{"formattedCitation":"[95]","plainCitation":"[95]","noteIndex":0},"citationItems":[{"id":438,"uris":["http://zotero.org/users/12953706/items/263RAY4G"],"itemData":{"id":438,"type":"article-journal","abstract":"The disposal and treatment of antibiotic residues is a recognized challenge due to the huge production, high moisture content, high processing costs, ...","container-title":"Nanomaterials","DOI":"10.3390/nano14171377","ISSN":"2079-4991","issue":"17","language":"en","license":"http://creativecommons.org/licenses/by/3.0/","note":"Company: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publisher","source":"www.mdpi.com","title":"Efficient Removal of Tetracycline from Water by One-Step Pyrolytic Porous Biochar Derived from Antibiotic Fermentation Residue","URL":"https://www.mdpi.com/2079-4991/14/17/1377","volume":"14","author":[{"family":"Zhao","given":"Xinyu"},{"family":"Zhu","given":"Guokai"},{"family":"Liu","given":"Jiangtao"},{"family":"Wang","given":"Jieni"},{"family":"Zhang","given":"Shuqin"},{"family":"Wei","given":"Chenlin"},{"family":"Cao","given":"Leichang"},{"family":"Zhao","given":"Shuguang"},{"family":"Zhang","given":"Shicheng"},{"family":"Zhao","given":"Xinyu"},{"family":"Zhu","given":"Guokai"},{"family":"Liu","given":"Jiangtao"},{"family":"Wang","given":"Jieni"},{"family":"Zhang","given":"Shuqin"},{"family":"Wei","given":"Chenlin"},{"family":"Cao","given":"Leichang"},{"family":"Zhao","given":"Shuguang"},{"family":"Zhang","given":"Shicheng"}],"accessed":{"date-parts":[["2025",12,17]]},"issued":{"date-parts":[["2024",8,23]]}}}],"schema":"https://github.com/citation-style-language/schema/raw/master/csl-citation.json"} </w:instrText>
      </w:r>
      <w:r w:rsidR="00D55D3B">
        <w:fldChar w:fldCharType="separate"/>
      </w:r>
      <w:r w:rsidR="00871C6F" w:rsidRPr="00871C6F">
        <w:rPr>
          <w:rFonts w:cs="Times New Roman"/>
        </w:rPr>
        <w:t>[95]</w:t>
      </w:r>
      <w:r w:rsidR="00D55D3B">
        <w:fldChar w:fldCharType="end"/>
      </w:r>
      <w:r w:rsidRPr="00997D31">
        <w:t>.</w:t>
      </w:r>
      <w:r w:rsidR="00A7685F">
        <w:t xml:space="preserve"> </w:t>
      </w:r>
      <w:r w:rsidRPr="00997D31">
        <w:t xml:space="preserve">Nguyên nhân chủ yếu là do tại liều lượng thấp (0,01 g), tỷ lệ giữa nồng độ chất ô nhiễm và số lượng tâm hoạt động trên bề mặt vật liệu rất lớn, dẫn đến các vị trí hấp phụ được khai thác triệt để, giúp giá trị </w:t>
      </w:r>
      <w:r w:rsidRPr="00997D31">
        <w:rPr>
          <w:i/>
          <w:iCs/>
        </w:rPr>
        <w:t>Q</w:t>
      </w:r>
      <w:r w:rsidRPr="00997D31">
        <w:t xml:space="preserve"> đạt cực đại. Ngược lại, tại các mức khối lượng cao (0,15 g), lượng tâm hoạt động trở nên dư thừa so với nhu cầu hấp phụ thực tế.</w:t>
      </w:r>
    </w:p>
    <w:p w14:paraId="4FE48204" w14:textId="77777777" w:rsidR="00181EB9" w:rsidRDefault="00181EB9" w:rsidP="000D3E6D">
      <w:pPr>
        <w:keepNext/>
        <w:ind w:firstLine="0"/>
        <w:jc w:val="center"/>
      </w:pPr>
      <w:r>
        <w:rPr>
          <w:noProof/>
          <w:lang w:eastAsia="en-US"/>
        </w:rPr>
        <w:drawing>
          <wp:inline distT="0" distB="0" distL="0" distR="0" wp14:anchorId="5A99261B" wp14:editId="4057C63B">
            <wp:extent cx="3600000" cy="2698914"/>
            <wp:effectExtent l="0" t="0" r="635" b="6350"/>
            <wp:docPr id="888287810" name="Picture 88828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2698914"/>
                    </a:xfrm>
                    <a:prstGeom prst="rect">
                      <a:avLst/>
                    </a:prstGeom>
                    <a:noFill/>
                  </pic:spPr>
                </pic:pic>
              </a:graphicData>
            </a:graphic>
          </wp:inline>
        </w:drawing>
      </w:r>
    </w:p>
    <w:p w14:paraId="7D528C97" w14:textId="53A84603" w:rsidR="00181EB9" w:rsidRPr="00997D31" w:rsidRDefault="00181EB9" w:rsidP="000D3E6D">
      <w:pPr>
        <w:pStyle w:val="Caption"/>
        <w:spacing w:line="360" w:lineRule="auto"/>
        <w:ind w:firstLine="0"/>
      </w:pPr>
      <w:bookmarkStart w:id="33" w:name="_Toc218054544"/>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10</w:t>
        </w:r>
      </w:fldSimple>
      <w:r>
        <w:t>. Khảo sát ảnh hưởng khối lượng vật liệu đến hiệu suất xử lý và dung lượng hấp phụ.</w:t>
      </w:r>
      <w:bookmarkEnd w:id="33"/>
    </w:p>
    <w:p w14:paraId="7169A116" w14:textId="307B5241" w:rsidR="00997D31" w:rsidRDefault="00997D31" w:rsidP="004D4C22">
      <w:pPr>
        <w:ind w:firstLine="454"/>
        <w:jc w:val="both"/>
      </w:pPr>
      <w:r w:rsidRPr="00997D31">
        <w:t>Đáng chú ý, tại mức khối lượng 0,03 g, vật liệu đạt dung lượng hấp phụ cao (15,31 mg/g) với hiệu suất xử lý tương đối tốt (80,46</w:t>
      </w:r>
      <w:r w:rsidR="00CB2038">
        <w:t xml:space="preserve"> </w:t>
      </w:r>
      <w:r w:rsidRPr="00997D31">
        <w:t xml:space="preserve">%). Tuy nhiên, </w:t>
      </w:r>
      <w:r w:rsidR="00546A6B">
        <w:t>đồ án</w:t>
      </w:r>
      <w:r w:rsidRPr="00997D31">
        <w:t xml:space="preserve"> </w:t>
      </w:r>
      <w:r w:rsidR="00546A6B">
        <w:t xml:space="preserve">vẫn </w:t>
      </w:r>
      <w:r w:rsidRPr="00997D31">
        <w:t xml:space="preserve">lựa chọn mức khối lượng 0,05 g làm điều kiện tiêu chuẩn cho các khảo sát </w:t>
      </w:r>
      <w:r w:rsidR="00827B92">
        <w:t>hấp phụ kháng sinh TC</w:t>
      </w:r>
      <w:r w:rsidRPr="00997D31">
        <w:t xml:space="preserve"> tiếp theo</w:t>
      </w:r>
      <w:r w:rsidR="00EB090D">
        <w:t>.</w:t>
      </w:r>
      <w:r w:rsidR="00974089">
        <w:t xml:space="preserve"> Việc lựa chọn này nhằm</w:t>
      </w:r>
      <w:r w:rsidR="00542812">
        <w:t xml:space="preserve"> đảm bả</w:t>
      </w:r>
      <w:r w:rsidR="00BB2749">
        <w:t>o</w:t>
      </w:r>
      <w:r w:rsidR="00542812">
        <w:t xml:space="preserve"> tính an toàn cho thí nghiệm, vì </w:t>
      </w:r>
      <w:r w:rsidR="00542812">
        <w:lastRenderedPageBreak/>
        <w:t>lượng mẫu 0,03</w:t>
      </w:r>
      <w:r w:rsidR="006D3F0E">
        <w:t xml:space="preserve"> </w:t>
      </w:r>
      <w:r w:rsidR="00542812">
        <w:t xml:space="preserve">g quá nhỏ dễ gây sai số khi thao tác cân và rất nhạy cảm với các biến động của môi trường. </w:t>
      </w:r>
    </w:p>
    <w:p w14:paraId="1D51F3BA" w14:textId="070776C2" w:rsidR="00FF2178" w:rsidRDefault="00FF2178" w:rsidP="0047485C">
      <w:pPr>
        <w:pStyle w:val="Heading3"/>
      </w:pPr>
      <w:bookmarkStart w:id="34" w:name="_Toc233142640"/>
      <w:r>
        <w:t>K</w:t>
      </w:r>
      <w:r w:rsidR="00EA4C4F">
        <w:t>ết quả k</w:t>
      </w:r>
      <w:r>
        <w:t>hảo sát thời gian</w:t>
      </w:r>
      <w:r w:rsidR="00326E18">
        <w:t xml:space="preserve"> hấp phụ</w:t>
      </w:r>
      <w:bookmarkEnd w:id="34"/>
      <w:r w:rsidR="00326E18">
        <w:t xml:space="preserve"> </w:t>
      </w:r>
    </w:p>
    <w:p w14:paraId="4463A2D4" w14:textId="34C6E880" w:rsidR="007656DD" w:rsidRPr="007656DD" w:rsidRDefault="007656DD" w:rsidP="006D3F0E">
      <w:pPr>
        <w:jc w:val="both"/>
      </w:pPr>
      <w:r>
        <w:t>Quan sát kết quả Hình 3.</w:t>
      </w:r>
      <w:r w:rsidR="00827B92">
        <w:t>11</w:t>
      </w:r>
      <w:r>
        <w:t xml:space="preserve"> cho thấy hiệu suất hấp phụ TC của vật liệu diễn ra qua hai giai đoạn rõ rệt. Giai đoạn đầu, ghi nhận tốc độ hấp phụ nhanh, hiệu suất đạt tới 62,91 % chỉ sau 5 phút tiếp xúc và tăng mạnh lên 83,94 % sau 1 giờ. Bước sang giai đoạn hai (60</w:t>
      </w:r>
      <w:r w:rsidR="0029349B">
        <w:t>–</w:t>
      </w:r>
      <w:r>
        <w:t>240 phút), hiệu suất tăng chậm từ 83,94 % lên mức cực đại 91,94% tại giờ thứ 4, cho ra dung lượng hấp phụ thực tế là 11,03 mg/g.</w:t>
      </w:r>
    </w:p>
    <w:p w14:paraId="094807F7" w14:textId="77777777" w:rsidR="005C07C4" w:rsidRDefault="000B4C0E" w:rsidP="005C07C4">
      <w:pPr>
        <w:keepNext/>
        <w:jc w:val="center"/>
      </w:pPr>
      <w:r w:rsidRPr="0062724E">
        <w:rPr>
          <w:noProof/>
          <w:lang w:eastAsia="en-US"/>
        </w:rPr>
        <w:drawing>
          <wp:inline distT="0" distB="0" distL="0" distR="0" wp14:anchorId="009EDEB0" wp14:editId="65EB6CC5">
            <wp:extent cx="3780000" cy="2872399"/>
            <wp:effectExtent l="0" t="0" r="0" b="4445"/>
            <wp:docPr id="888287839" name="Picture 88828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0000" cy="2872399"/>
                    </a:xfrm>
                    <a:prstGeom prst="rect">
                      <a:avLst/>
                    </a:prstGeom>
                  </pic:spPr>
                </pic:pic>
              </a:graphicData>
            </a:graphic>
          </wp:inline>
        </w:drawing>
      </w:r>
    </w:p>
    <w:p w14:paraId="1A668B2E" w14:textId="158D2B9F" w:rsidR="000B4C0E" w:rsidRPr="000B4C0E" w:rsidRDefault="005C07C4" w:rsidP="00F0253D">
      <w:pPr>
        <w:pStyle w:val="Caption"/>
        <w:spacing w:after="240"/>
      </w:pPr>
      <w:bookmarkStart w:id="35" w:name="_Toc218054545"/>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11</w:t>
        </w:r>
      </w:fldSimple>
      <w:r>
        <w:t>. Kết quả khảo sát thời gian</w:t>
      </w:r>
      <w:bookmarkEnd w:id="35"/>
    </w:p>
    <w:p w14:paraId="388AC555" w14:textId="615EA5B2" w:rsidR="004832CB" w:rsidRDefault="003B1AFA" w:rsidP="004D4C22">
      <w:pPr>
        <w:ind w:firstLine="454"/>
        <w:jc w:val="both"/>
      </w:pPr>
      <w:r>
        <w:t xml:space="preserve">Khi so sánh với các vật liệu than sinh học từ nhiều nguồn sinh khối khác, vật liệu </w:t>
      </w:r>
      <w:r w:rsidR="005029C8">
        <w:t xml:space="preserve">cho thấy ưu thế rõ rệt về tốc độ lẫn hiệu </w:t>
      </w:r>
      <w:r w:rsidR="006D1942">
        <w:t xml:space="preserve">suất. </w:t>
      </w:r>
      <w:r w:rsidR="006D1942" w:rsidRPr="006D1942">
        <w:t xml:space="preserve">Cụ thể, than sinh học từ bã cà phê thường đòi hỏi thời gian tiếp xúc rất dài (lên tới 24 giờ) để đạt trạng thái cân bằng do hạn chế </w:t>
      </w:r>
      <w:r w:rsidR="006D1942">
        <w:t>về</w:t>
      </w:r>
      <w:r w:rsidR="00E15FE7">
        <w:t xml:space="preserve"> sự khuếch tán trong</w:t>
      </w:r>
      <w:r w:rsidR="006D1942">
        <w:t xml:space="preserve"> c</w:t>
      </w:r>
      <w:r w:rsidR="006D1942" w:rsidRPr="006D1942">
        <w:t>ấu trúc đặc khít</w:t>
      </w:r>
      <w:r w:rsidR="006D1942">
        <w:t xml:space="preserve"> </w:t>
      </w:r>
      <w:r w:rsidR="006D1942">
        <w:fldChar w:fldCharType="begin"/>
      </w:r>
      <w:r w:rsidR="00871C6F">
        <w:instrText xml:space="preserve"> ADDIN ZOTERO_ITEM CSL_CITATION {"citationID":"kKJyVWuY","properties":{"formattedCitation":"[96]","plainCitation":"[96]","noteIndex":0},"citationItems":[{"id":440,"uris":["http://zotero.org/users/12953706/items/SDA48JKU"],"itemData":{"id":440,"type":"article-journal","abstract":"The feasibility of applying alkaline modified-biochar prepared through pyrolysis of spent coffee ground (NaOH-SCG) in the elimination of tetracycline (TC) from different aqueous solutions was investigated through this study. The physico-chemical characterization of NaOH-SCG was scrutinized by distinct techniques. The PAHs concentration of NaOH-SCG (500 °C) was 693 μg kg−1, which do not exceed the international acceptable threshold of PAHs in biochar as reported by International Biochar Initiative (6–20 mg kg−1) and European Biochar Certificate (4 mg kg−1 for premium class, 6 mg kg−1 for basic class). From the experimental results, the adsorption capacity (qmax) of NaOH-SCG biochar (113.64 mg g−1) exhibited 2.9 times higher than that of the non-modified SCG (39.22 mg g−1). Furthermore, environmental factors, namely, pH and ions, affecting the interaction between biochar and TC was investigated. Alkaline modified-biochar exhibited high tetracycline adsorption capacity and therefore has a great prospect as an environmentally effective adsorbent in separation of hazardous chemicals from different aqueous solutions.","container-title":"Journal of Water Process Engineering","DOI":"10.1016/j.jwpe.2020.101908","ISSN":"2214-7144","journalAbbreviation":"Journal of Water Process Engineering","page":"101908","source":"ScienceDirect","title":"Alkaline modified biochar derived from spent coffee ground for removal of tetracycline from aqueous solutions","volume":"40","author":[{"family":"Nguyen","given":"Van-Truc"},{"family":"Nguyen","given":"Thanh-Binh"},{"family":"Huang","given":"C. P."},{"family":"Chen","given":"Chiu-Wen"},{"family":"Bui","given":"Xuan-Thanh"},{"family":"Dong","given":"Cheng-Di"}],"issued":{"date-parts":[["2021",4,1]]}}}],"schema":"https://github.com/citation-style-language/schema/raw/master/csl-citation.json"} </w:instrText>
      </w:r>
      <w:r w:rsidR="006D1942">
        <w:fldChar w:fldCharType="separate"/>
      </w:r>
      <w:r w:rsidR="00871C6F" w:rsidRPr="00871C6F">
        <w:rPr>
          <w:rFonts w:cs="Times New Roman"/>
        </w:rPr>
        <w:t>[96]</w:t>
      </w:r>
      <w:r w:rsidR="006D1942">
        <w:fldChar w:fldCharType="end"/>
      </w:r>
      <w:r w:rsidR="006D1942">
        <w:t>.</w:t>
      </w:r>
      <w:r w:rsidR="00C33B63">
        <w:t xml:space="preserve"> </w:t>
      </w:r>
      <w:r w:rsidR="00123AEC">
        <w:t>Bên cạnh</w:t>
      </w:r>
      <w:r w:rsidR="00655F7A">
        <w:t xml:space="preserve"> đó, đối </w:t>
      </w:r>
      <w:r w:rsidR="00C33B63" w:rsidRPr="00C33B63">
        <w:t>với than sinh học từ vỏ lạc</w:t>
      </w:r>
      <w:r w:rsidR="00655F7A">
        <w:t>,</w:t>
      </w:r>
      <w:r w:rsidR="00C33B63" w:rsidRPr="00C33B63">
        <w:t xml:space="preserve"> mặc dù</w:t>
      </w:r>
      <w:r w:rsidR="00655F7A">
        <w:t xml:space="preserve"> đây là nguồn sinh khối</w:t>
      </w:r>
      <w:r w:rsidR="00C33B63" w:rsidRPr="00C33B63">
        <w:t xml:space="preserve"> phổ biến nhưng khi xử lý ở nồng độ 30 mg/L, hiệu suất thường bị sụt giảm đáng kể (thường chỉ đạt 70-75%) và dung lượng hấp phụ thấp hơn so với mức 1</w:t>
      </w:r>
      <w:r w:rsidR="001A02FD">
        <w:t>1,</w:t>
      </w:r>
      <w:r w:rsidR="00EA36D5">
        <w:t>0</w:t>
      </w:r>
      <w:r w:rsidR="001A02FD">
        <w:t>3</w:t>
      </w:r>
      <w:r w:rsidR="00C33B63" w:rsidRPr="00C33B63">
        <w:t xml:space="preserve"> mg/g </w:t>
      </w:r>
      <w:r w:rsidR="00655F7A">
        <w:t>đạt được</w:t>
      </w:r>
      <w:r w:rsidR="00924D5F">
        <w:t xml:space="preserve"> mà</w:t>
      </w:r>
      <w:r w:rsidR="00C33B63" w:rsidRPr="00C33B63">
        <w:t xml:space="preserve"> </w:t>
      </w:r>
      <w:r w:rsidR="00177E94">
        <w:t>đồ án khảo sá</w:t>
      </w:r>
      <w:r w:rsidR="00924D5F">
        <w:t>t</w:t>
      </w:r>
      <w:r w:rsidR="00C33B63">
        <w:t xml:space="preserve"> </w:t>
      </w:r>
      <w:r w:rsidR="00C33B63">
        <w:fldChar w:fldCharType="begin"/>
      </w:r>
      <w:r w:rsidR="00871C6F">
        <w:instrText xml:space="preserve"> ADDIN ZOTERO_ITEM CSL_CITATION {"citationID":"ABGKKgOS","properties":{"formattedCitation":"[97]","plainCitation":"[97]","noteIndex":0},"citationItems":[{"id":442,"uris":["http://zotero.org/users/12953706/items/HYSXUDFA"],"itemData":{"id":442,"type":"article-journal","abstract":"The pyrolysis temperature strongly affects the properties of the peanut shell biochar, and influences its adsorption behavior and mechanisms for conta...","container-title":"Sustainability","DOI":"10.3390/su15010874","ISSN":"2071-1050","issue":"1","language":"en","license":"http://creativecommons.org/licenses/by/3.0/","note":"Company: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Removal of Tetracycline from Aqueous Solutions Using Peanut Shell Biochars Prepared at Different Pyrolysis Temperatures","URL":"https://www.mdpi.com/2071-1050/15/1/874","volume":"15","author":[{"family":"Shi","given":"Zhichao"},{"family":"Ma","given":"Aowen"},{"family":"Chen","given":"Yuanhang"},{"family":"Zhang","given":"Menghan"},{"family":"Zhang","given":"Yin"},{"family":"Zhou","given":"Na"},{"family":"Fan","given":"Shisuo"},{"family":"Wang","given":"Yi"},{"family":"Shi","given":"Zhichao"},{"family":"Ma","given":"Aowen"},{"family":"Chen","given":"Yuanhang"},{"family":"Zhang","given":"Menghan"},{"family":"Zhang","given":"Yin"},{"family":"Zhou","given":"Na"},{"family":"Fan","given":"Shisuo"},{"family":"Wang","given":"Yi"}],"accessed":{"date-parts":[["2025",12,17]]},"issued":{"date-parts":[["2023",1,3]]}}}],"schema":"https://github.com/citation-style-language/schema/raw/master/csl-citation.json"} </w:instrText>
      </w:r>
      <w:r w:rsidR="00C33B63">
        <w:fldChar w:fldCharType="separate"/>
      </w:r>
      <w:r w:rsidR="00871C6F" w:rsidRPr="00871C6F">
        <w:rPr>
          <w:rFonts w:cs="Times New Roman"/>
        </w:rPr>
        <w:t>[97]</w:t>
      </w:r>
      <w:r w:rsidR="00C33B63">
        <w:fldChar w:fldCharType="end"/>
      </w:r>
      <w:r w:rsidR="00C33B63">
        <w:t>.</w:t>
      </w:r>
    </w:p>
    <w:p w14:paraId="16440E4C" w14:textId="500C2E08" w:rsidR="00336E9E" w:rsidRPr="006D1942" w:rsidRDefault="007C17A4" w:rsidP="004D4C22">
      <w:pPr>
        <w:spacing w:before="240"/>
        <w:ind w:firstLine="454"/>
        <w:jc w:val="both"/>
      </w:pPr>
      <w:r w:rsidRPr="00126E37">
        <w:t xml:space="preserve">Để xác định chính xác cơ chế và tốc độ phản ứng, số liệu thực nghiệm động học đã được áp các mô hình phi tuyến tính bao gồm: </w:t>
      </w:r>
      <w:r w:rsidR="00827B92">
        <w:t>Đ</w:t>
      </w:r>
      <w:r w:rsidRPr="00126E37">
        <w:t xml:space="preserve">ộng học </w:t>
      </w:r>
      <w:r>
        <w:t>giả</w:t>
      </w:r>
      <w:r w:rsidRPr="00126E37">
        <w:t xml:space="preserve"> bậc 1, bậc 2 và Elovich qua </w:t>
      </w:r>
      <w:r>
        <w:t>H</w:t>
      </w:r>
      <w:r w:rsidRPr="00126E37">
        <w:t>ình</w:t>
      </w:r>
      <w:r>
        <w:t xml:space="preserve"> 3.1</w:t>
      </w:r>
      <w:r w:rsidR="007353F8">
        <w:t>2</w:t>
      </w:r>
      <w:r w:rsidRPr="00126E37">
        <w:t xml:space="preserve"> (</w:t>
      </w:r>
      <w:r>
        <w:t>a</w:t>
      </w:r>
      <w:r w:rsidRPr="00126E37">
        <w:t>), (</w:t>
      </w:r>
      <w:r>
        <w:t>b</w:t>
      </w:r>
      <w:r w:rsidRPr="00126E37">
        <w:t>), (</w:t>
      </w:r>
      <w:r>
        <w:t>c</w:t>
      </w:r>
      <w:r w:rsidRPr="00126E37">
        <w:t>)</w:t>
      </w:r>
      <w:r w:rsidR="00F0253D">
        <w:t xml:space="preserve"> và</w:t>
      </w:r>
      <w:r w:rsidRPr="00126E37">
        <w:t xml:space="preserve"> </w:t>
      </w:r>
      <w:r w:rsidR="00F0253D">
        <w:t>k</w:t>
      </w:r>
      <w:r w:rsidRPr="00126E37">
        <w:t xml:space="preserve">ết quả tính toán </w:t>
      </w:r>
      <w:r>
        <w:t>từ Bảng 3.3</w:t>
      </w:r>
      <w:r w:rsidRPr="00126E37">
        <w:t xml:space="preserve"> cho thấy mô hình động học giả bậc 1 và bậc 2 có hệ số tương quan thấp (</w:t>
      </w:r>
      <w:r>
        <w:t>R</w:t>
      </w:r>
      <w:r>
        <w:rPr>
          <w:vertAlign w:val="superscript"/>
        </w:rPr>
        <w:t>2</w:t>
      </w:r>
      <w:r>
        <w:t xml:space="preserve"> </w:t>
      </w:r>
      <w:r w:rsidRPr="00126E37">
        <w:t xml:space="preserve">lần lượt là </w:t>
      </w:r>
      <w:r w:rsidRPr="00126E37">
        <w:rPr>
          <w:rStyle w:val="math-inline"/>
          <w:rFonts w:eastAsiaTheme="majorEastAsia"/>
          <w:szCs w:val="26"/>
        </w:rPr>
        <w:t>0,591</w:t>
      </w:r>
      <w:r w:rsidRPr="00126E37">
        <w:t xml:space="preserve"> và </w:t>
      </w:r>
      <w:r w:rsidRPr="00126E37">
        <w:rPr>
          <w:rStyle w:val="math-inline"/>
          <w:rFonts w:eastAsiaTheme="majorEastAsia"/>
          <w:szCs w:val="26"/>
        </w:rPr>
        <w:t>0,874</w:t>
      </w:r>
      <w:r w:rsidRPr="00126E37">
        <w:t>), không đủ độ tin cậy để mô tả quá trình.</w:t>
      </w:r>
    </w:p>
    <w:tbl>
      <w:tblPr>
        <w:tblStyle w:val="TableGrid"/>
        <w:tblW w:w="969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825"/>
      </w:tblGrid>
      <w:tr w:rsidR="00F04739" w14:paraId="5452822F" w14:textId="77777777" w:rsidTr="008607FF">
        <w:tc>
          <w:tcPr>
            <w:tcW w:w="4866" w:type="dxa"/>
          </w:tcPr>
          <w:p w14:paraId="35ED716E" w14:textId="1C3F1140" w:rsidR="00F04739" w:rsidRDefault="00F04739" w:rsidP="00EA26F8">
            <w:pPr>
              <w:spacing w:line="276" w:lineRule="auto"/>
              <w:ind w:firstLine="0"/>
              <w:jc w:val="center"/>
            </w:pPr>
            <w:r>
              <w:lastRenderedPageBreak/>
              <w:t>(a)</w:t>
            </w:r>
          </w:p>
          <w:p w14:paraId="71256A4B" w14:textId="0358ECA1" w:rsidR="00F04739" w:rsidRDefault="005C07C4" w:rsidP="00FD473B">
            <w:pPr>
              <w:spacing w:line="276" w:lineRule="auto"/>
              <w:ind w:firstLine="0"/>
            </w:pPr>
            <w:r w:rsidRPr="001A02FD">
              <w:rPr>
                <w:noProof/>
                <w:lang w:eastAsia="en-US"/>
              </w:rPr>
              <w:drawing>
                <wp:inline distT="0" distB="0" distL="0" distR="0" wp14:anchorId="057A92D1" wp14:editId="23E6D81B">
                  <wp:extent cx="2952000" cy="2431307"/>
                  <wp:effectExtent l="0" t="0" r="1270" b="7620"/>
                  <wp:docPr id="888287837" name="Picture 88828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2000" cy="2431307"/>
                          </a:xfrm>
                          <a:prstGeom prst="rect">
                            <a:avLst/>
                          </a:prstGeom>
                        </pic:spPr>
                      </pic:pic>
                    </a:graphicData>
                  </a:graphic>
                </wp:inline>
              </w:drawing>
            </w:r>
          </w:p>
        </w:tc>
        <w:tc>
          <w:tcPr>
            <w:tcW w:w="4825" w:type="dxa"/>
          </w:tcPr>
          <w:p w14:paraId="436BAE37" w14:textId="77777777" w:rsidR="00F04739" w:rsidRDefault="00F04739" w:rsidP="00EA26F8">
            <w:pPr>
              <w:ind w:firstLine="0"/>
              <w:jc w:val="center"/>
            </w:pPr>
            <w:r>
              <w:t>(b)</w:t>
            </w:r>
          </w:p>
          <w:p w14:paraId="15074E46" w14:textId="30D66ACB" w:rsidR="00F04739" w:rsidRDefault="005C07C4" w:rsidP="00D94AFD">
            <w:pPr>
              <w:ind w:left="-494"/>
              <w:jc w:val="both"/>
            </w:pPr>
            <w:r w:rsidRPr="001A02FD">
              <w:rPr>
                <w:noProof/>
                <w:lang w:eastAsia="en-US"/>
              </w:rPr>
              <w:drawing>
                <wp:inline distT="0" distB="0" distL="0" distR="0" wp14:anchorId="2CCBB587" wp14:editId="44714B8B">
                  <wp:extent cx="2880000" cy="2355183"/>
                  <wp:effectExtent l="0" t="0" r="0" b="7620"/>
                  <wp:docPr id="888287836" name="Picture 88828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0000" cy="2355183"/>
                          </a:xfrm>
                          <a:prstGeom prst="rect">
                            <a:avLst/>
                          </a:prstGeom>
                        </pic:spPr>
                      </pic:pic>
                    </a:graphicData>
                  </a:graphic>
                </wp:inline>
              </w:drawing>
            </w:r>
          </w:p>
        </w:tc>
      </w:tr>
      <w:tr w:rsidR="00F04739" w14:paraId="369F6182" w14:textId="77777777" w:rsidTr="008607FF">
        <w:tc>
          <w:tcPr>
            <w:tcW w:w="4866" w:type="dxa"/>
          </w:tcPr>
          <w:p w14:paraId="310287C2" w14:textId="77777777" w:rsidR="0062724E" w:rsidRDefault="00F04739" w:rsidP="00DF58C2">
            <w:pPr>
              <w:spacing w:after="0" w:line="360" w:lineRule="auto"/>
              <w:ind w:firstLine="0"/>
              <w:jc w:val="center"/>
            </w:pPr>
            <w:r>
              <w:t>(c)</w:t>
            </w:r>
          </w:p>
          <w:p w14:paraId="7C592C19" w14:textId="7C4C8186" w:rsidR="0062724E" w:rsidRDefault="008607FF" w:rsidP="005C07C4">
            <w:pPr>
              <w:spacing w:after="0" w:line="240" w:lineRule="auto"/>
              <w:ind w:firstLine="0"/>
              <w:rPr>
                <w:noProof/>
              </w:rPr>
            </w:pPr>
            <w:r>
              <w:rPr>
                <w:noProof/>
                <w14:ligatures w14:val="standardContextual"/>
              </w:rPr>
              <w:t xml:space="preserve"> </w:t>
            </w:r>
            <w:r w:rsidR="00233F44" w:rsidRPr="001A02FD">
              <w:rPr>
                <w:noProof/>
                <w:lang w:eastAsia="en-US"/>
                <w14:ligatures w14:val="standardContextual"/>
              </w:rPr>
              <w:drawing>
                <wp:inline distT="0" distB="0" distL="0" distR="0" wp14:anchorId="29F9BE70" wp14:editId="3CD87EB8">
                  <wp:extent cx="2880000" cy="2387887"/>
                  <wp:effectExtent l="0" t="0" r="0" b="0"/>
                  <wp:docPr id="888287835" name="Picture 88828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80000" cy="2387887"/>
                          </a:xfrm>
                          <a:prstGeom prst="rect">
                            <a:avLst/>
                          </a:prstGeom>
                        </pic:spPr>
                      </pic:pic>
                    </a:graphicData>
                  </a:graphic>
                </wp:inline>
              </w:drawing>
            </w:r>
          </w:p>
        </w:tc>
        <w:tc>
          <w:tcPr>
            <w:tcW w:w="4825" w:type="dxa"/>
          </w:tcPr>
          <w:p w14:paraId="79322E75" w14:textId="5ABCDEBD" w:rsidR="0062724E" w:rsidRDefault="0062724E" w:rsidP="005C07C4">
            <w:pPr>
              <w:keepNext/>
              <w:spacing w:line="240" w:lineRule="auto"/>
              <w:ind w:firstLine="0"/>
              <w:rPr>
                <w:noProof/>
                <w14:ligatures w14:val="standardContextual"/>
              </w:rPr>
            </w:pPr>
          </w:p>
          <w:p w14:paraId="03FDB1EC" w14:textId="392F2EB0" w:rsidR="00F04739" w:rsidRDefault="00F04739" w:rsidP="00E326A8">
            <w:pPr>
              <w:keepNext/>
              <w:spacing w:line="240" w:lineRule="auto"/>
              <w:ind w:firstLine="0"/>
              <w:jc w:val="center"/>
            </w:pPr>
          </w:p>
        </w:tc>
      </w:tr>
    </w:tbl>
    <w:p w14:paraId="01C3219F" w14:textId="67B2F43F" w:rsidR="00F04739" w:rsidRDefault="00F04739" w:rsidP="008607FF">
      <w:pPr>
        <w:pStyle w:val="Caption"/>
        <w:ind w:firstLine="0"/>
        <w:rPr>
          <w:noProof/>
        </w:rPr>
      </w:pPr>
      <w:bookmarkStart w:id="36" w:name="_Toc218054546"/>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12</w:t>
        </w:r>
      </w:fldSimple>
      <w:r w:rsidRPr="004112E6">
        <w:rPr>
          <w:noProof/>
        </w:rPr>
        <w:t>.</w:t>
      </w:r>
      <w:r w:rsidR="004A0333" w:rsidRPr="004112E6">
        <w:rPr>
          <w:noProof/>
        </w:rPr>
        <w:t xml:space="preserve"> </w:t>
      </w:r>
      <w:r w:rsidRPr="004112E6">
        <w:rPr>
          <w:noProof/>
        </w:rPr>
        <w:t>Kết quả mô hình động học</w:t>
      </w:r>
      <w:r w:rsidR="007C0788" w:rsidRPr="004112E6">
        <w:rPr>
          <w:noProof/>
        </w:rPr>
        <w:t>:</w:t>
      </w:r>
      <w:r w:rsidR="004112E6" w:rsidRPr="004112E6">
        <w:rPr>
          <w:noProof/>
        </w:rPr>
        <w:t xml:space="preserve"> (</w:t>
      </w:r>
      <w:r w:rsidR="00C36245">
        <w:rPr>
          <w:noProof/>
        </w:rPr>
        <w:t>a</w:t>
      </w:r>
      <w:r w:rsidR="004112E6" w:rsidRPr="004112E6">
        <w:rPr>
          <w:noProof/>
        </w:rPr>
        <w:t>)</w:t>
      </w:r>
      <w:r w:rsidRPr="004112E6">
        <w:rPr>
          <w:noProof/>
        </w:rPr>
        <w:t xml:space="preserve"> Động học giả bậc 1,</w:t>
      </w:r>
      <w:r w:rsidR="004112E6" w:rsidRPr="004112E6">
        <w:rPr>
          <w:noProof/>
        </w:rPr>
        <w:t xml:space="preserve"> (</w:t>
      </w:r>
      <w:r w:rsidR="00C36245">
        <w:rPr>
          <w:noProof/>
        </w:rPr>
        <w:t>b</w:t>
      </w:r>
      <w:r w:rsidR="004112E6" w:rsidRPr="004112E6">
        <w:rPr>
          <w:noProof/>
        </w:rPr>
        <w:t>)</w:t>
      </w:r>
      <w:r w:rsidR="00166B86" w:rsidRPr="004112E6">
        <w:rPr>
          <w:noProof/>
        </w:rPr>
        <w:t xml:space="preserve"> </w:t>
      </w:r>
      <w:r w:rsidRPr="004112E6">
        <w:rPr>
          <w:noProof/>
        </w:rPr>
        <w:t>động học giả bậc 2</w:t>
      </w:r>
      <w:r w:rsidR="004A0333" w:rsidRPr="004112E6">
        <w:rPr>
          <w:noProof/>
        </w:rPr>
        <w:t xml:space="preserve"> </w:t>
      </w:r>
      <w:r w:rsidRPr="004112E6">
        <w:rPr>
          <w:noProof/>
        </w:rPr>
        <w:t>và</w:t>
      </w:r>
      <w:r w:rsidR="004112E6" w:rsidRPr="004112E6">
        <w:rPr>
          <w:noProof/>
        </w:rPr>
        <w:t xml:space="preserve"> (</w:t>
      </w:r>
      <w:r w:rsidR="00C36245">
        <w:rPr>
          <w:noProof/>
        </w:rPr>
        <w:t>c</w:t>
      </w:r>
      <w:r w:rsidR="004112E6" w:rsidRPr="004112E6">
        <w:rPr>
          <w:noProof/>
        </w:rPr>
        <w:t>)</w:t>
      </w:r>
      <w:r w:rsidRPr="004112E6">
        <w:rPr>
          <w:noProof/>
        </w:rPr>
        <w:t xml:space="preserve"> mô hình Elovich</w:t>
      </w:r>
      <w:r w:rsidR="004A0333" w:rsidRPr="004112E6">
        <w:rPr>
          <w:noProof/>
        </w:rPr>
        <w:t>.</w:t>
      </w:r>
      <w:bookmarkEnd w:id="36"/>
      <w:r w:rsidRPr="00EA0106">
        <w:rPr>
          <w:noProof/>
        </w:rPr>
        <w:t xml:space="preserve"> </w:t>
      </w:r>
    </w:p>
    <w:p w14:paraId="3E5E3987" w14:textId="66A3D715" w:rsidR="007C17A4" w:rsidRPr="007C17A4" w:rsidRDefault="007C17A4" w:rsidP="004D4C22">
      <w:pPr>
        <w:spacing w:before="240"/>
        <w:ind w:firstLine="454"/>
        <w:jc w:val="both"/>
      </w:pPr>
      <w:r w:rsidRPr="00126E37">
        <w:t xml:space="preserve">Ngược lại, mô hình Elovich cho kết quả phù hợp nhất với số liệu thực nghiệm, đạt hệ số tương quan </w:t>
      </w:r>
      <m:oMath>
        <m:sSup>
          <m:sSupPr>
            <m:ctrlPr>
              <w:rPr>
                <w:rStyle w:val="math-inline"/>
                <w:rFonts w:ascii="Cambria Math" w:eastAsiaTheme="majorEastAsia" w:hAnsi="Cambria Math"/>
                <w:i/>
                <w:szCs w:val="26"/>
              </w:rPr>
            </m:ctrlPr>
          </m:sSupPr>
          <m:e>
            <m:r>
              <w:rPr>
                <w:rStyle w:val="math-inline"/>
                <w:rFonts w:ascii="Cambria Math" w:eastAsiaTheme="majorEastAsia" w:hAnsi="Cambria Math"/>
                <w:szCs w:val="26"/>
              </w:rPr>
              <m:t>R</m:t>
            </m:r>
          </m:e>
          <m:sup>
            <m:r>
              <w:rPr>
                <w:rStyle w:val="math-inline"/>
                <w:rFonts w:ascii="Cambria Math" w:eastAsiaTheme="majorEastAsia" w:hAnsi="Cambria Math"/>
                <w:szCs w:val="26"/>
              </w:rPr>
              <m:t>2</m:t>
            </m:r>
          </m:sup>
        </m:sSup>
      </m:oMath>
      <w:r w:rsidRPr="00126E37">
        <w:t xml:space="preserve"> xấp xỉ </w:t>
      </w:r>
      <w:r>
        <w:t>0,99</w:t>
      </w:r>
      <w:r w:rsidRPr="00126E37">
        <w:t xml:space="preserve">. </w:t>
      </w:r>
      <w:r>
        <w:t xml:space="preserve">Sự phù hợp cao này cung cấp bằng chứng định lượng thuyết phục để khẳng định rằng quá trình lưu giữ Tetracycline trên vật liệu composite MGC/Fe3O4 bị chi phối chủ yếu </w:t>
      </w:r>
      <w:r w:rsidRPr="00C258F6">
        <w:t>bởi cơ chế hấp phụ hoá học,</w:t>
      </w:r>
      <w:r>
        <w:t xml:space="preserve"> diễn ra trên một bề mặt không đồng nhất về mặt năng lượng thay vì một bề mặt đồng nhất lý tưởng (như giả thuyết của Langmuir).</w:t>
      </w:r>
    </w:p>
    <w:p w14:paraId="39E34F56" w14:textId="15B15385" w:rsidR="00961397" w:rsidRDefault="00961397" w:rsidP="00B50364">
      <w:pPr>
        <w:pStyle w:val="Caption"/>
        <w:keepNext/>
        <w:spacing w:after="240"/>
        <w:ind w:firstLine="0"/>
      </w:pPr>
      <w:bookmarkStart w:id="37" w:name="_Toc218004842"/>
      <w:r>
        <w:t xml:space="preserve">Bảng  </w:t>
      </w:r>
      <w:fldSimple w:instr=" STYLEREF 1 \s ">
        <w:r w:rsidR="009801F7">
          <w:rPr>
            <w:noProof/>
          </w:rPr>
          <w:t>3</w:t>
        </w:r>
      </w:fldSimple>
      <w:r w:rsidR="00CF487F">
        <w:t>.</w:t>
      </w:r>
      <w:r w:rsidR="00CF0C31">
        <w:fldChar w:fldCharType="begin"/>
      </w:r>
      <w:r w:rsidR="00CF0C31">
        <w:instrText xml:space="preserve"> SEQ B</w:instrText>
      </w:r>
      <w:r w:rsidR="00CF0C31">
        <w:instrText>ả</w:instrText>
      </w:r>
      <w:r w:rsidR="00CF0C31">
        <w:instrText xml:space="preserve">ng_ \* ARABIC \s 1 </w:instrText>
      </w:r>
      <w:r w:rsidR="00CF0C31">
        <w:fldChar w:fldCharType="separate"/>
      </w:r>
      <w:r w:rsidR="009801F7">
        <w:rPr>
          <w:noProof/>
        </w:rPr>
        <w:t>3</w:t>
      </w:r>
      <w:r w:rsidR="00CF0C31">
        <w:rPr>
          <w:noProof/>
        </w:rPr>
        <w:fldChar w:fldCharType="end"/>
      </w:r>
      <w:r w:rsidRPr="009745F6">
        <w:t>. Kết quả thông số các mô hình động học</w:t>
      </w:r>
      <w:r w:rsidR="00166B86">
        <w:t>.</w:t>
      </w:r>
      <w:bookmarkEnd w:id="37"/>
    </w:p>
    <w:tbl>
      <w:tblPr>
        <w:tblW w:w="7549" w:type="dxa"/>
        <w:jc w:val="center"/>
        <w:tblLook w:val="04A0" w:firstRow="1" w:lastRow="0" w:firstColumn="1" w:lastColumn="0" w:noHBand="0" w:noVBand="1"/>
      </w:tblPr>
      <w:tblGrid>
        <w:gridCol w:w="2359"/>
        <w:gridCol w:w="1575"/>
        <w:gridCol w:w="1454"/>
        <w:gridCol w:w="2161"/>
      </w:tblGrid>
      <w:tr w:rsidR="003523B0" w:rsidRPr="006F2456" w14:paraId="58612183" w14:textId="77777777" w:rsidTr="00AE3379">
        <w:trPr>
          <w:trHeight w:val="956"/>
          <w:jc w:val="center"/>
        </w:trPr>
        <w:tc>
          <w:tcPr>
            <w:tcW w:w="23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A37B7" w14:textId="77777777" w:rsidR="00DE5A1D" w:rsidRPr="006F2456" w:rsidRDefault="00DE5A1D" w:rsidP="00DE5A1D">
            <w:pPr>
              <w:spacing w:after="0" w:line="240" w:lineRule="auto"/>
              <w:ind w:firstLineChars="100" w:firstLine="221"/>
              <w:rPr>
                <w:rFonts w:eastAsia="Times New Roman" w:cs="Times New Roman"/>
                <w:b/>
                <w:bCs/>
                <w:color w:val="1F1F1F"/>
                <w:sz w:val="22"/>
                <w:lang w:eastAsia="en-US"/>
              </w:rPr>
            </w:pPr>
            <w:r w:rsidRPr="006F2456">
              <w:rPr>
                <w:rFonts w:eastAsia="Times New Roman" w:cs="Times New Roman"/>
                <w:b/>
                <w:bCs/>
                <w:color w:val="1F1F1F"/>
                <w:sz w:val="22"/>
                <w:lang w:eastAsia="en-US"/>
              </w:rPr>
              <w:t>Mô hình động học</w:t>
            </w:r>
          </w:p>
        </w:tc>
        <w:tc>
          <w:tcPr>
            <w:tcW w:w="1575" w:type="dxa"/>
            <w:tcBorders>
              <w:top w:val="single" w:sz="8" w:space="0" w:color="000000"/>
              <w:left w:val="nil"/>
              <w:bottom w:val="single" w:sz="8" w:space="0" w:color="000000"/>
              <w:right w:val="single" w:sz="8" w:space="0" w:color="000000"/>
            </w:tcBorders>
            <w:shd w:val="clear" w:color="auto" w:fill="auto"/>
            <w:vAlign w:val="center"/>
            <w:hideMark/>
          </w:tcPr>
          <w:p w14:paraId="180872A0" w14:textId="77777777" w:rsidR="00DE5A1D" w:rsidRPr="006F2456" w:rsidRDefault="00DE5A1D" w:rsidP="00DE5A1D">
            <w:pPr>
              <w:spacing w:after="0" w:line="240" w:lineRule="auto"/>
              <w:ind w:firstLineChars="100" w:firstLine="221"/>
              <w:rPr>
                <w:rFonts w:eastAsia="Times New Roman" w:cs="Times New Roman"/>
                <w:b/>
                <w:bCs/>
                <w:color w:val="1F1F1F"/>
                <w:sz w:val="22"/>
                <w:lang w:eastAsia="en-US"/>
              </w:rPr>
            </w:pPr>
            <w:r w:rsidRPr="006F2456">
              <w:rPr>
                <w:rFonts w:eastAsia="Times New Roman" w:cs="Times New Roman"/>
                <w:b/>
                <w:bCs/>
                <w:color w:val="1F1F1F"/>
                <w:sz w:val="22"/>
                <w:lang w:eastAsia="en-US"/>
              </w:rPr>
              <w:t>Thông số</w:t>
            </w:r>
          </w:p>
        </w:tc>
        <w:tc>
          <w:tcPr>
            <w:tcW w:w="1454" w:type="dxa"/>
            <w:tcBorders>
              <w:top w:val="single" w:sz="8" w:space="0" w:color="000000"/>
              <w:left w:val="nil"/>
              <w:bottom w:val="single" w:sz="8" w:space="0" w:color="000000"/>
              <w:right w:val="single" w:sz="8" w:space="0" w:color="000000"/>
            </w:tcBorders>
            <w:shd w:val="clear" w:color="auto" w:fill="auto"/>
            <w:vAlign w:val="center"/>
            <w:hideMark/>
          </w:tcPr>
          <w:p w14:paraId="17222371" w14:textId="77777777" w:rsidR="00DE5A1D" w:rsidRPr="006F2456" w:rsidRDefault="00DE5A1D" w:rsidP="00DE5A1D">
            <w:pPr>
              <w:spacing w:after="0" w:line="240" w:lineRule="auto"/>
              <w:ind w:firstLineChars="100" w:firstLine="221"/>
              <w:rPr>
                <w:rFonts w:eastAsia="Times New Roman" w:cs="Times New Roman"/>
                <w:b/>
                <w:bCs/>
                <w:color w:val="1F1F1F"/>
                <w:sz w:val="22"/>
                <w:lang w:eastAsia="en-US"/>
              </w:rPr>
            </w:pPr>
            <w:r w:rsidRPr="006F2456">
              <w:rPr>
                <w:rFonts w:eastAsia="Times New Roman" w:cs="Times New Roman"/>
                <w:b/>
                <w:bCs/>
                <w:color w:val="1F1F1F"/>
                <w:sz w:val="22"/>
                <w:lang w:eastAsia="en-US"/>
              </w:rPr>
              <w:t>Giá trị</w:t>
            </w:r>
          </w:p>
        </w:tc>
        <w:tc>
          <w:tcPr>
            <w:tcW w:w="2161" w:type="dxa"/>
            <w:tcBorders>
              <w:top w:val="single" w:sz="8" w:space="0" w:color="000000"/>
              <w:left w:val="nil"/>
              <w:bottom w:val="single" w:sz="8" w:space="0" w:color="000000"/>
              <w:right w:val="single" w:sz="8" w:space="0" w:color="000000"/>
            </w:tcBorders>
            <w:shd w:val="clear" w:color="auto" w:fill="auto"/>
            <w:vAlign w:val="center"/>
            <w:hideMark/>
          </w:tcPr>
          <w:p w14:paraId="13B66C30" w14:textId="72EAD096" w:rsidR="00DE5A1D" w:rsidRPr="006F2456" w:rsidRDefault="00DE5A1D" w:rsidP="00306D39">
            <w:pPr>
              <w:spacing w:after="0" w:line="240" w:lineRule="auto"/>
              <w:ind w:firstLine="0"/>
              <w:jc w:val="center"/>
              <w:rPr>
                <w:rFonts w:eastAsia="Times New Roman" w:cs="Times New Roman"/>
                <w:b/>
                <w:bCs/>
                <w:color w:val="1F1F1F"/>
                <w:sz w:val="22"/>
                <w:lang w:eastAsia="en-US"/>
              </w:rPr>
            </w:pPr>
            <w:r w:rsidRPr="006F2456">
              <w:rPr>
                <w:rFonts w:eastAsia="Times New Roman" w:cs="Times New Roman"/>
                <w:b/>
                <w:bCs/>
                <w:color w:val="1F1F1F"/>
                <w:sz w:val="22"/>
                <w:lang w:eastAsia="en-US"/>
              </w:rPr>
              <w:t>Hệ số tương quan (R</w:t>
            </w:r>
            <w:r w:rsidR="00B944FC" w:rsidRPr="006F2456">
              <w:rPr>
                <w:rFonts w:eastAsia="Times New Roman" w:cs="Times New Roman"/>
                <w:b/>
                <w:bCs/>
                <w:color w:val="1F1F1F"/>
                <w:sz w:val="22"/>
                <w:vertAlign w:val="superscript"/>
                <w:lang w:eastAsia="en-US"/>
              </w:rPr>
              <w:t>2</w:t>
            </w:r>
            <w:r w:rsidR="00B944FC" w:rsidRPr="006F2456">
              <w:rPr>
                <w:rFonts w:eastAsia="Times New Roman" w:cs="Times New Roman"/>
                <w:b/>
                <w:bCs/>
                <w:color w:val="1F1F1F"/>
                <w:sz w:val="22"/>
                <w:lang w:eastAsia="en-US"/>
              </w:rPr>
              <w:t>)</w:t>
            </w:r>
          </w:p>
        </w:tc>
      </w:tr>
      <w:tr w:rsidR="00491281" w:rsidRPr="006F2456" w14:paraId="0FB173E5" w14:textId="77777777" w:rsidTr="00AE3379">
        <w:trPr>
          <w:trHeight w:val="719"/>
          <w:jc w:val="center"/>
        </w:trPr>
        <w:tc>
          <w:tcPr>
            <w:tcW w:w="2359" w:type="dxa"/>
            <w:vMerge w:val="restart"/>
            <w:tcBorders>
              <w:top w:val="nil"/>
              <w:left w:val="single" w:sz="8" w:space="0" w:color="000000"/>
              <w:right w:val="single" w:sz="8" w:space="0" w:color="000000"/>
            </w:tcBorders>
            <w:shd w:val="clear" w:color="auto" w:fill="auto"/>
            <w:vAlign w:val="center"/>
            <w:hideMark/>
          </w:tcPr>
          <w:p w14:paraId="7B0BF753" w14:textId="2EA4A616" w:rsidR="00491281" w:rsidRPr="006F2456" w:rsidRDefault="003C07EC" w:rsidP="00DE5A1D">
            <w:pPr>
              <w:spacing w:after="0" w:line="240" w:lineRule="auto"/>
              <w:ind w:firstLineChars="100" w:firstLine="221"/>
              <w:rPr>
                <w:rFonts w:eastAsia="Times New Roman" w:cs="Times New Roman"/>
                <w:b/>
                <w:bCs/>
                <w:color w:val="1F1F1F"/>
                <w:sz w:val="22"/>
                <w:lang w:eastAsia="en-US"/>
              </w:rPr>
            </w:pPr>
            <w:r w:rsidRPr="006F2456">
              <w:rPr>
                <w:rFonts w:eastAsia="Times New Roman" w:cs="Times New Roman"/>
                <w:b/>
                <w:bCs/>
                <w:color w:val="1F1F1F"/>
                <w:sz w:val="22"/>
                <w:lang w:eastAsia="en-US"/>
              </w:rPr>
              <w:lastRenderedPageBreak/>
              <w:t>Động học giả</w:t>
            </w:r>
            <w:r w:rsidR="00491281" w:rsidRPr="006F2456">
              <w:rPr>
                <w:rFonts w:eastAsia="Times New Roman" w:cs="Times New Roman"/>
                <w:b/>
                <w:bCs/>
                <w:color w:val="1F1F1F"/>
                <w:sz w:val="22"/>
                <w:lang w:eastAsia="en-US"/>
              </w:rPr>
              <w:t xml:space="preserve"> bậc 1</w:t>
            </w:r>
          </w:p>
          <w:p w14:paraId="214F81A6" w14:textId="151C2C1B" w:rsidR="00491281" w:rsidRPr="006F2456" w:rsidRDefault="00491281" w:rsidP="00306D39">
            <w:pPr>
              <w:spacing w:after="0" w:line="240" w:lineRule="auto"/>
              <w:ind w:firstLine="0"/>
              <w:rPr>
                <w:rFonts w:eastAsia="Times New Roman" w:cs="Times New Roman"/>
                <w:b/>
                <w:bCs/>
                <w:color w:val="1F1F1F"/>
                <w:sz w:val="22"/>
                <w:lang w:eastAsia="en-US"/>
              </w:rPr>
            </w:pPr>
            <w:r w:rsidRPr="006F2456">
              <w:rPr>
                <w:rFonts w:eastAsia="Times New Roman" w:cs="Times New Roman"/>
                <w:i/>
                <w:iCs/>
                <w:color w:val="1F1F1F"/>
                <w:sz w:val="22"/>
                <w:lang w:eastAsia="en-US"/>
              </w:rPr>
              <w:t>(Pseudo-first-order)</w:t>
            </w:r>
          </w:p>
        </w:tc>
        <w:tc>
          <w:tcPr>
            <w:tcW w:w="1575" w:type="dxa"/>
            <w:tcBorders>
              <w:top w:val="nil"/>
              <w:left w:val="nil"/>
              <w:bottom w:val="single" w:sz="8" w:space="0" w:color="000000"/>
              <w:right w:val="single" w:sz="8" w:space="0" w:color="000000"/>
            </w:tcBorders>
            <w:shd w:val="clear" w:color="auto" w:fill="auto"/>
            <w:vAlign w:val="center"/>
            <w:hideMark/>
          </w:tcPr>
          <w:p w14:paraId="022D75BB" w14:textId="67CE4AFF" w:rsidR="00491281" w:rsidRPr="006F2456" w:rsidRDefault="00CF0C31" w:rsidP="008C6F51">
            <w:pPr>
              <w:spacing w:after="0" w:line="240" w:lineRule="auto"/>
              <w:ind w:firstLine="0"/>
              <w:jc w:val="center"/>
              <w:rPr>
                <w:rFonts w:eastAsia="Times New Roman" w:cs="Times New Roman"/>
                <w:color w:val="1F1F1F"/>
                <w:sz w:val="22"/>
                <w:lang w:eastAsia="en-US"/>
              </w:rPr>
            </w:pPr>
            <m:oMath>
              <m:sSub>
                <m:sSubPr>
                  <m:ctrlPr>
                    <w:rPr>
                      <w:rFonts w:ascii="Cambria Math" w:eastAsia="Times New Roman" w:hAnsi="Cambria Math" w:cs="Times New Roman"/>
                      <w:i/>
                      <w:color w:val="1F1F1F"/>
                      <w:szCs w:val="26"/>
                      <w:lang w:eastAsia="en-US"/>
                    </w:rPr>
                  </m:ctrlPr>
                </m:sSubPr>
                <m:e>
                  <m:r>
                    <w:rPr>
                      <w:rFonts w:ascii="Cambria Math" w:eastAsia="Times New Roman" w:hAnsi="Cambria Math" w:cs="Times New Roman"/>
                      <w:color w:val="1F1F1F"/>
                      <w:szCs w:val="26"/>
                      <w:lang w:eastAsia="en-US"/>
                    </w:rPr>
                    <m:t>Q</m:t>
                  </m:r>
                </m:e>
                <m:sub>
                  <m:r>
                    <w:rPr>
                      <w:rFonts w:ascii="Cambria Math" w:eastAsia="Times New Roman" w:hAnsi="Cambria Math" w:cs="Times New Roman"/>
                      <w:color w:val="1F1F1F"/>
                      <w:szCs w:val="26"/>
                      <w:lang w:eastAsia="en-US"/>
                    </w:rPr>
                    <m:t>e</m:t>
                  </m:r>
                </m:sub>
              </m:sSub>
              <m:r>
                <w:rPr>
                  <w:rFonts w:ascii="Cambria Math" w:eastAsia="Times New Roman" w:hAnsi="Cambria Math" w:cs="Times New Roman"/>
                  <w:color w:val="1F1F1F"/>
                  <w:szCs w:val="26"/>
                  <w:lang w:eastAsia="en-US"/>
                </w:rPr>
                <m:t xml:space="preserve"> </m:t>
              </m:r>
            </m:oMath>
            <w:r w:rsidR="00491281" w:rsidRPr="006F2456">
              <w:rPr>
                <w:rFonts w:eastAsia="Times New Roman" w:cs="Times New Roman"/>
                <w:color w:val="1F1F1F"/>
                <w:sz w:val="22"/>
                <w:lang w:eastAsia="en-US"/>
              </w:rPr>
              <w:t>(mg/g)</w:t>
            </w:r>
          </w:p>
        </w:tc>
        <w:tc>
          <w:tcPr>
            <w:tcW w:w="1454" w:type="dxa"/>
            <w:tcBorders>
              <w:top w:val="nil"/>
              <w:left w:val="nil"/>
              <w:bottom w:val="single" w:sz="8" w:space="0" w:color="000000"/>
              <w:right w:val="single" w:sz="8" w:space="0" w:color="000000"/>
            </w:tcBorders>
            <w:shd w:val="clear" w:color="auto" w:fill="auto"/>
            <w:vAlign w:val="center"/>
            <w:hideMark/>
          </w:tcPr>
          <w:p w14:paraId="250A31CB" w14:textId="741311AA" w:rsidR="00491281" w:rsidRPr="006F2456" w:rsidRDefault="00C764D9" w:rsidP="00DE5A1D">
            <w:pPr>
              <w:spacing w:after="0" w:line="240" w:lineRule="auto"/>
              <w:ind w:firstLineChars="100" w:firstLine="220"/>
              <w:rPr>
                <w:rFonts w:eastAsia="Times New Roman" w:cs="Times New Roman"/>
                <w:color w:val="1F1F1F"/>
                <w:sz w:val="22"/>
                <w:lang w:eastAsia="en-US"/>
              </w:rPr>
            </w:pPr>
            <w:r>
              <w:rPr>
                <w:rFonts w:eastAsia="Times New Roman" w:cs="Times New Roman"/>
                <w:color w:val="1F1F1F"/>
                <w:sz w:val="22"/>
                <w:lang w:eastAsia="en-US"/>
              </w:rPr>
              <w:t>10,1</w:t>
            </w:r>
          </w:p>
        </w:tc>
        <w:tc>
          <w:tcPr>
            <w:tcW w:w="2161" w:type="dxa"/>
            <w:vMerge w:val="restart"/>
            <w:tcBorders>
              <w:top w:val="nil"/>
              <w:left w:val="nil"/>
              <w:right w:val="single" w:sz="8" w:space="0" w:color="000000"/>
            </w:tcBorders>
            <w:shd w:val="clear" w:color="auto" w:fill="auto"/>
            <w:vAlign w:val="center"/>
            <w:hideMark/>
          </w:tcPr>
          <w:p w14:paraId="13250EB2" w14:textId="7A70380B" w:rsidR="00491281" w:rsidRPr="006F2456" w:rsidRDefault="00491281" w:rsidP="00306D39">
            <w:pPr>
              <w:spacing w:after="0" w:line="240" w:lineRule="auto"/>
              <w:ind w:firstLine="0"/>
              <w:jc w:val="center"/>
              <w:rPr>
                <w:rFonts w:eastAsia="Times New Roman" w:cs="Times New Roman"/>
                <w:color w:val="1F1F1F"/>
                <w:sz w:val="22"/>
                <w:lang w:eastAsia="en-US"/>
              </w:rPr>
            </w:pPr>
            <w:r w:rsidRPr="006F2456">
              <w:rPr>
                <w:rFonts w:eastAsia="Times New Roman" w:cs="Times New Roman"/>
                <w:color w:val="1F1F1F"/>
                <w:sz w:val="22"/>
                <w:lang w:eastAsia="en-US"/>
              </w:rPr>
              <w:t>0,5</w:t>
            </w:r>
            <w:r w:rsidR="007D57D3">
              <w:rPr>
                <w:rFonts w:eastAsia="Times New Roman" w:cs="Times New Roman"/>
                <w:color w:val="1F1F1F"/>
                <w:sz w:val="22"/>
                <w:lang w:eastAsia="en-US"/>
              </w:rPr>
              <w:t>91</w:t>
            </w:r>
          </w:p>
        </w:tc>
      </w:tr>
      <w:tr w:rsidR="00491281" w:rsidRPr="006F2456" w14:paraId="2BE4ED37" w14:textId="77777777" w:rsidTr="00AE3379">
        <w:trPr>
          <w:trHeight w:val="684"/>
          <w:jc w:val="center"/>
        </w:trPr>
        <w:tc>
          <w:tcPr>
            <w:tcW w:w="2359" w:type="dxa"/>
            <w:vMerge/>
            <w:tcBorders>
              <w:left w:val="single" w:sz="8" w:space="0" w:color="000000"/>
              <w:bottom w:val="single" w:sz="8" w:space="0" w:color="000000"/>
              <w:right w:val="single" w:sz="8" w:space="0" w:color="000000"/>
            </w:tcBorders>
            <w:shd w:val="clear" w:color="auto" w:fill="auto"/>
            <w:vAlign w:val="center"/>
            <w:hideMark/>
          </w:tcPr>
          <w:p w14:paraId="25B7D8A2" w14:textId="65F820B7" w:rsidR="00491281" w:rsidRPr="006F2456" w:rsidRDefault="00491281" w:rsidP="00DE5A1D">
            <w:pPr>
              <w:spacing w:after="0" w:line="240" w:lineRule="auto"/>
              <w:ind w:firstLineChars="100" w:firstLine="220"/>
              <w:rPr>
                <w:rFonts w:eastAsia="Times New Roman" w:cs="Times New Roman"/>
                <w:i/>
                <w:iCs/>
                <w:color w:val="1F1F1F"/>
                <w:sz w:val="22"/>
                <w:lang w:eastAsia="en-US"/>
              </w:rPr>
            </w:pPr>
          </w:p>
        </w:tc>
        <w:tc>
          <w:tcPr>
            <w:tcW w:w="1575" w:type="dxa"/>
            <w:tcBorders>
              <w:top w:val="nil"/>
              <w:left w:val="nil"/>
              <w:bottom w:val="single" w:sz="8" w:space="0" w:color="000000"/>
              <w:right w:val="single" w:sz="8" w:space="0" w:color="000000"/>
            </w:tcBorders>
            <w:shd w:val="clear" w:color="auto" w:fill="auto"/>
            <w:vAlign w:val="center"/>
            <w:hideMark/>
          </w:tcPr>
          <w:p w14:paraId="18FE7A6C" w14:textId="40684B17" w:rsidR="00491281" w:rsidRPr="006F2456" w:rsidRDefault="00CF0C31" w:rsidP="008C6F51">
            <w:pPr>
              <w:spacing w:after="0" w:line="240" w:lineRule="auto"/>
              <w:ind w:firstLine="0"/>
              <w:jc w:val="center"/>
              <w:rPr>
                <w:rFonts w:eastAsia="Times New Roman" w:cs="Times New Roman"/>
                <w:color w:val="1F1F1F"/>
                <w:sz w:val="22"/>
                <w:lang w:eastAsia="en-US"/>
              </w:rPr>
            </w:pPr>
            <m:oMath>
              <m:sSub>
                <m:sSubPr>
                  <m:ctrlPr>
                    <w:rPr>
                      <w:rFonts w:ascii="Cambria Math" w:eastAsia="Times New Roman" w:hAnsi="Cambria Math" w:cs="Times New Roman"/>
                      <w:i/>
                      <w:color w:val="1F1F1F"/>
                      <w:sz w:val="22"/>
                      <w:lang w:eastAsia="en-US"/>
                    </w:rPr>
                  </m:ctrlPr>
                </m:sSubPr>
                <m:e>
                  <m:r>
                    <w:rPr>
                      <w:rFonts w:ascii="Cambria Math" w:eastAsia="Times New Roman" w:hAnsi="Cambria Math" w:cs="Times New Roman"/>
                      <w:color w:val="1F1F1F"/>
                      <w:sz w:val="22"/>
                      <w:lang w:eastAsia="en-US"/>
                    </w:rPr>
                    <m:t>k</m:t>
                  </m:r>
                </m:e>
                <m:sub>
                  <m:r>
                    <w:rPr>
                      <w:rFonts w:ascii="Cambria Math" w:eastAsia="Times New Roman" w:hAnsi="Cambria Math" w:cs="Times New Roman"/>
                      <w:color w:val="1F1F1F"/>
                      <w:sz w:val="22"/>
                      <w:lang w:eastAsia="en-US"/>
                    </w:rPr>
                    <m:t>1</m:t>
                  </m:r>
                </m:sub>
              </m:sSub>
            </m:oMath>
            <w:r w:rsidR="00491281" w:rsidRPr="006F2456">
              <w:rPr>
                <w:rFonts w:eastAsia="Times New Roman" w:cs="Times New Roman"/>
                <w:color w:val="1F1F1F"/>
                <w:sz w:val="22"/>
                <w:lang w:eastAsia="en-US"/>
              </w:rPr>
              <w:t xml:space="preserve"> </w:t>
            </w:r>
            <m:oMath>
              <m:d>
                <m:dPr>
                  <m:ctrlPr>
                    <w:rPr>
                      <w:rFonts w:ascii="Cambria Math" w:eastAsia="Times New Roman" w:hAnsi="Cambria Math" w:cs="Times New Roman"/>
                      <w:i/>
                      <w:color w:val="1F1F1F"/>
                      <w:sz w:val="22"/>
                      <w:lang w:eastAsia="en-US"/>
                    </w:rPr>
                  </m:ctrlPr>
                </m:dPr>
                <m:e>
                  <m:sSup>
                    <m:sSupPr>
                      <m:ctrlPr>
                        <w:rPr>
                          <w:rFonts w:ascii="Cambria Math" w:eastAsia="Times New Roman" w:hAnsi="Cambria Math" w:cs="Times New Roman"/>
                          <w:i/>
                          <w:color w:val="1F1F1F"/>
                          <w:sz w:val="22"/>
                          <w:lang w:eastAsia="en-US"/>
                        </w:rPr>
                      </m:ctrlPr>
                    </m:sSupPr>
                    <m:e>
                      <m:r>
                        <w:rPr>
                          <w:rFonts w:ascii="Cambria Math" w:eastAsia="Times New Roman" w:hAnsi="Cambria Math" w:cs="Times New Roman"/>
                          <w:color w:val="1F1F1F"/>
                          <w:sz w:val="22"/>
                          <w:lang w:eastAsia="en-US"/>
                        </w:rPr>
                        <m:t>t</m:t>
                      </m:r>
                    </m:e>
                    <m:sup>
                      <m:r>
                        <w:rPr>
                          <w:rFonts w:ascii="Cambria Math" w:eastAsia="Times New Roman" w:hAnsi="Cambria Math" w:cs="Times New Roman"/>
                          <w:color w:val="1F1F1F"/>
                          <w:sz w:val="22"/>
                          <w:lang w:eastAsia="en-US"/>
                        </w:rPr>
                        <m:t>-1</m:t>
                      </m:r>
                    </m:sup>
                  </m:sSup>
                </m:e>
              </m:d>
            </m:oMath>
          </w:p>
        </w:tc>
        <w:tc>
          <w:tcPr>
            <w:tcW w:w="1454" w:type="dxa"/>
            <w:tcBorders>
              <w:top w:val="nil"/>
              <w:left w:val="nil"/>
              <w:bottom w:val="single" w:sz="8" w:space="0" w:color="000000"/>
              <w:right w:val="single" w:sz="8" w:space="0" w:color="000000"/>
            </w:tcBorders>
            <w:shd w:val="clear" w:color="auto" w:fill="auto"/>
            <w:vAlign w:val="center"/>
            <w:hideMark/>
          </w:tcPr>
          <w:p w14:paraId="75AB4438" w14:textId="2803CE36" w:rsidR="00491281" w:rsidRPr="006F2456" w:rsidRDefault="00491281" w:rsidP="00DE5A1D">
            <w:pPr>
              <w:spacing w:after="0" w:line="240" w:lineRule="auto"/>
              <w:ind w:firstLineChars="100" w:firstLine="220"/>
              <w:rPr>
                <w:rFonts w:eastAsia="Times New Roman" w:cs="Times New Roman"/>
                <w:color w:val="1F1F1F"/>
                <w:sz w:val="22"/>
                <w:lang w:eastAsia="en-US"/>
              </w:rPr>
            </w:pPr>
            <w:r w:rsidRPr="006F2456">
              <w:rPr>
                <w:rFonts w:eastAsia="Times New Roman" w:cs="Times New Roman"/>
                <w:color w:val="1F1F1F"/>
                <w:sz w:val="22"/>
                <w:lang w:eastAsia="en-US"/>
              </w:rPr>
              <w:t>1</w:t>
            </w:r>
            <w:r w:rsidR="00C764D9">
              <w:rPr>
                <w:rFonts w:eastAsia="Times New Roman" w:cs="Times New Roman"/>
                <w:color w:val="1F1F1F"/>
                <w:sz w:val="22"/>
                <w:lang w:eastAsia="en-US"/>
              </w:rPr>
              <w:t>5,1</w:t>
            </w:r>
          </w:p>
        </w:tc>
        <w:tc>
          <w:tcPr>
            <w:tcW w:w="2161" w:type="dxa"/>
            <w:vMerge/>
            <w:tcBorders>
              <w:left w:val="nil"/>
              <w:bottom w:val="single" w:sz="8" w:space="0" w:color="000000"/>
              <w:right w:val="single" w:sz="8" w:space="0" w:color="000000"/>
            </w:tcBorders>
            <w:shd w:val="clear" w:color="auto" w:fill="auto"/>
            <w:vAlign w:val="center"/>
            <w:hideMark/>
          </w:tcPr>
          <w:p w14:paraId="46650105" w14:textId="57ADBD49" w:rsidR="00491281" w:rsidRPr="006F2456" w:rsidRDefault="00491281" w:rsidP="00306D39">
            <w:pPr>
              <w:spacing w:after="0" w:line="240" w:lineRule="auto"/>
              <w:ind w:firstLineChars="100" w:firstLine="220"/>
              <w:jc w:val="center"/>
              <w:rPr>
                <w:rFonts w:eastAsia="Times New Roman" w:cs="Times New Roman"/>
                <w:color w:val="1F1F1F"/>
                <w:sz w:val="22"/>
                <w:lang w:eastAsia="en-US"/>
              </w:rPr>
            </w:pPr>
          </w:p>
        </w:tc>
      </w:tr>
      <w:tr w:rsidR="00491281" w:rsidRPr="006F2456" w14:paraId="50B4F2C0" w14:textId="77777777" w:rsidTr="00AE3379">
        <w:trPr>
          <w:trHeight w:val="719"/>
          <w:jc w:val="center"/>
        </w:trPr>
        <w:tc>
          <w:tcPr>
            <w:tcW w:w="2359" w:type="dxa"/>
            <w:vMerge w:val="restart"/>
            <w:tcBorders>
              <w:top w:val="nil"/>
              <w:left w:val="single" w:sz="8" w:space="0" w:color="000000"/>
              <w:right w:val="single" w:sz="8" w:space="0" w:color="000000"/>
            </w:tcBorders>
            <w:shd w:val="clear" w:color="auto" w:fill="auto"/>
            <w:vAlign w:val="center"/>
            <w:hideMark/>
          </w:tcPr>
          <w:p w14:paraId="4FAA778E" w14:textId="70EDBDA9" w:rsidR="00491281" w:rsidRPr="006F2456" w:rsidRDefault="003C07EC" w:rsidP="00DE5A1D">
            <w:pPr>
              <w:spacing w:after="0" w:line="240" w:lineRule="auto"/>
              <w:ind w:firstLineChars="100" w:firstLine="221"/>
              <w:rPr>
                <w:rFonts w:eastAsia="Times New Roman" w:cs="Times New Roman"/>
                <w:b/>
                <w:bCs/>
                <w:color w:val="1F1F1F"/>
                <w:sz w:val="22"/>
                <w:lang w:eastAsia="en-US"/>
              </w:rPr>
            </w:pPr>
            <w:r w:rsidRPr="006F2456">
              <w:rPr>
                <w:rFonts w:eastAsia="Times New Roman" w:cs="Times New Roman"/>
                <w:b/>
                <w:bCs/>
                <w:color w:val="1F1F1F"/>
                <w:sz w:val="22"/>
                <w:lang w:eastAsia="en-US"/>
              </w:rPr>
              <w:t>Động học giả</w:t>
            </w:r>
            <w:r w:rsidR="00491281" w:rsidRPr="006F2456">
              <w:rPr>
                <w:rFonts w:eastAsia="Times New Roman" w:cs="Times New Roman"/>
                <w:b/>
                <w:bCs/>
                <w:color w:val="1F1F1F"/>
                <w:sz w:val="22"/>
                <w:lang w:eastAsia="en-US"/>
              </w:rPr>
              <w:t xml:space="preserve"> bậc 2</w:t>
            </w:r>
          </w:p>
          <w:p w14:paraId="6EA90B30" w14:textId="59B96ACF" w:rsidR="00491281" w:rsidRPr="006F2456" w:rsidRDefault="00491281" w:rsidP="00306D39">
            <w:pPr>
              <w:spacing w:after="0" w:line="240" w:lineRule="auto"/>
              <w:ind w:firstLine="0"/>
              <w:rPr>
                <w:rFonts w:eastAsia="Times New Roman" w:cs="Times New Roman"/>
                <w:b/>
                <w:bCs/>
                <w:color w:val="1F1F1F"/>
                <w:sz w:val="22"/>
                <w:lang w:eastAsia="en-US"/>
              </w:rPr>
            </w:pPr>
            <w:r w:rsidRPr="006F2456">
              <w:rPr>
                <w:rFonts w:eastAsia="Times New Roman" w:cs="Times New Roman"/>
                <w:i/>
                <w:iCs/>
                <w:color w:val="1F1F1F"/>
                <w:sz w:val="22"/>
                <w:lang w:eastAsia="en-US"/>
              </w:rPr>
              <w:t>(Pseudo-second-order)</w:t>
            </w:r>
          </w:p>
        </w:tc>
        <w:tc>
          <w:tcPr>
            <w:tcW w:w="1575" w:type="dxa"/>
            <w:tcBorders>
              <w:top w:val="nil"/>
              <w:left w:val="nil"/>
              <w:bottom w:val="single" w:sz="8" w:space="0" w:color="000000"/>
              <w:right w:val="single" w:sz="8" w:space="0" w:color="000000"/>
            </w:tcBorders>
            <w:shd w:val="clear" w:color="auto" w:fill="auto"/>
            <w:vAlign w:val="center"/>
            <w:hideMark/>
          </w:tcPr>
          <w:p w14:paraId="661F24E0" w14:textId="6B892705" w:rsidR="00491281" w:rsidRPr="006F2456" w:rsidRDefault="00CF0C31" w:rsidP="008C6F51">
            <w:pPr>
              <w:spacing w:after="0" w:line="240" w:lineRule="auto"/>
              <w:ind w:firstLine="0"/>
              <w:jc w:val="center"/>
              <w:rPr>
                <w:rFonts w:eastAsia="Times New Roman" w:cs="Times New Roman"/>
                <w:color w:val="1F1F1F"/>
                <w:sz w:val="22"/>
                <w:lang w:eastAsia="en-US"/>
              </w:rPr>
            </w:pPr>
            <m:oMath>
              <m:sSub>
                <m:sSubPr>
                  <m:ctrlPr>
                    <w:rPr>
                      <w:rFonts w:ascii="Cambria Math" w:eastAsia="Times New Roman" w:hAnsi="Cambria Math" w:cs="Times New Roman"/>
                      <w:i/>
                      <w:color w:val="1F1F1F"/>
                      <w:szCs w:val="26"/>
                      <w:lang w:eastAsia="en-US"/>
                    </w:rPr>
                  </m:ctrlPr>
                </m:sSubPr>
                <m:e>
                  <m:r>
                    <w:rPr>
                      <w:rFonts w:ascii="Cambria Math" w:eastAsia="Times New Roman" w:hAnsi="Cambria Math" w:cs="Times New Roman"/>
                      <w:color w:val="1F1F1F"/>
                      <w:szCs w:val="26"/>
                      <w:lang w:eastAsia="en-US"/>
                    </w:rPr>
                    <m:t>Q</m:t>
                  </m:r>
                </m:e>
                <m:sub>
                  <m:r>
                    <w:rPr>
                      <w:rFonts w:ascii="Cambria Math" w:eastAsia="Times New Roman" w:hAnsi="Cambria Math" w:cs="Times New Roman"/>
                      <w:color w:val="1F1F1F"/>
                      <w:szCs w:val="26"/>
                      <w:lang w:eastAsia="en-US"/>
                    </w:rPr>
                    <m:t>e</m:t>
                  </m:r>
                </m:sub>
              </m:sSub>
            </m:oMath>
            <w:r w:rsidR="00491281" w:rsidRPr="006F2456">
              <w:rPr>
                <w:rFonts w:eastAsia="Times New Roman" w:cs="Times New Roman"/>
                <w:color w:val="1F1F1F"/>
                <w:sz w:val="22"/>
                <w:lang w:eastAsia="en-US"/>
              </w:rPr>
              <w:t xml:space="preserve"> (mg/g)</w:t>
            </w:r>
          </w:p>
        </w:tc>
        <w:tc>
          <w:tcPr>
            <w:tcW w:w="1454" w:type="dxa"/>
            <w:tcBorders>
              <w:top w:val="nil"/>
              <w:left w:val="nil"/>
              <w:bottom w:val="single" w:sz="8" w:space="0" w:color="000000"/>
              <w:right w:val="single" w:sz="8" w:space="0" w:color="000000"/>
            </w:tcBorders>
            <w:shd w:val="clear" w:color="auto" w:fill="auto"/>
            <w:vAlign w:val="center"/>
            <w:hideMark/>
          </w:tcPr>
          <w:p w14:paraId="53D689B4" w14:textId="68599DEF" w:rsidR="00491281" w:rsidRPr="006F2456" w:rsidRDefault="00491281" w:rsidP="00DE5A1D">
            <w:pPr>
              <w:spacing w:after="0" w:line="240" w:lineRule="auto"/>
              <w:ind w:firstLineChars="100" w:firstLine="220"/>
              <w:rPr>
                <w:rFonts w:eastAsia="Times New Roman" w:cs="Times New Roman"/>
                <w:color w:val="1F1F1F"/>
                <w:sz w:val="22"/>
                <w:lang w:eastAsia="en-US"/>
              </w:rPr>
            </w:pPr>
            <w:r w:rsidRPr="006F2456">
              <w:rPr>
                <w:rFonts w:eastAsia="Times New Roman" w:cs="Times New Roman"/>
                <w:color w:val="1F1F1F"/>
                <w:sz w:val="22"/>
                <w:lang w:eastAsia="en-US"/>
              </w:rPr>
              <w:t>10,</w:t>
            </w:r>
            <w:r w:rsidR="00C764D9">
              <w:rPr>
                <w:rFonts w:eastAsia="Times New Roman" w:cs="Times New Roman"/>
                <w:color w:val="1F1F1F"/>
                <w:sz w:val="22"/>
                <w:lang w:eastAsia="en-US"/>
              </w:rPr>
              <w:t>62</w:t>
            </w:r>
          </w:p>
        </w:tc>
        <w:tc>
          <w:tcPr>
            <w:tcW w:w="2161" w:type="dxa"/>
            <w:vMerge w:val="restart"/>
            <w:tcBorders>
              <w:top w:val="nil"/>
              <w:left w:val="nil"/>
              <w:right w:val="single" w:sz="8" w:space="0" w:color="000000"/>
            </w:tcBorders>
            <w:shd w:val="clear" w:color="auto" w:fill="auto"/>
            <w:vAlign w:val="center"/>
            <w:hideMark/>
          </w:tcPr>
          <w:p w14:paraId="686DA08B" w14:textId="0CB4318E" w:rsidR="00491281" w:rsidRPr="006F2456" w:rsidRDefault="00491281" w:rsidP="00306D39">
            <w:pPr>
              <w:spacing w:after="0" w:line="240" w:lineRule="auto"/>
              <w:ind w:firstLine="0"/>
              <w:jc w:val="center"/>
              <w:rPr>
                <w:rFonts w:eastAsia="Times New Roman" w:cs="Times New Roman"/>
                <w:color w:val="1F1F1F"/>
                <w:sz w:val="22"/>
                <w:lang w:eastAsia="en-US"/>
              </w:rPr>
            </w:pPr>
            <w:r w:rsidRPr="006F2456">
              <w:rPr>
                <w:rFonts w:eastAsia="Times New Roman" w:cs="Times New Roman"/>
                <w:color w:val="1F1F1F"/>
                <w:sz w:val="22"/>
                <w:lang w:eastAsia="en-US"/>
              </w:rPr>
              <w:t>0,87</w:t>
            </w:r>
            <w:r w:rsidR="00C764D9">
              <w:rPr>
                <w:rFonts w:eastAsia="Times New Roman" w:cs="Times New Roman"/>
                <w:color w:val="1F1F1F"/>
                <w:sz w:val="22"/>
                <w:lang w:eastAsia="en-US"/>
              </w:rPr>
              <w:t>4</w:t>
            </w:r>
          </w:p>
        </w:tc>
      </w:tr>
      <w:tr w:rsidR="00491281" w:rsidRPr="006F2456" w14:paraId="62DD2726" w14:textId="77777777" w:rsidTr="00AE3379">
        <w:trPr>
          <w:trHeight w:val="546"/>
          <w:jc w:val="center"/>
        </w:trPr>
        <w:tc>
          <w:tcPr>
            <w:tcW w:w="2359" w:type="dxa"/>
            <w:vMerge/>
            <w:tcBorders>
              <w:left w:val="single" w:sz="8" w:space="0" w:color="000000"/>
              <w:bottom w:val="single" w:sz="8" w:space="0" w:color="000000"/>
              <w:right w:val="single" w:sz="8" w:space="0" w:color="000000"/>
            </w:tcBorders>
            <w:shd w:val="clear" w:color="auto" w:fill="auto"/>
            <w:vAlign w:val="center"/>
            <w:hideMark/>
          </w:tcPr>
          <w:p w14:paraId="48D18C10" w14:textId="70D25241" w:rsidR="00491281" w:rsidRPr="006F2456" w:rsidRDefault="00491281" w:rsidP="00DE5A1D">
            <w:pPr>
              <w:spacing w:after="0" w:line="240" w:lineRule="auto"/>
              <w:ind w:firstLineChars="100" w:firstLine="220"/>
              <w:rPr>
                <w:rFonts w:eastAsia="Times New Roman" w:cs="Times New Roman"/>
                <w:i/>
                <w:iCs/>
                <w:color w:val="1F1F1F"/>
                <w:sz w:val="22"/>
                <w:lang w:eastAsia="en-US"/>
              </w:rPr>
            </w:pPr>
          </w:p>
        </w:tc>
        <w:tc>
          <w:tcPr>
            <w:tcW w:w="1575" w:type="dxa"/>
            <w:tcBorders>
              <w:top w:val="nil"/>
              <w:left w:val="nil"/>
              <w:bottom w:val="single" w:sz="8" w:space="0" w:color="000000"/>
              <w:right w:val="single" w:sz="8" w:space="0" w:color="000000"/>
            </w:tcBorders>
            <w:shd w:val="clear" w:color="auto" w:fill="auto"/>
            <w:vAlign w:val="center"/>
            <w:hideMark/>
          </w:tcPr>
          <w:p w14:paraId="29F71343" w14:textId="51F7FCBE" w:rsidR="00491281" w:rsidRPr="006F2456" w:rsidRDefault="00CF0C31" w:rsidP="00DE5A1D">
            <w:pPr>
              <w:spacing w:after="0" w:line="240" w:lineRule="auto"/>
              <w:ind w:firstLineChars="100" w:firstLine="220"/>
              <w:rPr>
                <w:rFonts w:eastAsia="Times New Roman" w:cs="Times New Roman"/>
                <w:color w:val="1F1F1F"/>
                <w:sz w:val="22"/>
                <w:lang w:eastAsia="en-US"/>
              </w:rPr>
            </w:pPr>
            <m:oMath>
              <m:sSub>
                <m:sSubPr>
                  <m:ctrlPr>
                    <w:rPr>
                      <w:rFonts w:ascii="Cambria Math" w:eastAsia="Times New Roman" w:hAnsi="Cambria Math" w:cs="Times New Roman"/>
                      <w:i/>
                      <w:color w:val="1F1F1F"/>
                      <w:sz w:val="22"/>
                      <w:lang w:eastAsia="en-US"/>
                    </w:rPr>
                  </m:ctrlPr>
                </m:sSubPr>
                <m:e>
                  <m:r>
                    <w:rPr>
                      <w:rFonts w:ascii="Cambria Math" w:eastAsia="Times New Roman" w:hAnsi="Cambria Math" w:cs="Times New Roman"/>
                      <w:color w:val="1F1F1F"/>
                      <w:sz w:val="22"/>
                      <w:lang w:eastAsia="en-US"/>
                    </w:rPr>
                    <m:t>k</m:t>
                  </m:r>
                </m:e>
                <m:sub>
                  <m:r>
                    <w:rPr>
                      <w:rFonts w:ascii="Cambria Math" w:eastAsia="Times New Roman" w:hAnsi="Cambria Math" w:cs="Times New Roman"/>
                      <w:color w:val="1F1F1F"/>
                      <w:sz w:val="22"/>
                      <w:lang w:eastAsia="en-US"/>
                    </w:rPr>
                    <m:t>2</m:t>
                  </m:r>
                </m:sub>
              </m:sSub>
              <m:r>
                <w:rPr>
                  <w:rFonts w:ascii="Cambria Math" w:eastAsia="Times New Roman" w:hAnsi="Cambria Math" w:cs="Times New Roman"/>
                  <w:color w:val="1F1F1F"/>
                  <w:sz w:val="22"/>
                  <w:lang w:eastAsia="en-US"/>
                </w:rPr>
                <m:t xml:space="preserve"> </m:t>
              </m:r>
            </m:oMath>
            <w:r w:rsidR="00491281" w:rsidRPr="006F2456">
              <w:rPr>
                <w:rFonts w:eastAsia="Times New Roman" w:cs="Times New Roman"/>
                <w:color w:val="1F1F1F"/>
                <w:sz w:val="22"/>
                <w:lang w:eastAsia="en-US"/>
              </w:rPr>
              <w:t>(g/mg·t)</w:t>
            </w:r>
          </w:p>
        </w:tc>
        <w:tc>
          <w:tcPr>
            <w:tcW w:w="1454" w:type="dxa"/>
            <w:tcBorders>
              <w:top w:val="nil"/>
              <w:left w:val="nil"/>
              <w:bottom w:val="single" w:sz="8" w:space="0" w:color="000000"/>
              <w:right w:val="single" w:sz="8" w:space="0" w:color="000000"/>
            </w:tcBorders>
            <w:shd w:val="clear" w:color="auto" w:fill="auto"/>
            <w:vAlign w:val="center"/>
            <w:hideMark/>
          </w:tcPr>
          <w:p w14:paraId="06AAB5D4" w14:textId="08D88ED4" w:rsidR="00491281" w:rsidRPr="006F2456" w:rsidRDefault="00491281" w:rsidP="00DE5A1D">
            <w:pPr>
              <w:spacing w:after="0" w:line="240" w:lineRule="auto"/>
              <w:ind w:firstLineChars="100" w:firstLine="220"/>
              <w:rPr>
                <w:rFonts w:eastAsia="Times New Roman" w:cs="Times New Roman"/>
                <w:color w:val="1F1F1F"/>
                <w:sz w:val="22"/>
                <w:lang w:eastAsia="en-US"/>
              </w:rPr>
            </w:pPr>
            <w:r w:rsidRPr="006F2456">
              <w:rPr>
                <w:rFonts w:eastAsia="Times New Roman" w:cs="Times New Roman"/>
                <w:color w:val="1F1F1F"/>
                <w:sz w:val="22"/>
                <w:lang w:eastAsia="en-US"/>
              </w:rPr>
              <w:t>2,</w:t>
            </w:r>
            <w:r w:rsidR="00C764D9">
              <w:rPr>
                <w:rFonts w:eastAsia="Times New Roman" w:cs="Times New Roman"/>
                <w:color w:val="1F1F1F"/>
                <w:sz w:val="22"/>
                <w:lang w:eastAsia="en-US"/>
              </w:rPr>
              <w:t>26</w:t>
            </w:r>
          </w:p>
        </w:tc>
        <w:tc>
          <w:tcPr>
            <w:tcW w:w="2161" w:type="dxa"/>
            <w:vMerge/>
            <w:tcBorders>
              <w:left w:val="nil"/>
              <w:bottom w:val="single" w:sz="8" w:space="0" w:color="000000"/>
              <w:right w:val="single" w:sz="8" w:space="0" w:color="000000"/>
            </w:tcBorders>
            <w:shd w:val="clear" w:color="auto" w:fill="auto"/>
            <w:vAlign w:val="center"/>
            <w:hideMark/>
          </w:tcPr>
          <w:p w14:paraId="5E0E3A3D" w14:textId="3F436C04" w:rsidR="00491281" w:rsidRPr="006F2456" w:rsidRDefault="00491281" w:rsidP="00306D39">
            <w:pPr>
              <w:spacing w:after="0" w:line="240" w:lineRule="auto"/>
              <w:ind w:firstLineChars="100" w:firstLine="220"/>
              <w:jc w:val="center"/>
              <w:rPr>
                <w:rFonts w:eastAsia="Times New Roman" w:cs="Times New Roman"/>
                <w:color w:val="1F1F1F"/>
                <w:sz w:val="22"/>
                <w:lang w:eastAsia="en-US"/>
              </w:rPr>
            </w:pPr>
          </w:p>
        </w:tc>
      </w:tr>
      <w:tr w:rsidR="00491281" w:rsidRPr="006F2456" w14:paraId="1711EA25" w14:textId="77777777" w:rsidTr="00AE3379">
        <w:trPr>
          <w:trHeight w:val="684"/>
          <w:jc w:val="center"/>
        </w:trPr>
        <w:tc>
          <w:tcPr>
            <w:tcW w:w="2359" w:type="dxa"/>
            <w:vMerge w:val="restart"/>
            <w:tcBorders>
              <w:top w:val="nil"/>
              <w:left w:val="single" w:sz="8" w:space="0" w:color="000000"/>
              <w:right w:val="single" w:sz="8" w:space="0" w:color="000000"/>
            </w:tcBorders>
            <w:shd w:val="clear" w:color="auto" w:fill="auto"/>
            <w:vAlign w:val="center"/>
            <w:hideMark/>
          </w:tcPr>
          <w:p w14:paraId="5C2B3628" w14:textId="77777777" w:rsidR="00491281" w:rsidRPr="006F2456" w:rsidRDefault="00491281" w:rsidP="003C07EC">
            <w:pPr>
              <w:spacing w:after="0" w:line="240" w:lineRule="auto"/>
              <w:ind w:firstLineChars="100" w:firstLine="221"/>
              <w:jc w:val="center"/>
              <w:rPr>
                <w:rFonts w:eastAsia="Times New Roman" w:cs="Times New Roman"/>
                <w:b/>
                <w:bCs/>
                <w:color w:val="1F1F1F"/>
                <w:sz w:val="22"/>
                <w:lang w:eastAsia="en-US"/>
              </w:rPr>
            </w:pPr>
            <w:r w:rsidRPr="006F2456">
              <w:rPr>
                <w:rFonts w:eastAsia="Times New Roman" w:cs="Times New Roman"/>
                <w:b/>
                <w:bCs/>
                <w:color w:val="1F1F1F"/>
                <w:sz w:val="22"/>
                <w:lang w:eastAsia="en-US"/>
              </w:rPr>
              <w:t>Elovich</w:t>
            </w:r>
          </w:p>
          <w:p w14:paraId="507587F9" w14:textId="00C9892E" w:rsidR="00491281" w:rsidRPr="006F2456" w:rsidRDefault="00491281" w:rsidP="00DE5A1D">
            <w:pPr>
              <w:spacing w:after="0" w:line="240" w:lineRule="auto"/>
              <w:ind w:firstLineChars="100" w:firstLine="220"/>
              <w:rPr>
                <w:rFonts w:eastAsia="Times New Roman" w:cs="Times New Roman"/>
                <w:b/>
                <w:bCs/>
                <w:color w:val="1F1F1F"/>
                <w:sz w:val="22"/>
                <w:lang w:eastAsia="en-US"/>
              </w:rPr>
            </w:pPr>
            <w:r w:rsidRPr="006F2456">
              <w:rPr>
                <w:rFonts w:eastAsia="Times New Roman" w:cs="Times New Roman"/>
                <w:color w:val="1F1F1F"/>
                <w:sz w:val="22"/>
                <w:lang w:eastAsia="en-US"/>
              </w:rPr>
              <w:t> </w:t>
            </w:r>
          </w:p>
        </w:tc>
        <w:tc>
          <w:tcPr>
            <w:tcW w:w="1575" w:type="dxa"/>
            <w:tcBorders>
              <w:top w:val="nil"/>
              <w:left w:val="nil"/>
              <w:bottom w:val="single" w:sz="8" w:space="0" w:color="000000"/>
              <w:right w:val="single" w:sz="8" w:space="0" w:color="000000"/>
            </w:tcBorders>
            <w:shd w:val="clear" w:color="auto" w:fill="auto"/>
            <w:vAlign w:val="center"/>
            <w:hideMark/>
          </w:tcPr>
          <w:p w14:paraId="47EE36CB" w14:textId="228FEAB7" w:rsidR="00491281" w:rsidRPr="006F2456" w:rsidRDefault="00491281" w:rsidP="00DE5A1D">
            <w:pPr>
              <w:spacing w:after="0" w:line="240" w:lineRule="auto"/>
              <w:ind w:firstLineChars="100" w:firstLine="220"/>
              <w:rPr>
                <w:rFonts w:eastAsia="Times New Roman" w:cs="Times New Roman"/>
                <w:color w:val="1F1F1F"/>
                <w:sz w:val="22"/>
                <w:lang w:eastAsia="en-US"/>
              </w:rPr>
            </w:pPr>
            <m:oMath>
              <m:r>
                <w:rPr>
                  <w:rFonts w:ascii="Cambria Math" w:eastAsia="Times New Roman" w:hAnsi="Cambria Math" w:cs="Times New Roman"/>
                  <w:color w:val="1F1F1F"/>
                  <w:sz w:val="22"/>
                  <w:lang w:eastAsia="en-US"/>
                </w:rPr>
                <m:t>α</m:t>
              </m:r>
            </m:oMath>
            <w:r w:rsidRPr="006F2456">
              <w:rPr>
                <w:rFonts w:eastAsia="Times New Roman" w:cs="Times New Roman"/>
                <w:color w:val="1F1F1F"/>
                <w:sz w:val="22"/>
                <w:lang w:eastAsia="en-US"/>
              </w:rPr>
              <w:t xml:space="preserve"> (mg/g·t)</w:t>
            </w:r>
          </w:p>
        </w:tc>
        <w:tc>
          <w:tcPr>
            <w:tcW w:w="1454" w:type="dxa"/>
            <w:tcBorders>
              <w:top w:val="nil"/>
              <w:left w:val="nil"/>
              <w:bottom w:val="single" w:sz="8" w:space="0" w:color="000000"/>
              <w:right w:val="single" w:sz="8" w:space="0" w:color="000000"/>
            </w:tcBorders>
            <w:shd w:val="clear" w:color="auto" w:fill="auto"/>
            <w:vAlign w:val="center"/>
            <w:hideMark/>
          </w:tcPr>
          <w:p w14:paraId="18B8F3B3" w14:textId="73B1BD92" w:rsidR="00491281" w:rsidRPr="00D84FA6" w:rsidRDefault="00D84FA6" w:rsidP="00DE5A1D">
            <w:pPr>
              <w:spacing w:after="0" w:line="240" w:lineRule="auto"/>
              <w:ind w:firstLineChars="100" w:firstLine="220"/>
              <w:rPr>
                <w:rFonts w:eastAsia="Times New Roman" w:cs="Times New Roman"/>
                <w:color w:val="1F1F1F"/>
                <w:sz w:val="22"/>
                <w:lang w:eastAsia="en-US"/>
              </w:rPr>
            </w:pPr>
            <w:r w:rsidRPr="00D84FA6">
              <w:rPr>
                <w:rFonts w:eastAsia="Times New Roman" w:cs="Times New Roman"/>
                <w:color w:val="1F1F1F"/>
                <w:sz w:val="22"/>
                <w:lang w:eastAsia="en-US"/>
              </w:rPr>
              <w:t>51059,78</w:t>
            </w:r>
          </w:p>
        </w:tc>
        <w:tc>
          <w:tcPr>
            <w:tcW w:w="2161" w:type="dxa"/>
            <w:vMerge w:val="restart"/>
            <w:tcBorders>
              <w:top w:val="nil"/>
              <w:left w:val="nil"/>
              <w:right w:val="single" w:sz="8" w:space="0" w:color="000000"/>
            </w:tcBorders>
            <w:shd w:val="clear" w:color="auto" w:fill="auto"/>
            <w:vAlign w:val="center"/>
            <w:hideMark/>
          </w:tcPr>
          <w:p w14:paraId="2589B102" w14:textId="3FAE5DBD" w:rsidR="00491281" w:rsidRPr="006F2456" w:rsidRDefault="00491281" w:rsidP="00306D39">
            <w:pPr>
              <w:spacing w:after="0" w:line="240" w:lineRule="auto"/>
              <w:ind w:firstLine="0"/>
              <w:jc w:val="center"/>
              <w:rPr>
                <w:rFonts w:eastAsia="Times New Roman" w:cs="Times New Roman"/>
                <w:color w:val="1F1F1F"/>
                <w:sz w:val="22"/>
                <w:lang w:eastAsia="en-US"/>
              </w:rPr>
            </w:pPr>
            <w:r w:rsidRPr="006F2456">
              <w:rPr>
                <w:rFonts w:eastAsia="Times New Roman" w:cs="Times New Roman"/>
                <w:color w:val="1F1F1F"/>
                <w:sz w:val="22"/>
                <w:lang w:eastAsia="en-US"/>
              </w:rPr>
              <w:t>0,9</w:t>
            </w:r>
            <w:r w:rsidR="0047501F">
              <w:rPr>
                <w:rFonts w:eastAsia="Times New Roman" w:cs="Times New Roman"/>
                <w:color w:val="1F1F1F"/>
                <w:sz w:val="22"/>
                <w:lang w:eastAsia="en-US"/>
              </w:rPr>
              <w:t>93</w:t>
            </w:r>
          </w:p>
          <w:p w14:paraId="0A69C75D" w14:textId="4A52705F" w:rsidR="00491281" w:rsidRPr="006F2456" w:rsidRDefault="00491281" w:rsidP="00306D39">
            <w:pPr>
              <w:spacing w:after="0" w:line="240" w:lineRule="auto"/>
              <w:ind w:firstLineChars="100" w:firstLine="220"/>
              <w:jc w:val="center"/>
              <w:rPr>
                <w:rFonts w:eastAsia="Times New Roman" w:cs="Times New Roman"/>
                <w:color w:val="1F1F1F"/>
                <w:sz w:val="22"/>
                <w:lang w:eastAsia="en-US"/>
              </w:rPr>
            </w:pPr>
          </w:p>
        </w:tc>
      </w:tr>
      <w:tr w:rsidR="00491281" w:rsidRPr="006F2456" w14:paraId="4A805D2D" w14:textId="77777777" w:rsidTr="00AE3379">
        <w:trPr>
          <w:trHeight w:val="457"/>
          <w:jc w:val="center"/>
        </w:trPr>
        <w:tc>
          <w:tcPr>
            <w:tcW w:w="2359" w:type="dxa"/>
            <w:vMerge/>
            <w:tcBorders>
              <w:left w:val="single" w:sz="8" w:space="0" w:color="000000"/>
              <w:bottom w:val="single" w:sz="8" w:space="0" w:color="000000"/>
              <w:right w:val="single" w:sz="8" w:space="0" w:color="000000"/>
            </w:tcBorders>
            <w:shd w:val="clear" w:color="auto" w:fill="auto"/>
            <w:vAlign w:val="center"/>
            <w:hideMark/>
          </w:tcPr>
          <w:p w14:paraId="25503920" w14:textId="60EC1695" w:rsidR="00491281" w:rsidRPr="006F2456" w:rsidRDefault="00491281" w:rsidP="00DE5A1D">
            <w:pPr>
              <w:spacing w:after="0" w:line="240" w:lineRule="auto"/>
              <w:ind w:firstLineChars="100" w:firstLine="220"/>
              <w:rPr>
                <w:rFonts w:eastAsia="Times New Roman" w:cs="Times New Roman"/>
                <w:color w:val="1F1F1F"/>
                <w:sz w:val="22"/>
                <w:lang w:eastAsia="en-US"/>
              </w:rPr>
            </w:pPr>
          </w:p>
        </w:tc>
        <w:tc>
          <w:tcPr>
            <w:tcW w:w="1575" w:type="dxa"/>
            <w:tcBorders>
              <w:top w:val="nil"/>
              <w:left w:val="nil"/>
              <w:bottom w:val="single" w:sz="8" w:space="0" w:color="000000"/>
              <w:right w:val="single" w:sz="8" w:space="0" w:color="000000"/>
            </w:tcBorders>
            <w:shd w:val="clear" w:color="auto" w:fill="auto"/>
            <w:vAlign w:val="center"/>
            <w:hideMark/>
          </w:tcPr>
          <w:p w14:paraId="11AC567F" w14:textId="1F1558F6" w:rsidR="00491281" w:rsidRPr="006F2456" w:rsidRDefault="00491281" w:rsidP="00DE5A1D">
            <w:pPr>
              <w:spacing w:after="0" w:line="240" w:lineRule="auto"/>
              <w:ind w:firstLineChars="100" w:firstLine="220"/>
              <w:rPr>
                <w:rFonts w:eastAsia="Times New Roman" w:cs="Times New Roman"/>
                <w:color w:val="1F1F1F"/>
                <w:sz w:val="22"/>
                <w:lang w:eastAsia="en-US"/>
              </w:rPr>
            </w:pPr>
            <m:oMath>
              <m:r>
                <w:rPr>
                  <w:rFonts w:ascii="Cambria Math" w:eastAsia="Times New Roman" w:hAnsi="Cambria Math" w:cs="Times New Roman"/>
                  <w:color w:val="1F1F1F"/>
                  <w:sz w:val="22"/>
                  <w:lang w:eastAsia="en-US"/>
                </w:rPr>
                <m:t>β</m:t>
              </m:r>
            </m:oMath>
            <w:r w:rsidRPr="006F2456">
              <w:rPr>
                <w:rFonts w:eastAsia="Times New Roman" w:cs="Times New Roman"/>
                <w:color w:val="1F1F1F"/>
                <w:sz w:val="22"/>
                <w:lang w:eastAsia="en-US"/>
              </w:rPr>
              <w:t xml:space="preserve"> (g/mg)</w:t>
            </w:r>
          </w:p>
        </w:tc>
        <w:tc>
          <w:tcPr>
            <w:tcW w:w="1454" w:type="dxa"/>
            <w:tcBorders>
              <w:top w:val="nil"/>
              <w:left w:val="nil"/>
              <w:bottom w:val="single" w:sz="8" w:space="0" w:color="000000"/>
              <w:right w:val="single" w:sz="8" w:space="0" w:color="000000"/>
            </w:tcBorders>
            <w:shd w:val="clear" w:color="auto" w:fill="auto"/>
            <w:vAlign w:val="center"/>
            <w:hideMark/>
          </w:tcPr>
          <w:p w14:paraId="1B7EFFC2" w14:textId="6F6019EC" w:rsidR="00491281" w:rsidRPr="006F2456" w:rsidRDefault="00491281" w:rsidP="00DE5A1D">
            <w:pPr>
              <w:spacing w:after="0" w:line="240" w:lineRule="auto"/>
              <w:ind w:firstLineChars="100" w:firstLine="220"/>
              <w:rPr>
                <w:rFonts w:eastAsia="Times New Roman" w:cs="Times New Roman"/>
                <w:color w:val="1F1F1F"/>
                <w:sz w:val="22"/>
                <w:lang w:eastAsia="en-US"/>
              </w:rPr>
            </w:pPr>
            <w:r w:rsidRPr="006F2456">
              <w:rPr>
                <w:rFonts w:eastAsia="Times New Roman" w:cs="Times New Roman"/>
                <w:color w:val="1F1F1F"/>
                <w:sz w:val="22"/>
                <w:lang w:eastAsia="en-US"/>
              </w:rPr>
              <w:t>1,</w:t>
            </w:r>
            <w:r w:rsidR="00D84FA6">
              <w:rPr>
                <w:rFonts w:eastAsia="Times New Roman" w:cs="Times New Roman"/>
                <w:color w:val="1F1F1F"/>
                <w:sz w:val="22"/>
                <w:lang w:eastAsia="en-US"/>
              </w:rPr>
              <w:t>11</w:t>
            </w:r>
          </w:p>
        </w:tc>
        <w:tc>
          <w:tcPr>
            <w:tcW w:w="2161" w:type="dxa"/>
            <w:vMerge/>
            <w:tcBorders>
              <w:left w:val="nil"/>
              <w:bottom w:val="single" w:sz="8" w:space="0" w:color="000000"/>
              <w:right w:val="single" w:sz="8" w:space="0" w:color="000000"/>
            </w:tcBorders>
            <w:shd w:val="clear" w:color="auto" w:fill="auto"/>
            <w:vAlign w:val="center"/>
            <w:hideMark/>
          </w:tcPr>
          <w:p w14:paraId="72268319" w14:textId="23704812" w:rsidR="00491281" w:rsidRPr="006F2456" w:rsidRDefault="00491281" w:rsidP="00DE5A1D">
            <w:pPr>
              <w:spacing w:after="0" w:line="240" w:lineRule="auto"/>
              <w:ind w:firstLineChars="100" w:firstLine="220"/>
              <w:rPr>
                <w:rFonts w:eastAsia="Times New Roman" w:cs="Times New Roman"/>
                <w:color w:val="1F1F1F"/>
                <w:sz w:val="22"/>
                <w:lang w:eastAsia="en-US"/>
              </w:rPr>
            </w:pPr>
          </w:p>
        </w:tc>
      </w:tr>
    </w:tbl>
    <w:p w14:paraId="3F2AD95C" w14:textId="0B18EC65" w:rsidR="005E421E" w:rsidRPr="005E421E" w:rsidRDefault="00D4482A" w:rsidP="004D4C22">
      <w:pPr>
        <w:spacing w:before="120"/>
        <w:ind w:firstLine="454"/>
        <w:jc w:val="both"/>
      </w:pPr>
      <w:r w:rsidRPr="00D4482A">
        <w:t>Kết luận này hoàn toàn tương thích với bản chất cấu trúc đa pha phức tạp của vật liệu tổng hợp, nơi tồn tại sự phân bố đa dạng của các tâm hoạt động</w:t>
      </w:r>
      <w:r>
        <w:t xml:space="preserve"> </w:t>
      </w:r>
      <w:r w:rsidRPr="00D4482A">
        <w:t>với các mức năng lượng khác nhau, bao gồm mạng lưới khung carbon xốp, các nhóm chức chứa oxy phong phú và các hạt nano từ tính phân tán.</w:t>
      </w:r>
      <w:r>
        <w:t xml:space="preserve"> </w:t>
      </w:r>
      <w:r w:rsidR="005E421E" w:rsidRPr="005E421E">
        <w:t xml:space="preserve">Theo lý thuyết Elovich, sự đa dạng này dẫn đến việc năng lượng hoạt hóa của quá trình hấp phụ không phải là hằng số, mà sẽ gia tăng tuyến tính theo độ che phủ bề mặt. Hệ quả là tốc độ hấp phụ sẽ giảm dần theo hàm số mũ: các tâm hoạt động có năng lượng cao sẽ ưu tiên tương tác nhanh chóng ở giai đoạn đầu, sau đó mới đến các tâm có năng lượng thấp hơn. Điều này minh chứng sâu sắc rằng sự tương tác giữa Tetracycline và vật liệu không chỉ dừng lại ở khuếch tán vật lý đơn thuần hay lực hút tĩnh điện yếu, mà bao gồm sự trao đổi hoặc chia sẻ electron hóa trị, dẫn đến hình thành các liên kết bền vững như tạo phức bề mặt giữa ion sắt và phối tử TC, hoặc các liên kết hydro và tương tác </w:t>
      </w:r>
      <m:oMath>
        <m:r>
          <m:rPr>
            <m:sty m:val="b"/>
          </m:rPr>
          <w:rPr>
            <w:rFonts w:ascii="Cambria Math" w:hAnsi="Cambria Math"/>
          </w:rPr>
          <m:t>π</m:t>
        </m:r>
        <m:r>
          <m:rPr>
            <m:sty m:val="bi"/>
          </m:rPr>
          <w:rPr>
            <w:rFonts w:ascii="Cambria Math" w:hAnsi="Cambria Math"/>
          </w:rPr>
          <m:t>-</m:t>
        </m:r>
        <m:r>
          <m:rPr>
            <m:sty m:val="b"/>
          </m:rPr>
          <w:rPr>
            <w:rFonts w:ascii="Cambria Math" w:hAnsi="Cambria Math"/>
          </w:rPr>
          <m:t>π</m:t>
        </m:r>
      </m:oMath>
      <w:r w:rsidR="005E421E" w:rsidRPr="005E421E">
        <w:t xml:space="preserve"> mạnh mẽ</w:t>
      </w:r>
      <w:r w:rsidR="00FD473B">
        <w:t>.</w:t>
      </w:r>
    </w:p>
    <w:p w14:paraId="0B9A9408" w14:textId="77777777" w:rsidR="008676C8" w:rsidRDefault="007B0977" w:rsidP="008676C8">
      <w:pPr>
        <w:pStyle w:val="Heading3"/>
      </w:pPr>
      <w:bookmarkStart w:id="38" w:name="_Toc233142641"/>
      <w:r w:rsidRPr="004816BD">
        <w:t>Kết quả khảo sát pH</w:t>
      </w:r>
      <w:bookmarkEnd w:id="38"/>
    </w:p>
    <w:p w14:paraId="2FBA4392" w14:textId="5FB55BCB" w:rsidR="002028A9" w:rsidRPr="004F4B05" w:rsidRDefault="002028A9" w:rsidP="004D4C22">
      <w:pPr>
        <w:ind w:firstLine="454"/>
        <w:jc w:val="both"/>
      </w:pPr>
      <w:r w:rsidRPr="008676C8">
        <w:t xml:space="preserve">Giá trị pH của dung dịch là một trong những yếu tố quan trọng nhất ảnh hưởng tới quá trình hấp phụ vật liệu, do nó ảnh hưởng trực tiếp đến trạng thái điện tích bề mặt của vật liệu hấp phụ và dạng tồn tại hóa học của chất bị hấp phụ. Vì thế, việc xem xét ảnh hưởng của pH dung dịch đến hiệu suất xử lý TC là cần thiết, giúp ta hiểu rõ hơn về quá trình hấp phụ TC. </w:t>
      </w:r>
    </w:p>
    <w:tbl>
      <w:tblPr>
        <w:tblStyle w:val="TableGrid"/>
        <w:tblW w:w="907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70"/>
      </w:tblGrid>
      <w:tr w:rsidR="00146C28" w14:paraId="4727C25C" w14:textId="60FE6E0D" w:rsidTr="00D31460">
        <w:trPr>
          <w:trHeight w:val="3931"/>
        </w:trPr>
        <w:tc>
          <w:tcPr>
            <w:tcW w:w="4401" w:type="dxa"/>
          </w:tcPr>
          <w:p w14:paraId="395555E2" w14:textId="77777777" w:rsidR="00146C28" w:rsidRDefault="00146C28" w:rsidP="00FF4576">
            <w:pPr>
              <w:jc w:val="center"/>
            </w:pPr>
            <w:r>
              <w:lastRenderedPageBreak/>
              <w:t>(a)</w:t>
            </w:r>
          </w:p>
          <w:p w14:paraId="339D05A8" w14:textId="152CEFF5" w:rsidR="00146C28" w:rsidRDefault="00146C28" w:rsidP="00D65973">
            <w:pPr>
              <w:spacing w:after="0" w:line="240" w:lineRule="auto"/>
              <w:ind w:left="-389" w:firstLine="389"/>
            </w:pPr>
            <w:r w:rsidRPr="006B66EB">
              <w:rPr>
                <w:noProof/>
                <w:lang w:eastAsia="en-US"/>
              </w:rPr>
              <w:drawing>
                <wp:inline distT="0" distB="0" distL="0" distR="0" wp14:anchorId="756C2869" wp14:editId="0857FC10">
                  <wp:extent cx="2736000" cy="2242249"/>
                  <wp:effectExtent l="0" t="0" r="7620" b="5715"/>
                  <wp:docPr id="1187" name="Pictur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36000" cy="2242249"/>
                          </a:xfrm>
                          <a:prstGeom prst="rect">
                            <a:avLst/>
                          </a:prstGeom>
                        </pic:spPr>
                      </pic:pic>
                    </a:graphicData>
                  </a:graphic>
                </wp:inline>
              </w:drawing>
            </w:r>
          </w:p>
        </w:tc>
        <w:tc>
          <w:tcPr>
            <w:tcW w:w="4670" w:type="dxa"/>
          </w:tcPr>
          <w:p w14:paraId="72AB69BC" w14:textId="51675845" w:rsidR="00146C28" w:rsidRDefault="00146C28" w:rsidP="00FF4576">
            <w:pPr>
              <w:jc w:val="center"/>
            </w:pPr>
            <w:r>
              <w:t>(b)</w:t>
            </w:r>
          </w:p>
          <w:p w14:paraId="1BD0C7BC" w14:textId="1428336E" w:rsidR="00146C28" w:rsidRDefault="00146C28" w:rsidP="00146C28">
            <w:pPr>
              <w:ind w:firstLine="231"/>
              <w:jc w:val="center"/>
            </w:pPr>
            <w:r w:rsidRPr="0097725B">
              <w:rPr>
                <w:noProof/>
                <w:lang w:eastAsia="en-US"/>
              </w:rPr>
              <w:drawing>
                <wp:inline distT="0" distB="0" distL="0" distR="0" wp14:anchorId="0AA3BDD2" wp14:editId="1DEE2C97">
                  <wp:extent cx="2772000" cy="2178615"/>
                  <wp:effectExtent l="0" t="0" r="0" b="0"/>
                  <wp:docPr id="12" name="Picture 11">
                    <a:extLst xmlns:a="http://schemas.openxmlformats.org/drawingml/2006/main">
                      <a:ext uri="{FF2B5EF4-FFF2-40B4-BE49-F238E27FC236}">
                        <a16:creationId xmlns:a16="http://schemas.microsoft.com/office/drawing/2014/main" id="{8AC734FD-9D8D-42CD-A153-5199DEF551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AC734FD-9D8D-42CD-A153-5199DEF55123}"/>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772000" cy="2178615"/>
                          </a:xfrm>
                          <a:prstGeom prst="rect">
                            <a:avLst/>
                          </a:prstGeom>
                        </pic:spPr>
                      </pic:pic>
                    </a:graphicData>
                  </a:graphic>
                </wp:inline>
              </w:drawing>
            </w:r>
          </w:p>
        </w:tc>
      </w:tr>
    </w:tbl>
    <w:p w14:paraId="2C896E7C" w14:textId="2159E1A7" w:rsidR="00D331D0" w:rsidRDefault="00D331D0" w:rsidP="004F4B05">
      <w:pPr>
        <w:pStyle w:val="Caption"/>
        <w:spacing w:after="240"/>
        <w:ind w:firstLine="0"/>
      </w:pPr>
      <w:bookmarkStart w:id="39" w:name="_Toc218054547"/>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13</w:t>
        </w:r>
      </w:fldSimple>
      <w:r w:rsidRPr="00BB5FF3">
        <w:t xml:space="preserve">. </w:t>
      </w:r>
      <w:r w:rsidR="00BD4EB8">
        <w:t xml:space="preserve">(a) </w:t>
      </w:r>
      <w:r w:rsidRPr="00BB5FF3">
        <w:t xml:space="preserve">Đồ thị khảo sát ảnh hưởng pH đến khả năng hấp phụ vật liệu </w:t>
      </w:r>
      <w:r w:rsidR="00EA26F8">
        <w:t>và</w:t>
      </w:r>
      <w:r w:rsidRPr="00BB5FF3">
        <w:t xml:space="preserve"> </w:t>
      </w:r>
      <w:r w:rsidR="00BD4EB8">
        <w:t>(b) s</w:t>
      </w:r>
      <w:r w:rsidRPr="00BB5FF3">
        <w:t xml:space="preserve">ự phân ly của </w:t>
      </w:r>
      <w:r w:rsidR="00FE4E8A">
        <w:t>kháng sinh TC</w:t>
      </w:r>
      <w:r w:rsidRPr="00BB5FF3">
        <w:t xml:space="preserve"> dưới các điều kiện pH khác nhau</w:t>
      </w:r>
      <w:r w:rsidR="004D4732">
        <w:t xml:space="preserve"> </w:t>
      </w:r>
      <w:r w:rsidR="004D4732">
        <w:fldChar w:fldCharType="begin"/>
      </w:r>
      <w:r w:rsidR="004D4732">
        <w:instrText xml:space="preserve"> ADDIN ZOTERO_ITEM CSL_CITATION {"citationID":"wOnGwZjQ","properties":{"formattedCitation":"[64]","plainCitation":"[64]","noteIndex":0},"citationItems":[{"id":191,"uris":["http://zotero.org/users/12953706/items/RM9DT2MK"],"itemData":{"id":191,"type":"article-journal","abstract":"Biochar is an efficient and cost-effective sorbent for removing contaminants from aqueous environments. In this study, biochar samples derived from rice straw (R) and swine manure (M) pyrolyzed at 400 °C (R400 and M400) and 600 °C (R600 and M600) were used to adsorb tetracycline from an aqueous solution. The adsorption of tetracycline on both types of biochar included multi-step adsorption processes that were well described by the pseudo-second-order kinetics model (R² &gt; 0.99). The adsorption equilibrium of tetracycline on rice straw and swine manure derived biochar was reached after 24 h and 36 h respectively. The solution pH affected the adsorption processes by changing the surface charges of tetracycline and biochar. Adsorption isotherms fitted both the Langmuir and Freundlich models well. The adsorption capacity was higher in biochar derived from rice straw than in biochar derived from swine manure, and increased with increasing pyrolysis temperature. Thermodynamic analysis revealed a spontaneous and endothermic tetracycline adsorption process. The values of the adsorption coefficient (Kd) were on the order of 10³ for R600 and 10²–10³ for the other three types of biochar. These experiments indicate that R600 can be used as an inexpensive adsorbent to remove tetracycline from aqueous solutions, but swine manure derived biochar needs more improvement to be a suitable adsorbent.","container-title":"RSC Advances","DOI":"10.1039/C8RA01454J","journalAbbreviation":"RSC Advances","page":"16260-16268","source":"ResearchGate","title":"Sorption of tetracycline on biochar derived from rice straw and swine manure","volume":"8","author":[{"family":"Wang","given":"Hua"},{"family":"Fang","given":"Chengran"},{"family":"Wang","given":"Qun"},{"family":"Yixuan","given":"Chu"},{"family":"Song","given":"Yali"},{"family":"Chen","given":"Yongmin"},{"family":"Xue","given":"Xiangdong"}],"issued":{"date-parts":[["2018",5,1]]}}}],"schema":"https://github.com/citation-style-language/schema/raw/master/csl-citation.json"} </w:instrText>
      </w:r>
      <w:r w:rsidR="004D4732">
        <w:fldChar w:fldCharType="separate"/>
      </w:r>
      <w:r w:rsidR="004D4732" w:rsidRPr="004D4732">
        <w:t>[64]</w:t>
      </w:r>
      <w:r w:rsidR="004D4732">
        <w:fldChar w:fldCharType="end"/>
      </w:r>
      <w:r w:rsidR="00C87960">
        <w:t>.</w:t>
      </w:r>
      <w:bookmarkEnd w:id="39"/>
    </w:p>
    <w:p w14:paraId="57C06CBA" w14:textId="41587056" w:rsidR="004F4B05" w:rsidRPr="004F4B05" w:rsidRDefault="004F4B05" w:rsidP="004D4C22">
      <w:pPr>
        <w:ind w:firstLine="454"/>
        <w:rPr>
          <w:lang w:eastAsia="en-US"/>
        </w:rPr>
      </w:pPr>
      <w:r w:rsidRPr="008676C8">
        <w:t xml:space="preserve">Kết quả khảo sát từ </w:t>
      </w:r>
      <w:r>
        <w:t>Hình 3.1</w:t>
      </w:r>
      <w:r w:rsidR="007353F8">
        <w:t>3</w:t>
      </w:r>
      <w:r w:rsidRPr="008676C8">
        <w:t xml:space="preserve"> (a) cho thấy khả năng hấp phụ TC của vật liệu composite M</w:t>
      </w:r>
      <w:r>
        <w:t>G</w:t>
      </w:r>
      <w:r w:rsidRPr="008676C8">
        <w:t>C/Fe</w:t>
      </w:r>
      <w:r w:rsidRPr="008676C8">
        <w:rPr>
          <w:vertAlign w:val="subscript"/>
        </w:rPr>
        <w:t>3</w:t>
      </w:r>
      <w:r w:rsidRPr="008676C8">
        <w:t>O</w:t>
      </w:r>
      <w:r w:rsidRPr="008676C8">
        <w:rPr>
          <w:vertAlign w:val="subscript"/>
        </w:rPr>
        <w:t>4</w:t>
      </w:r>
      <w:r w:rsidRPr="008676C8">
        <w:t xml:space="preserve"> biến thiên mạnh theo sự thay đổi của pH</w:t>
      </w:r>
      <w:r>
        <w:t xml:space="preserve">: </w:t>
      </w:r>
      <w:r w:rsidRPr="008676C8">
        <w:t>vật liệu đạt hiệu suất tối ưu nhất trong khoảng pH 6</w:t>
      </w:r>
      <w:r>
        <w:t xml:space="preserve"> và suy giảm ở hai vùng axit và kiềm.</w:t>
      </w:r>
      <w:r w:rsidRPr="008676C8">
        <w:t xml:space="preserve"> Hiện tượng này có thể được giải thích dựa trên điểm đẳng điện </w:t>
      </w:r>
      <w:r w:rsidRPr="0096408E">
        <w:rPr>
          <w:i/>
          <w:iCs/>
        </w:rPr>
        <w:t>pH</w:t>
      </w:r>
      <w:r w:rsidRPr="0096408E">
        <w:rPr>
          <w:i/>
          <w:iCs/>
          <w:vertAlign w:val="subscript"/>
        </w:rPr>
        <w:t>pzc</w:t>
      </w:r>
      <w:r w:rsidRPr="008676C8">
        <w:t xml:space="preserve"> của vật liệu được trình bày ở trên và các hằng số phân ly pK</w:t>
      </w:r>
      <w:r w:rsidRPr="008676C8">
        <w:rPr>
          <w:vertAlign w:val="subscript"/>
        </w:rPr>
        <w:t>a</w:t>
      </w:r>
      <w:r w:rsidRPr="008676C8">
        <w:t xml:space="preserve"> của phân tử TC trong </w:t>
      </w:r>
      <w:r>
        <w:t>Hình 3.1</w:t>
      </w:r>
      <w:r w:rsidR="007353F8">
        <w:t>3</w:t>
      </w:r>
      <w:r w:rsidRPr="008676C8">
        <w:t xml:space="preserve"> (b).</w:t>
      </w:r>
    </w:p>
    <w:p w14:paraId="780CC6DD" w14:textId="77777777" w:rsidR="003A61BD" w:rsidRDefault="00390747" w:rsidP="004D4C22">
      <w:pPr>
        <w:ind w:firstLine="454"/>
        <w:jc w:val="both"/>
      </w:pPr>
      <w:r>
        <w:t>Cụ thể t</w:t>
      </w:r>
      <w:r w:rsidR="006902AD" w:rsidRPr="00227A60">
        <w:t>ại vùng pH thấp (</w:t>
      </w:r>
      <w:r w:rsidR="006902AD" w:rsidRPr="00FA6C18">
        <w:rPr>
          <w:rStyle w:val="math-inline"/>
          <w:rFonts w:eastAsiaTheme="majorEastAsia"/>
          <w:i/>
          <w:iCs/>
          <w:szCs w:val="26"/>
        </w:rPr>
        <w:t>pH</w:t>
      </w:r>
      <w:r w:rsidR="006902AD" w:rsidRPr="00227A60">
        <w:rPr>
          <w:rStyle w:val="math-inline"/>
          <w:rFonts w:eastAsiaTheme="majorEastAsia"/>
          <w:szCs w:val="26"/>
        </w:rPr>
        <w:t xml:space="preserve"> &lt; 3</w:t>
      </w:r>
      <w:r w:rsidR="0096159B" w:rsidRPr="00227A60">
        <w:rPr>
          <w:rStyle w:val="math-inline"/>
          <w:rFonts w:eastAsiaTheme="majorEastAsia"/>
          <w:szCs w:val="26"/>
        </w:rPr>
        <w:t>,</w:t>
      </w:r>
      <w:r w:rsidR="006902AD" w:rsidRPr="00227A60">
        <w:rPr>
          <w:rStyle w:val="math-inline"/>
          <w:rFonts w:eastAsiaTheme="majorEastAsia"/>
          <w:szCs w:val="26"/>
        </w:rPr>
        <w:t>3</w:t>
      </w:r>
      <w:r w:rsidR="006902AD" w:rsidRPr="00227A60">
        <w:t>)</w:t>
      </w:r>
      <w:r>
        <w:t>: Trong điều kiện axit mạnh này, các phân tử Tetracycline tồn tại chủ yếu dưới dạng cation dương</w:t>
      </w:r>
      <w:r w:rsidR="00FA26CC">
        <w:t xml:space="preserve"> do quá trình proton hoá các nhóm chức amine. Đồng thời, do pH dung dịch thấp hơn điểm đẳng điện nên</w:t>
      </w:r>
      <w:r w:rsidR="002E2433" w:rsidRPr="00227A60">
        <w:t xml:space="preserve"> bề mặt vật liệu</w:t>
      </w:r>
      <w:r w:rsidR="00FA26CC">
        <w:t xml:space="preserve"> </w:t>
      </w:r>
      <w:r w:rsidR="00291DA6" w:rsidRPr="00227A60">
        <w:t xml:space="preserve"> </w:t>
      </w:r>
      <w:r w:rsidR="00FA26CC" w:rsidRPr="008676C8">
        <w:t>M</w:t>
      </w:r>
      <w:r w:rsidR="00FA26CC">
        <w:t>G</w:t>
      </w:r>
      <w:r w:rsidR="00FA26CC" w:rsidRPr="008676C8">
        <w:t>C/Fe</w:t>
      </w:r>
      <w:r w:rsidR="00FA26CC" w:rsidRPr="008676C8">
        <w:rPr>
          <w:vertAlign w:val="subscript"/>
        </w:rPr>
        <w:t>3</w:t>
      </w:r>
      <w:r w:rsidR="00FA26CC" w:rsidRPr="008676C8">
        <w:t>O</w:t>
      </w:r>
      <w:r w:rsidR="00FA26CC" w:rsidRPr="008676C8">
        <w:rPr>
          <w:vertAlign w:val="subscript"/>
        </w:rPr>
        <w:t>4</w:t>
      </w:r>
      <w:r w:rsidR="00FA26CC" w:rsidRPr="008676C8">
        <w:t xml:space="preserve"> </w:t>
      </w:r>
      <w:r w:rsidR="00FA26CC">
        <w:t xml:space="preserve">cũng </w:t>
      </w:r>
      <w:r w:rsidR="00291DA6" w:rsidRPr="00227A60">
        <w:t>mang điện tích dương</w:t>
      </w:r>
      <w:r w:rsidR="00ED2120" w:rsidRPr="00227A60">
        <w:t xml:space="preserve">. Do đó đã xuất hiện của lực đẩy tĩnh điện </w:t>
      </w:r>
      <w:r w:rsidR="003D0F50">
        <w:t xml:space="preserve">dương – dương </w:t>
      </w:r>
      <w:r w:rsidR="00ED2120" w:rsidRPr="00227A60">
        <w:t>giữa chấp hấp phụ và vật liệu bị hấp phụ,</w:t>
      </w:r>
      <w:r w:rsidR="003A61BD">
        <w:t xml:space="preserve"> ngăn cản quá trình tiếp cận bề mặt</w:t>
      </w:r>
      <w:r w:rsidR="00ED2120" w:rsidRPr="00227A60">
        <w:t xml:space="preserve"> dẫn đến hiệu suất hấp phụ </w:t>
      </w:r>
      <w:r w:rsidR="003D0F50">
        <w:t>bị sụt giảm</w:t>
      </w:r>
      <w:r w:rsidR="0096159B" w:rsidRPr="00227A60">
        <w:t xml:space="preserve">. </w:t>
      </w:r>
    </w:p>
    <w:p w14:paraId="6CF3992E" w14:textId="40BE0566" w:rsidR="006902AD" w:rsidRPr="00227A60" w:rsidRDefault="0096159B" w:rsidP="004D4C22">
      <w:pPr>
        <w:ind w:firstLine="454"/>
        <w:jc w:val="both"/>
      </w:pPr>
      <w:r w:rsidRPr="00227A60">
        <w:t>Tương tự với vùng pH cao (</w:t>
      </w:r>
      <w:r w:rsidRPr="00FA6C18">
        <w:rPr>
          <w:i/>
          <w:iCs/>
        </w:rPr>
        <w:t>p</w:t>
      </w:r>
      <w:r w:rsidR="00FA6C18" w:rsidRPr="00FA6C18">
        <w:rPr>
          <w:i/>
          <w:iCs/>
        </w:rPr>
        <w:t>H</w:t>
      </w:r>
      <w:r w:rsidR="00131D68">
        <w:rPr>
          <w:i/>
          <w:iCs/>
        </w:rPr>
        <w:t xml:space="preserve"> </w:t>
      </w:r>
      <w:r w:rsidRPr="00227A60">
        <w:t xml:space="preserve"> &gt; 7,7)</w:t>
      </w:r>
      <w:r w:rsidR="00CF10A6">
        <w:t>: K</w:t>
      </w:r>
      <w:r w:rsidR="000D7CE2" w:rsidRPr="00227A60">
        <w:t>hi</w:t>
      </w:r>
      <w:r w:rsidR="00CF10A6">
        <w:t xml:space="preserve"> pH môi trường tăng cao, kháng sinh TC trải qua quá trình deproton hoá liên tiếp và chuyển sang tồn tại dưới dạng các anion mang điện tích âm. Lúc này, bề mặt của vật liệu </w:t>
      </w:r>
      <w:r w:rsidR="00CF10A6" w:rsidRPr="008676C8">
        <w:t>M</w:t>
      </w:r>
      <w:r w:rsidR="00CF10A6">
        <w:t>G</w:t>
      </w:r>
      <w:r w:rsidR="00CF10A6" w:rsidRPr="008676C8">
        <w:t>C/Fe</w:t>
      </w:r>
      <w:r w:rsidR="00CF10A6" w:rsidRPr="008676C8">
        <w:rPr>
          <w:vertAlign w:val="subscript"/>
        </w:rPr>
        <w:t>3</w:t>
      </w:r>
      <w:r w:rsidR="00CF10A6" w:rsidRPr="008676C8">
        <w:t>O</w:t>
      </w:r>
      <w:r w:rsidR="00CF10A6" w:rsidRPr="008676C8">
        <w:rPr>
          <w:vertAlign w:val="subscript"/>
        </w:rPr>
        <w:t>4</w:t>
      </w:r>
      <w:r w:rsidR="00CF10A6">
        <w:rPr>
          <w:vertAlign w:val="subscript"/>
        </w:rPr>
        <w:t xml:space="preserve"> </w:t>
      </w:r>
      <w:r w:rsidR="00CF10A6">
        <w:t>cũng chuyển sang trạng thái tích điện âm mạnh</w:t>
      </w:r>
      <w:r w:rsidR="000D7CE2" w:rsidRPr="00227A60">
        <w:t xml:space="preserve"> </w:t>
      </w:r>
      <w:r w:rsidR="00195AA7" w:rsidRPr="00227A60">
        <w:t>(</w:t>
      </w:r>
      <w:r w:rsidR="00FC49B9" w:rsidRPr="00FC49B9">
        <w:rPr>
          <w:i/>
          <w:iCs/>
        </w:rPr>
        <w:t>pH</w:t>
      </w:r>
      <w:r w:rsidR="00131D68">
        <w:rPr>
          <w:i/>
          <w:iCs/>
        </w:rPr>
        <w:t xml:space="preserve"> </w:t>
      </w:r>
      <w:r w:rsidR="00FC49B9">
        <w:t xml:space="preserve"> &gt; </w:t>
      </w:r>
      <w:r w:rsidR="00195AA7" w:rsidRPr="00227A60">
        <w:t xml:space="preserve"> </w:t>
      </w:r>
      <w:r w:rsidR="00195AA7" w:rsidRPr="00FC49B9">
        <w:rPr>
          <w:i/>
          <w:iCs/>
        </w:rPr>
        <w:t>pH</w:t>
      </w:r>
      <w:r w:rsidR="00195AA7" w:rsidRPr="00FC49B9">
        <w:rPr>
          <w:i/>
          <w:iCs/>
          <w:vertAlign w:val="subscript"/>
        </w:rPr>
        <w:t>pzc</w:t>
      </w:r>
      <w:r w:rsidR="00195AA7" w:rsidRPr="00227A60">
        <w:t>)</w:t>
      </w:r>
      <w:r w:rsidR="00E95DA2">
        <w:t>. Sự tương tác giữa hai bề mặt cùng dấu tiếp tục</w:t>
      </w:r>
      <w:r w:rsidR="00B96E43" w:rsidRPr="00227A60">
        <w:t xml:space="preserve"> tạo ra </w:t>
      </w:r>
      <w:r w:rsidR="00447726" w:rsidRPr="00227A60">
        <w:t>lực đẩy tĩnh điện âm</w:t>
      </w:r>
      <w:r w:rsidR="00EB512F">
        <w:t xml:space="preserve"> - </w:t>
      </w:r>
      <w:r w:rsidR="00447726" w:rsidRPr="00227A60">
        <w:t xml:space="preserve">âm , gây </w:t>
      </w:r>
      <w:r w:rsidR="002967F5" w:rsidRPr="00227A60">
        <w:t>yếu tố cản trở</w:t>
      </w:r>
      <w:r w:rsidR="00E95DA2">
        <w:t xml:space="preserve"> nghiêm trọng quá trình khuếch tán của kháng si</w:t>
      </w:r>
      <w:r w:rsidR="0004495B">
        <w:t>nh, làm giảm</w:t>
      </w:r>
      <w:r w:rsidR="0070608E" w:rsidRPr="00227A60">
        <w:t xml:space="preserve"> khả năng tiếp cận của TC vào các lỗ xốp</w:t>
      </w:r>
      <w:r w:rsidR="006B1867" w:rsidRPr="00227A60">
        <w:t>. Do đó h</w:t>
      </w:r>
      <w:r w:rsidR="006902AD" w:rsidRPr="00227A60">
        <w:t>iệu suất hấp phụ đạt giá tr</w:t>
      </w:r>
      <w:r w:rsidR="006B1867" w:rsidRPr="00227A60">
        <w:t>ị thấp dần</w:t>
      </w:r>
      <w:r w:rsidR="006902AD" w:rsidRPr="00227A60">
        <w:t xml:space="preserve">. </w:t>
      </w:r>
    </w:p>
    <w:p w14:paraId="232B1EA4" w14:textId="402B545D" w:rsidR="006B66EB" w:rsidRPr="00227A60" w:rsidRDefault="006902AD" w:rsidP="004D4C22">
      <w:pPr>
        <w:ind w:firstLine="454"/>
        <w:jc w:val="both"/>
      </w:pPr>
      <w:r w:rsidRPr="00227A60">
        <w:t>Tại vùng pH trung bình (</w:t>
      </w:r>
      <w:r w:rsidRPr="00227A60">
        <w:rPr>
          <w:rStyle w:val="math-inline"/>
          <w:rFonts w:eastAsiaTheme="majorEastAsia"/>
          <w:szCs w:val="26"/>
        </w:rPr>
        <w:t xml:space="preserve">5 &lt; </w:t>
      </w:r>
      <w:r w:rsidRPr="00FA6C18">
        <w:rPr>
          <w:rStyle w:val="math-inline"/>
          <w:rFonts w:eastAsiaTheme="majorEastAsia"/>
          <w:i/>
          <w:iCs/>
          <w:szCs w:val="26"/>
        </w:rPr>
        <w:t>pH</w:t>
      </w:r>
      <w:r w:rsidRPr="00227A60">
        <w:rPr>
          <w:rStyle w:val="math-inline"/>
          <w:rFonts w:eastAsiaTheme="majorEastAsia"/>
          <w:szCs w:val="26"/>
        </w:rPr>
        <w:t xml:space="preserve"> &lt; 6</w:t>
      </w:r>
      <w:r w:rsidRPr="00227A60">
        <w:t xml:space="preserve">): Đây là vùng điều kiện tối ưu nhất cho quá trình hấp phụ. Tại khoảng pH này, bề mặt vật liệu nằm gần điểm trung hòa điện tích </w:t>
      </w:r>
      <w:r w:rsidR="005B6681" w:rsidRPr="0096408E">
        <w:rPr>
          <w:i/>
          <w:iCs/>
        </w:rPr>
        <w:t>pH</w:t>
      </w:r>
      <w:r w:rsidR="005B6681" w:rsidRPr="0096408E">
        <w:rPr>
          <w:i/>
          <w:iCs/>
          <w:vertAlign w:val="subscript"/>
        </w:rPr>
        <w:t>pzc</w:t>
      </w:r>
      <w:r w:rsidR="005B6681" w:rsidRPr="00227A60">
        <w:rPr>
          <w:vertAlign w:val="subscript"/>
        </w:rPr>
        <w:t>,</w:t>
      </w:r>
      <w:r w:rsidRPr="00227A60">
        <w:t xml:space="preserve"> trong khi phân tử TC </w:t>
      </w:r>
      <w:r w:rsidR="00FA6C18">
        <w:t xml:space="preserve">cũng </w:t>
      </w:r>
      <w:r w:rsidRPr="00227A60">
        <w:t xml:space="preserve">tồn tại chủ yếu ở dạng lưỡng cực </w:t>
      </w:r>
      <w:r w:rsidR="005B6681" w:rsidRPr="00227A60">
        <w:t xml:space="preserve">mang cả hai điện </w:t>
      </w:r>
      <w:r w:rsidR="005B6681" w:rsidRPr="00227A60">
        <w:lastRenderedPageBreak/>
        <w:t>tích âm dương</w:t>
      </w:r>
      <w:r w:rsidR="00FA6C18">
        <w:t xml:space="preserve"> trong vùng pH này</w:t>
      </w:r>
      <w:r w:rsidRPr="00227A60">
        <w:t>.</w:t>
      </w:r>
      <w:r w:rsidR="00F02A16" w:rsidRPr="00227A60">
        <w:t xml:space="preserve"> </w:t>
      </w:r>
      <w:r w:rsidR="00C07468" w:rsidRPr="00227A60">
        <w:t>K</w:t>
      </w:r>
      <w:r w:rsidR="007D4E26">
        <w:t xml:space="preserve">hi đó, </w:t>
      </w:r>
      <w:r w:rsidRPr="00227A60">
        <w:t xml:space="preserve"> lực đẩy tĩnh điện</w:t>
      </w:r>
      <w:r w:rsidR="00C07468" w:rsidRPr="00227A60">
        <w:t xml:space="preserve"> đã</w:t>
      </w:r>
      <w:r w:rsidRPr="00227A60">
        <w:t xml:space="preserve"> bị triệt tiêu hoặc giảm thiểu tối đa, </w:t>
      </w:r>
      <w:r w:rsidR="00C07468" w:rsidRPr="00227A60">
        <w:t xml:space="preserve">nhờ đó </w:t>
      </w:r>
      <w:r w:rsidR="004E27EB" w:rsidRPr="00227A60">
        <w:t>quá trình hấp phụ diễn ra thuận lợi nhất</w:t>
      </w:r>
      <w:r w:rsidR="00141F30" w:rsidRPr="00227A60">
        <w:t xml:space="preserve"> do được</w:t>
      </w:r>
      <w:r w:rsidRPr="00227A60">
        <w:t xml:space="preserve"> thúc đẩy mạnh mẽ bởi các tương tác phi tĩnh điện, bao gồm </w:t>
      </w:r>
      <w:r w:rsidR="00963DFB" w:rsidRPr="00227A60">
        <w:t>tương tác</w:t>
      </w:r>
      <w:r w:rsidR="00F02A16" w:rsidRPr="00227A60">
        <w:t xml:space="preserve"> </w:t>
      </w:r>
      <m:oMath>
        <m:r>
          <w:rPr>
            <w:rFonts w:ascii="Cambria Math" w:hAnsi="Cambria Math"/>
          </w:rPr>
          <m:t>π-π</m:t>
        </m:r>
      </m:oMath>
      <w:r w:rsidR="00F02A16" w:rsidRPr="00227A60">
        <w:t xml:space="preserve"> </w:t>
      </w:r>
      <w:r w:rsidR="00963DFB" w:rsidRPr="00227A60">
        <w:t xml:space="preserve"> electron </w:t>
      </w:r>
      <w:r w:rsidRPr="00227A60">
        <w:t>(giữa vòng thơm của TC và mạng lưới carbon của than</w:t>
      </w:r>
      <w:r w:rsidR="007D4E26">
        <w:t>)</w:t>
      </w:r>
      <w:r w:rsidR="001B776E">
        <w:t xml:space="preserve"> </w:t>
      </w:r>
      <w:r w:rsidR="001B776E">
        <w:fldChar w:fldCharType="begin"/>
      </w:r>
      <w:r w:rsidR="001B776E">
        <w:instrText xml:space="preserve"> ADDIN ZOTERO_ITEM CSL_CITATION {"citationID":"0sHrRQ6A","properties":{"formattedCitation":"[9]","plainCitation":"[9]","noteIndex":0},"citationItems":[{"id":295,"uris":["http://zotero.org/users/12953706/items/CRHDX7AK"],"itemData":{"id":295,"type":"article-journal","abstract":"In this study, macadamia nutshell residue, a prevalent leftover and green agricultural waste in Vietnam, was utilized to prepare a magnetic activated carbon adsorbent. The obtained material was characterized by its surface functionalities, elemental composition, crystalline structure, and magnetic properties. The characterization results revealed that the composite comprised Fe3O4 nanoparticles attached to the carbon matrix. The saturation magnetization (Ms) of the composite was found to be 38.2 emu g−1, indicating a convenient separation of the solid adsorbent from aqueous media using an external magnetic field. The feasibility of removing zinc (II) ion from an aqueous solution of the activated carbon/Fe3O4 (AC/Fe3O4) composite was examined. The adsorption kinetics were best explained by the Elovich model and the pseudo-second-order model. The adsorption capacity at equilibrium and the initial rate of Zn2+ adsorption determined by the pseudo-second-order model were 22.73 mg g−1 and 4.18 mg g−1 min−1, respectively. The implications of this study are that a low-cost, green, and magnetically separable material prepared by a large-scale available solid waste can be a promising adsorbent for the elimination of heavy metals.","container-title":"Advances in Materials Science and Engineering","DOI":"10.1155/2021/2543197","ISSN":"1687-8442","issue":"1","language":"en","note":"_eprint: https://onlinelibrary.wiley.com/doi/pdf/10.1155/2021/2543197","page":"2543197","source":"Wiley Online Library","title":"Utilization of Macadamia Nutshell Residue for the Synthesis of Magnetic Activated Carbon toward Zinc (II) Ion Removal","volume":"2021","author":[{"family":"Dao","given":"Minh-Trung"},{"family":"Tran","given":"Thi-Phuong-Linh"},{"family":"Vo","given":"Duc-Thuong"},{"family":"Nguyen","given":"Van-Kieu"},{"family":"Hoang","given":"Le-Thuy-Thuy-Trang"}],"issued":{"date-parts":[["2021"]]}}}],"schema":"https://github.com/citation-style-language/schema/raw/master/csl-citation.json"} </w:instrText>
      </w:r>
      <w:r w:rsidR="001B776E">
        <w:fldChar w:fldCharType="separate"/>
      </w:r>
      <w:r w:rsidR="001B776E" w:rsidRPr="001B776E">
        <w:rPr>
          <w:rFonts w:cs="Times New Roman"/>
        </w:rPr>
        <w:t>[9]</w:t>
      </w:r>
      <w:r w:rsidR="001B776E">
        <w:fldChar w:fldCharType="end"/>
      </w:r>
      <w:r w:rsidR="00A30D6F" w:rsidRPr="00227A60">
        <w:t>.</w:t>
      </w:r>
      <w:r w:rsidR="00E74EFA">
        <w:t xml:space="preserve"> </w:t>
      </w:r>
      <w:r w:rsidR="00B00385">
        <w:t>Từ những phân tích trên, đồ án</w:t>
      </w:r>
      <w:r w:rsidR="0012164C" w:rsidRPr="00227A60">
        <w:t xml:space="preserve"> </w:t>
      </w:r>
      <w:r w:rsidR="001B776E">
        <w:t xml:space="preserve">xác định được </w:t>
      </w:r>
      <w:r w:rsidR="00EB512F">
        <w:t>vùng pH</w:t>
      </w:r>
      <w:r w:rsidR="006361ED" w:rsidRPr="00227A60">
        <w:t xml:space="preserve"> tối ưu </w:t>
      </w:r>
      <w:r w:rsidR="0012164C" w:rsidRPr="00227A60">
        <w:t>để</w:t>
      </w:r>
      <w:r w:rsidR="006361ED" w:rsidRPr="00227A60">
        <w:t xml:space="preserve"> </w:t>
      </w:r>
      <w:r w:rsidR="00FA7699">
        <w:t xml:space="preserve">vật liệu </w:t>
      </w:r>
      <w:r w:rsidR="00FA7699" w:rsidRPr="008676C8">
        <w:t>M</w:t>
      </w:r>
      <w:r w:rsidR="00FA7699">
        <w:t>G</w:t>
      </w:r>
      <w:r w:rsidR="00FA7699" w:rsidRPr="008676C8">
        <w:t>C/Fe</w:t>
      </w:r>
      <w:r w:rsidR="00FA7699" w:rsidRPr="008676C8">
        <w:rPr>
          <w:vertAlign w:val="subscript"/>
        </w:rPr>
        <w:t>3</w:t>
      </w:r>
      <w:r w:rsidR="00FA7699" w:rsidRPr="008676C8">
        <w:t>O</w:t>
      </w:r>
      <w:r w:rsidR="00FA7699" w:rsidRPr="008676C8">
        <w:rPr>
          <w:vertAlign w:val="subscript"/>
        </w:rPr>
        <w:t>4</w:t>
      </w:r>
      <w:r w:rsidR="006361ED" w:rsidRPr="00227A60">
        <w:t xml:space="preserve"> hấp phụ TC là khoảng p</w:t>
      </w:r>
      <w:r w:rsidR="00EB512F">
        <w:t>H</w:t>
      </w:r>
      <w:r w:rsidR="006361ED" w:rsidRPr="00227A60">
        <w:t xml:space="preserve"> 6</w:t>
      </w:r>
      <w:r w:rsidR="00B00385">
        <w:t xml:space="preserve">. Đây </w:t>
      </w:r>
      <w:r w:rsidR="007353F8">
        <w:t xml:space="preserve">sẽ là </w:t>
      </w:r>
      <w:r w:rsidR="00B00385">
        <w:t>giá trị pH cần chú ý để tối ưu cho các quá trình thí nghiệm sau này.</w:t>
      </w:r>
    </w:p>
    <w:p w14:paraId="32D0606A" w14:textId="1E0710D2" w:rsidR="00C61F2A" w:rsidRDefault="00FF2178" w:rsidP="001C6C80">
      <w:pPr>
        <w:pStyle w:val="Heading3"/>
      </w:pPr>
      <w:bookmarkStart w:id="40" w:name="_Toc233142642"/>
      <w:r>
        <w:t>K</w:t>
      </w:r>
      <w:r w:rsidR="00E10DF3">
        <w:t>ết quả k</w:t>
      </w:r>
      <w:r>
        <w:t>hảo sát nồng độ</w:t>
      </w:r>
      <w:r w:rsidR="006F2456">
        <w:t xml:space="preserve"> và phân tích đẳng nhiệt</w:t>
      </w:r>
      <w:bookmarkEnd w:id="40"/>
    </w:p>
    <w:p w14:paraId="452C8645" w14:textId="77777777" w:rsidR="0016369F" w:rsidRDefault="0016369F" w:rsidP="0016369F">
      <w:pPr>
        <w:keepNext/>
        <w:ind w:firstLine="426"/>
        <w:jc w:val="center"/>
      </w:pPr>
      <w:r w:rsidRPr="000762F4">
        <w:rPr>
          <w:noProof/>
          <w:lang w:eastAsia="en-US"/>
        </w:rPr>
        <w:drawing>
          <wp:inline distT="0" distB="0" distL="0" distR="0" wp14:anchorId="0B014E94" wp14:editId="4C3048C6">
            <wp:extent cx="3960000" cy="2986481"/>
            <wp:effectExtent l="0" t="0" r="2540" b="4445"/>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60000" cy="2986481"/>
                    </a:xfrm>
                    <a:prstGeom prst="rect">
                      <a:avLst/>
                    </a:prstGeom>
                  </pic:spPr>
                </pic:pic>
              </a:graphicData>
            </a:graphic>
          </wp:inline>
        </w:drawing>
      </w:r>
    </w:p>
    <w:p w14:paraId="101D0A9B" w14:textId="3BD45F3E" w:rsidR="0016369F" w:rsidRPr="0016369F" w:rsidRDefault="0016369F" w:rsidP="00B30FC2">
      <w:pPr>
        <w:pStyle w:val="Caption"/>
        <w:spacing w:after="240"/>
        <w:rPr>
          <w:color w:val="000000" w:themeColor="text1"/>
        </w:rPr>
      </w:pPr>
      <w:bookmarkStart w:id="41" w:name="_Toc218054548"/>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14</w:t>
        </w:r>
      </w:fldSimple>
      <w:r>
        <w:t>. Kết quả khảo sát nồng độ.</w:t>
      </w:r>
      <w:bookmarkEnd w:id="41"/>
    </w:p>
    <w:p w14:paraId="4CBF6F84" w14:textId="26F27B42" w:rsidR="00B03877" w:rsidRPr="00BD3794" w:rsidRDefault="003D3AA3" w:rsidP="00BD3794">
      <w:pPr>
        <w:ind w:firstLine="426"/>
        <w:jc w:val="both"/>
        <w:rPr>
          <w:color w:val="000000" w:themeColor="text1"/>
        </w:rPr>
      </w:pPr>
      <w:r>
        <w:rPr>
          <w:color w:val="000000" w:themeColor="text1"/>
        </w:rPr>
        <w:t xml:space="preserve">Từ kết quả khảo sát </w:t>
      </w:r>
      <w:r w:rsidR="005745E9">
        <w:rPr>
          <w:color w:val="000000" w:themeColor="text1"/>
        </w:rPr>
        <w:t>H</w:t>
      </w:r>
      <w:r>
        <w:rPr>
          <w:color w:val="000000" w:themeColor="text1"/>
        </w:rPr>
        <w:t>ình 3.1</w:t>
      </w:r>
      <w:r w:rsidR="008A27F0">
        <w:rPr>
          <w:color w:val="000000" w:themeColor="text1"/>
        </w:rPr>
        <w:t>4, ta q</w:t>
      </w:r>
      <w:r>
        <w:rPr>
          <w:color w:val="000000" w:themeColor="text1"/>
        </w:rPr>
        <w:t xml:space="preserve">uan sát thấy </w:t>
      </w:r>
      <w:r w:rsidR="00C37E46">
        <w:rPr>
          <w:color w:val="000000" w:themeColor="text1"/>
        </w:rPr>
        <w:t xml:space="preserve">mối quan hệ đối nghịch rõ rệt giữa dung lượng hấp phụ cân bằng và hiệu suất xử lý </w:t>
      </w:r>
      <w:r>
        <w:rPr>
          <w:color w:val="000000" w:themeColor="text1"/>
        </w:rPr>
        <w:t>khi nồng độ TC đầu vào tăng từ 20 mg/L lên 100</w:t>
      </w:r>
      <w:r w:rsidR="00076646">
        <w:rPr>
          <w:color w:val="000000" w:themeColor="text1"/>
        </w:rPr>
        <w:t xml:space="preserve"> </w:t>
      </w:r>
      <w:r>
        <w:rPr>
          <w:color w:val="000000" w:themeColor="text1"/>
        </w:rPr>
        <w:t>mg/L</w:t>
      </w:r>
      <w:r w:rsidR="00C37E46">
        <w:rPr>
          <w:color w:val="000000" w:themeColor="text1"/>
        </w:rPr>
        <w:t>:</w:t>
      </w:r>
      <w:r>
        <w:rPr>
          <w:color w:val="000000" w:themeColor="text1"/>
        </w:rPr>
        <w:t xml:space="preserve"> </w:t>
      </w:r>
      <w:r w:rsidR="00D31460">
        <w:rPr>
          <w:color w:val="000000" w:themeColor="text1"/>
        </w:rPr>
        <w:t>D</w:t>
      </w:r>
      <w:r>
        <w:rPr>
          <w:color w:val="000000" w:themeColor="text1"/>
        </w:rPr>
        <w:t xml:space="preserve">ung lượng hấp phụ cân bằng </w:t>
      </w:r>
      <w:r w:rsidR="00E15CE2">
        <w:rPr>
          <w:i/>
          <w:iCs/>
          <w:color w:val="000000" w:themeColor="text1"/>
        </w:rPr>
        <w:t>Q</w:t>
      </w:r>
      <w:r w:rsidR="00F16911" w:rsidRPr="00F16911">
        <w:rPr>
          <w:i/>
          <w:iCs/>
          <w:color w:val="000000" w:themeColor="text1"/>
          <w:vertAlign w:val="subscript"/>
        </w:rPr>
        <w:t>e</w:t>
      </w:r>
      <w:r w:rsidR="00F16911">
        <w:rPr>
          <w:i/>
          <w:iCs/>
          <w:color w:val="000000" w:themeColor="text1"/>
        </w:rPr>
        <w:t xml:space="preserve"> </w:t>
      </w:r>
      <w:r w:rsidR="00F16911">
        <w:rPr>
          <w:color w:val="000000" w:themeColor="text1"/>
        </w:rPr>
        <w:t xml:space="preserve">tăng đáng kể và dần đạt đến trạng thái bão hoà, trong khi hiệu suất xử lý </w:t>
      </w:r>
      <w:r w:rsidR="00F16911" w:rsidRPr="00F16911">
        <w:rPr>
          <w:i/>
          <w:iCs/>
          <w:color w:val="000000" w:themeColor="text1"/>
        </w:rPr>
        <w:t>H</w:t>
      </w:r>
      <w:r w:rsidR="008C5159">
        <w:rPr>
          <w:i/>
          <w:iCs/>
          <w:color w:val="000000" w:themeColor="text1"/>
        </w:rPr>
        <w:t xml:space="preserve"> </w:t>
      </w:r>
      <w:r w:rsidR="00F16911">
        <w:rPr>
          <w:i/>
          <w:iCs/>
          <w:color w:val="000000" w:themeColor="text1"/>
        </w:rPr>
        <w:t xml:space="preserve">% </w:t>
      </w:r>
      <w:r w:rsidR="00D31460">
        <w:rPr>
          <w:color w:val="000000" w:themeColor="text1"/>
        </w:rPr>
        <w:t>lại có xu hướng giảm dần theo quy luật hàm nghịch biến</w:t>
      </w:r>
      <w:r w:rsidR="00F16911" w:rsidRPr="00F16911">
        <w:rPr>
          <w:color w:val="000000" w:themeColor="text1"/>
        </w:rPr>
        <w:t>.</w:t>
      </w:r>
      <w:r w:rsidR="00F16911">
        <w:rPr>
          <w:i/>
          <w:iCs/>
          <w:color w:val="000000" w:themeColor="text1"/>
        </w:rPr>
        <w:t xml:space="preserve"> </w:t>
      </w:r>
      <w:r w:rsidR="00E20844">
        <w:rPr>
          <w:color w:val="000000" w:themeColor="text1"/>
        </w:rPr>
        <w:t>Cuối cùng dung lượng hấp phụ đạt giá trị cực đại thực nghiệm là 31,16 mg/g.</w:t>
      </w:r>
      <w:r w:rsidR="00AC74C7">
        <w:rPr>
          <w:color w:val="000000" w:themeColor="text1"/>
        </w:rPr>
        <w:t xml:space="preserve"> </w:t>
      </w:r>
    </w:p>
    <w:p w14:paraId="7F0438A7" w14:textId="4E5EC521" w:rsidR="00CF487F" w:rsidRPr="0001333B" w:rsidRDefault="00CF487F" w:rsidP="004D4C22">
      <w:pPr>
        <w:pStyle w:val="Caption"/>
        <w:keepNext/>
        <w:spacing w:after="240"/>
        <w:ind w:firstLine="0"/>
      </w:pPr>
      <w:bookmarkStart w:id="42" w:name="_Toc218004843"/>
      <w:r>
        <w:t xml:space="preserve">Bảng  </w:t>
      </w:r>
      <w:fldSimple w:instr=" STYLEREF 1 \s ">
        <w:r w:rsidR="009801F7">
          <w:rPr>
            <w:noProof/>
          </w:rPr>
          <w:t>3</w:t>
        </w:r>
      </w:fldSimple>
      <w:r>
        <w:t>.</w:t>
      </w:r>
      <w:r w:rsidR="00CF0C31">
        <w:fldChar w:fldCharType="begin"/>
      </w:r>
      <w:r w:rsidR="00CF0C31">
        <w:instrText xml:space="preserve"> SEQ B</w:instrText>
      </w:r>
      <w:r w:rsidR="00CF0C31">
        <w:instrText>ả</w:instrText>
      </w:r>
      <w:r w:rsidR="00CF0C31">
        <w:instrText xml:space="preserve">ng_ \* ARABIC \s 1 </w:instrText>
      </w:r>
      <w:r w:rsidR="00CF0C31">
        <w:fldChar w:fldCharType="separate"/>
      </w:r>
      <w:r w:rsidR="009801F7">
        <w:rPr>
          <w:noProof/>
        </w:rPr>
        <w:t>4</w:t>
      </w:r>
      <w:r w:rsidR="00CF0C31">
        <w:rPr>
          <w:noProof/>
        </w:rPr>
        <w:fldChar w:fldCharType="end"/>
      </w:r>
      <w:r>
        <w:t xml:space="preserve">. </w:t>
      </w:r>
      <w:r w:rsidR="008C5159">
        <w:t xml:space="preserve">Bảng tổng hợp </w:t>
      </w:r>
      <w:r w:rsidR="0001333B">
        <w:t>dung lượng hấp phụ cực đại (Q</w:t>
      </w:r>
      <w:r w:rsidR="0001333B" w:rsidRPr="0001333B">
        <w:rPr>
          <w:vertAlign w:val="subscript"/>
        </w:rPr>
        <w:t>max</w:t>
      </w:r>
      <w:r w:rsidR="0001333B">
        <w:t>) Tetracycline trên các loại vật liệu hấp phụ khác nhau.</w:t>
      </w:r>
      <w:bookmarkEnd w:id="42"/>
    </w:p>
    <w:tbl>
      <w:tblPr>
        <w:tblStyle w:val="TableGrid"/>
        <w:tblW w:w="9214" w:type="dxa"/>
        <w:tblInd w:w="-147" w:type="dxa"/>
        <w:tblLook w:val="04A0" w:firstRow="1" w:lastRow="0" w:firstColumn="1" w:lastColumn="0" w:noHBand="0" w:noVBand="1"/>
      </w:tblPr>
      <w:tblGrid>
        <w:gridCol w:w="2127"/>
        <w:gridCol w:w="1701"/>
        <w:gridCol w:w="2551"/>
        <w:gridCol w:w="1134"/>
        <w:gridCol w:w="1701"/>
      </w:tblGrid>
      <w:tr w:rsidR="00772159" w:rsidRPr="002D7168" w14:paraId="050D6526" w14:textId="77777777" w:rsidTr="00FD473B">
        <w:trPr>
          <w:trHeight w:val="315"/>
        </w:trPr>
        <w:tc>
          <w:tcPr>
            <w:tcW w:w="2127" w:type="dxa"/>
            <w:hideMark/>
          </w:tcPr>
          <w:p w14:paraId="14F22AA7" w14:textId="77777777" w:rsidR="002D7168" w:rsidRPr="002D7168" w:rsidRDefault="002D7168" w:rsidP="00772159">
            <w:pPr>
              <w:ind w:firstLine="0"/>
              <w:jc w:val="center"/>
              <w:rPr>
                <w:b/>
                <w:bCs/>
                <w:color w:val="000000" w:themeColor="text1"/>
              </w:rPr>
            </w:pPr>
            <w:r w:rsidRPr="002D7168">
              <w:rPr>
                <w:b/>
                <w:bCs/>
                <w:color w:val="000000" w:themeColor="text1"/>
              </w:rPr>
              <w:t>Vật liệu hấp phụ</w:t>
            </w:r>
          </w:p>
        </w:tc>
        <w:tc>
          <w:tcPr>
            <w:tcW w:w="1701" w:type="dxa"/>
            <w:hideMark/>
          </w:tcPr>
          <w:p w14:paraId="295AF926" w14:textId="6351EBDF" w:rsidR="002D7168" w:rsidRPr="002D7168" w:rsidRDefault="002D7168" w:rsidP="00772159">
            <w:pPr>
              <w:ind w:firstLine="0"/>
              <w:jc w:val="center"/>
              <w:rPr>
                <w:b/>
                <w:bCs/>
                <w:color w:val="000000" w:themeColor="text1"/>
              </w:rPr>
            </w:pPr>
            <w:r w:rsidRPr="002D7168">
              <w:rPr>
                <w:b/>
                <w:bCs/>
                <w:color w:val="000000" w:themeColor="text1"/>
              </w:rPr>
              <w:t>Nguồn gốc</w:t>
            </w:r>
            <w:r w:rsidR="0002481C">
              <w:rPr>
                <w:b/>
                <w:bCs/>
                <w:color w:val="000000" w:themeColor="text1"/>
              </w:rPr>
              <w:t xml:space="preserve"> </w:t>
            </w:r>
            <w:r w:rsidR="00394C1C">
              <w:rPr>
                <w:b/>
                <w:bCs/>
                <w:color w:val="000000" w:themeColor="text1"/>
              </w:rPr>
              <w:t>sinh khối</w:t>
            </w:r>
          </w:p>
        </w:tc>
        <w:tc>
          <w:tcPr>
            <w:tcW w:w="2551" w:type="dxa"/>
            <w:hideMark/>
          </w:tcPr>
          <w:p w14:paraId="2214EE4A" w14:textId="77777777" w:rsidR="002D7168" w:rsidRPr="002D7168" w:rsidRDefault="002D7168" w:rsidP="00772159">
            <w:pPr>
              <w:ind w:firstLine="0"/>
              <w:jc w:val="center"/>
              <w:rPr>
                <w:b/>
                <w:bCs/>
                <w:color w:val="000000" w:themeColor="text1"/>
              </w:rPr>
            </w:pPr>
            <w:r w:rsidRPr="002D7168">
              <w:rPr>
                <w:b/>
                <w:bCs/>
                <w:color w:val="000000" w:themeColor="text1"/>
              </w:rPr>
              <w:t>Điều kiện chế tạo</w:t>
            </w:r>
          </w:p>
        </w:tc>
        <w:tc>
          <w:tcPr>
            <w:tcW w:w="1134" w:type="dxa"/>
            <w:hideMark/>
          </w:tcPr>
          <w:p w14:paraId="18064B4D" w14:textId="77777777" w:rsidR="002D7168" w:rsidRPr="002D7168" w:rsidRDefault="002D7168" w:rsidP="00772159">
            <w:pPr>
              <w:ind w:firstLine="7"/>
              <w:jc w:val="center"/>
              <w:rPr>
                <w:b/>
                <w:bCs/>
                <w:color w:val="000000" w:themeColor="text1"/>
              </w:rPr>
            </w:pPr>
            <w:r w:rsidRPr="0002481C">
              <w:rPr>
                <w:b/>
                <w:bCs/>
                <w:color w:val="000000" w:themeColor="text1"/>
              </w:rPr>
              <w:t>Q</w:t>
            </w:r>
            <w:r w:rsidRPr="0002481C">
              <w:rPr>
                <w:b/>
                <w:bCs/>
                <w:color w:val="000000" w:themeColor="text1"/>
                <w:vertAlign w:val="subscript"/>
              </w:rPr>
              <w:t>max​</w:t>
            </w:r>
            <w:r w:rsidRPr="002D7168">
              <w:rPr>
                <w:b/>
                <w:bCs/>
                <w:color w:val="000000" w:themeColor="text1"/>
              </w:rPr>
              <w:t xml:space="preserve"> (mg/g)</w:t>
            </w:r>
          </w:p>
        </w:tc>
        <w:tc>
          <w:tcPr>
            <w:tcW w:w="1701" w:type="dxa"/>
            <w:noWrap/>
            <w:hideMark/>
          </w:tcPr>
          <w:p w14:paraId="44838836" w14:textId="77777777" w:rsidR="002D7168" w:rsidRPr="002D7168" w:rsidRDefault="002D7168" w:rsidP="00772159">
            <w:pPr>
              <w:ind w:firstLine="0"/>
              <w:jc w:val="center"/>
              <w:rPr>
                <w:b/>
                <w:bCs/>
                <w:color w:val="000000" w:themeColor="text1"/>
              </w:rPr>
            </w:pPr>
            <w:r w:rsidRPr="002D7168">
              <w:rPr>
                <w:b/>
                <w:bCs/>
                <w:color w:val="000000" w:themeColor="text1"/>
              </w:rPr>
              <w:t>Tài liệu tham khảo</w:t>
            </w:r>
          </w:p>
        </w:tc>
      </w:tr>
      <w:tr w:rsidR="00772159" w:rsidRPr="002D7168" w14:paraId="3C8A3CF8" w14:textId="77777777" w:rsidTr="00FD473B">
        <w:trPr>
          <w:trHeight w:val="540"/>
        </w:trPr>
        <w:tc>
          <w:tcPr>
            <w:tcW w:w="2127" w:type="dxa"/>
            <w:hideMark/>
          </w:tcPr>
          <w:p w14:paraId="6DEE1B00" w14:textId="273BD96F" w:rsidR="002D7168" w:rsidRPr="002D7168" w:rsidRDefault="00FE4E8A" w:rsidP="002D7168">
            <w:pPr>
              <w:ind w:firstLine="0"/>
              <w:jc w:val="center"/>
              <w:rPr>
                <w:color w:val="000000" w:themeColor="text1"/>
              </w:rPr>
            </w:pPr>
            <w:r w:rsidRPr="008676C8">
              <w:t>M</w:t>
            </w:r>
            <w:r>
              <w:t>G</w:t>
            </w:r>
            <w:r w:rsidRPr="008676C8">
              <w:t>C/Fe</w:t>
            </w:r>
            <w:r w:rsidRPr="008676C8">
              <w:rPr>
                <w:vertAlign w:val="subscript"/>
              </w:rPr>
              <w:t>3</w:t>
            </w:r>
            <w:r w:rsidRPr="008676C8">
              <w:t>O</w:t>
            </w:r>
            <w:r w:rsidRPr="008676C8">
              <w:rPr>
                <w:vertAlign w:val="subscript"/>
              </w:rPr>
              <w:t>4</w:t>
            </w:r>
          </w:p>
        </w:tc>
        <w:tc>
          <w:tcPr>
            <w:tcW w:w="1701" w:type="dxa"/>
            <w:hideMark/>
          </w:tcPr>
          <w:p w14:paraId="628EB1AE" w14:textId="040A1FC4" w:rsidR="002D7168" w:rsidRPr="002D7168" w:rsidRDefault="002D7168" w:rsidP="002D7168">
            <w:pPr>
              <w:ind w:firstLine="0"/>
              <w:jc w:val="center"/>
              <w:rPr>
                <w:color w:val="000000" w:themeColor="text1"/>
              </w:rPr>
            </w:pPr>
            <w:r w:rsidRPr="002D7168">
              <w:rPr>
                <w:color w:val="000000" w:themeColor="text1"/>
              </w:rPr>
              <w:t xml:space="preserve">Vỏ </w:t>
            </w:r>
            <w:r w:rsidR="00772159">
              <w:rPr>
                <w:color w:val="000000" w:themeColor="text1"/>
              </w:rPr>
              <w:t>m</w:t>
            </w:r>
            <w:r w:rsidRPr="002D7168">
              <w:rPr>
                <w:color w:val="000000" w:themeColor="text1"/>
              </w:rPr>
              <w:t>ắc</w:t>
            </w:r>
            <w:r w:rsidR="00772159">
              <w:rPr>
                <w:color w:val="000000" w:themeColor="text1"/>
              </w:rPr>
              <w:t xml:space="preserve"> </w:t>
            </w:r>
            <w:r w:rsidRPr="002D7168">
              <w:rPr>
                <w:color w:val="000000" w:themeColor="text1"/>
              </w:rPr>
              <w:t>ca</w:t>
            </w:r>
          </w:p>
        </w:tc>
        <w:tc>
          <w:tcPr>
            <w:tcW w:w="2551" w:type="dxa"/>
            <w:hideMark/>
          </w:tcPr>
          <w:p w14:paraId="17434298" w14:textId="3090352A" w:rsidR="002D7168" w:rsidRPr="002D7168" w:rsidRDefault="002D7168" w:rsidP="0098044D">
            <w:pPr>
              <w:ind w:firstLine="0"/>
              <w:jc w:val="both"/>
              <w:rPr>
                <w:color w:val="000000" w:themeColor="text1"/>
              </w:rPr>
            </w:pPr>
            <w:r w:rsidRPr="002D7168">
              <w:rPr>
                <w:color w:val="000000" w:themeColor="text1"/>
              </w:rPr>
              <w:t>Khí hó</w:t>
            </w:r>
            <w:r w:rsidR="00247FC3">
              <w:rPr>
                <w:color w:val="000000" w:themeColor="text1"/>
              </w:rPr>
              <w:t>a + đồng kết tủa</w:t>
            </w:r>
          </w:p>
        </w:tc>
        <w:tc>
          <w:tcPr>
            <w:tcW w:w="1134" w:type="dxa"/>
            <w:hideMark/>
          </w:tcPr>
          <w:p w14:paraId="0A5E87A8" w14:textId="1B87A43B" w:rsidR="002D7168" w:rsidRPr="002D7168" w:rsidRDefault="00CF487F" w:rsidP="0098044D">
            <w:pPr>
              <w:ind w:firstLine="7"/>
              <w:jc w:val="center"/>
              <w:rPr>
                <w:color w:val="000000" w:themeColor="text1"/>
              </w:rPr>
            </w:pPr>
            <w:r>
              <w:rPr>
                <w:color w:val="000000" w:themeColor="text1"/>
              </w:rPr>
              <w:t>31,16</w:t>
            </w:r>
          </w:p>
        </w:tc>
        <w:tc>
          <w:tcPr>
            <w:tcW w:w="1701" w:type="dxa"/>
            <w:hideMark/>
          </w:tcPr>
          <w:p w14:paraId="6786E19D" w14:textId="3F1345BE" w:rsidR="002D7168" w:rsidRPr="002D7168" w:rsidRDefault="0002481C" w:rsidP="002D7168">
            <w:pPr>
              <w:ind w:firstLine="0"/>
              <w:jc w:val="both"/>
              <w:rPr>
                <w:color w:val="000000" w:themeColor="text1"/>
              </w:rPr>
            </w:pPr>
            <w:r>
              <w:rPr>
                <w:color w:val="000000" w:themeColor="text1"/>
              </w:rPr>
              <w:t>Trong n</w:t>
            </w:r>
            <w:r w:rsidR="002D7168" w:rsidRPr="002D7168">
              <w:rPr>
                <w:color w:val="000000" w:themeColor="text1"/>
              </w:rPr>
              <w:t xml:space="preserve">ghiên cứu </w:t>
            </w:r>
            <w:r w:rsidR="00863A18">
              <w:rPr>
                <w:color w:val="000000" w:themeColor="text1"/>
              </w:rPr>
              <w:t xml:space="preserve">đồ án </w:t>
            </w:r>
            <w:r w:rsidR="002D7168" w:rsidRPr="002D7168">
              <w:rPr>
                <w:color w:val="000000" w:themeColor="text1"/>
              </w:rPr>
              <w:t>này</w:t>
            </w:r>
          </w:p>
        </w:tc>
      </w:tr>
      <w:tr w:rsidR="0098044D" w:rsidRPr="002D7168" w14:paraId="59997338" w14:textId="77777777" w:rsidTr="00FD473B">
        <w:trPr>
          <w:trHeight w:val="411"/>
        </w:trPr>
        <w:tc>
          <w:tcPr>
            <w:tcW w:w="2127" w:type="dxa"/>
            <w:hideMark/>
          </w:tcPr>
          <w:p w14:paraId="1E51D661" w14:textId="6C66CF87" w:rsidR="002D7168" w:rsidRPr="002D7168" w:rsidRDefault="002D7168" w:rsidP="002D7168">
            <w:pPr>
              <w:ind w:firstLine="0"/>
              <w:jc w:val="center"/>
              <w:rPr>
                <w:color w:val="000000" w:themeColor="text1"/>
              </w:rPr>
            </w:pPr>
            <w:r w:rsidRPr="002D7168">
              <w:rPr>
                <w:color w:val="000000" w:themeColor="text1"/>
              </w:rPr>
              <w:lastRenderedPageBreak/>
              <w:t xml:space="preserve">Than sinh học </w:t>
            </w:r>
            <w:r w:rsidR="00FE4E8A">
              <w:rPr>
                <w:color w:val="000000" w:themeColor="text1"/>
              </w:rPr>
              <w:t>(R600)</w:t>
            </w:r>
          </w:p>
        </w:tc>
        <w:tc>
          <w:tcPr>
            <w:tcW w:w="1701" w:type="dxa"/>
            <w:hideMark/>
          </w:tcPr>
          <w:p w14:paraId="449A0A60" w14:textId="77777777" w:rsidR="002D7168" w:rsidRPr="002D7168" w:rsidRDefault="002D7168" w:rsidP="002D7168">
            <w:pPr>
              <w:ind w:firstLine="0"/>
              <w:jc w:val="center"/>
              <w:rPr>
                <w:color w:val="000000" w:themeColor="text1"/>
              </w:rPr>
            </w:pPr>
            <w:r w:rsidRPr="002D7168">
              <w:rPr>
                <w:color w:val="000000" w:themeColor="text1"/>
              </w:rPr>
              <w:t>Rơm rạ</w:t>
            </w:r>
          </w:p>
        </w:tc>
        <w:tc>
          <w:tcPr>
            <w:tcW w:w="2551" w:type="dxa"/>
            <w:hideMark/>
          </w:tcPr>
          <w:p w14:paraId="648CD51F" w14:textId="6EA2FB04" w:rsidR="002D7168" w:rsidRPr="00AD5AB7" w:rsidRDefault="002D7168" w:rsidP="0098044D">
            <w:pPr>
              <w:ind w:firstLine="0"/>
              <w:jc w:val="both"/>
              <w:rPr>
                <w:color w:val="000000" w:themeColor="text1"/>
              </w:rPr>
            </w:pPr>
            <w:r w:rsidRPr="002D7168">
              <w:rPr>
                <w:color w:val="000000" w:themeColor="text1"/>
              </w:rPr>
              <w:t xml:space="preserve">Nhiệt phân </w:t>
            </w:r>
            <w:r w:rsidR="00AD5AB7">
              <w:rPr>
                <w:color w:val="000000" w:themeColor="text1"/>
              </w:rPr>
              <w:t>(</w:t>
            </w:r>
            <w:r w:rsidR="004A1CB7">
              <w:rPr>
                <w:color w:val="000000" w:themeColor="text1"/>
              </w:rPr>
              <w:t xml:space="preserve">600 </w:t>
            </w:r>
            <w:r w:rsidR="000F0969" w:rsidRPr="000F0969">
              <w:rPr>
                <w:color w:val="000000" w:themeColor="text1"/>
              </w:rPr>
              <w:t>℃</w:t>
            </w:r>
            <w:r w:rsidR="00AD5AB7">
              <w:rPr>
                <w:rFonts w:cs="Times New Roman"/>
                <w:szCs w:val="26"/>
              </w:rPr>
              <w:t>)</w:t>
            </w:r>
          </w:p>
        </w:tc>
        <w:tc>
          <w:tcPr>
            <w:tcW w:w="1134" w:type="dxa"/>
            <w:hideMark/>
          </w:tcPr>
          <w:p w14:paraId="09D8F4B6" w14:textId="77777777" w:rsidR="002D7168" w:rsidRPr="002D7168" w:rsidRDefault="002D7168" w:rsidP="0098044D">
            <w:pPr>
              <w:ind w:firstLine="7"/>
              <w:jc w:val="center"/>
              <w:rPr>
                <w:color w:val="000000" w:themeColor="text1"/>
              </w:rPr>
            </w:pPr>
            <w:r w:rsidRPr="002D7168">
              <w:rPr>
                <w:color w:val="000000" w:themeColor="text1"/>
              </w:rPr>
              <w:t>14,19</w:t>
            </w:r>
          </w:p>
        </w:tc>
        <w:tc>
          <w:tcPr>
            <w:tcW w:w="1701" w:type="dxa"/>
            <w:noWrap/>
            <w:hideMark/>
          </w:tcPr>
          <w:p w14:paraId="6330938D" w14:textId="57E7EAFA" w:rsidR="002D7168" w:rsidRPr="002D7168" w:rsidRDefault="008906EB" w:rsidP="008906EB">
            <w:pPr>
              <w:ind w:firstLine="0"/>
              <w:jc w:val="center"/>
              <w:rPr>
                <w:color w:val="000000" w:themeColor="text1"/>
              </w:rPr>
            </w:pPr>
            <w:r>
              <w:rPr>
                <w:color w:val="000000" w:themeColor="text1"/>
              </w:rPr>
              <w:fldChar w:fldCharType="begin"/>
            </w:r>
            <w:r>
              <w:rPr>
                <w:color w:val="000000" w:themeColor="text1"/>
              </w:rPr>
              <w:instrText xml:space="preserve"> ADDIN ZOTERO_ITEM CSL_CITATION {"citationID":"uhn1bGRp","properties":{"formattedCitation":"[63]","plainCitation":"[63]","noteIndex":0},"citationItems":[{"id":372,"uris":["http://zotero.org/users/12953706/items/7ZMXZ6BH"],"itemData":{"id":372,"type":"article-journal","abstract":"For the first time the present study investigated the production, characterization and application of engineered biochar derived from alfalfa hays for removal of tetracycline (TC) in water. The NaOH activation of alfalfa-derived raw biochar (BCR) made significant increase in surface area (796.50 m2/g) and pore volume (0.087 cm3/g). The NaOH-activated BC (BCA) showed much higher adsorption capacity for TC (Qm = 302.37 mg/g) than BCR, but comparable to the commercial activated carbon (Calgon F400). The detailed analyses of the kinetic and isotherm studies suggested the strong chemisorptive interactions between TC and BCA via multiple mechanisms. In addition, intraparticle diffusion was considered as the major limitation for the adsorption of TC onto BCA. Furthermore, the fixed bed experiments revealed that BCA could be a promising adsorbent for treating large volume of TC-contaminated water in columns.","container-title":"Bioresource Technology","DOI":"10.1016/j.biortech.2019.03.131","ISSN":"0960-8524","journalAbbreviation":"Bioresource Technology","page":"437-447","source":"ScienceDirect","title":"Engineered biochar from agricultural waste for removal of tetracycline in water","volume":"284","author":[{"family":"Jang","given":"Hyun Min"},{"family":"Kan","given":"Eunsung"}],"issued":{"date-parts":[["2019",7,1]]}}}],"schema":"https://github.com/citation-style-language/schema/raw/master/csl-citation.json"} </w:instrText>
            </w:r>
            <w:r>
              <w:rPr>
                <w:color w:val="000000" w:themeColor="text1"/>
              </w:rPr>
              <w:fldChar w:fldCharType="separate"/>
            </w:r>
            <w:r w:rsidRPr="008906EB">
              <w:rPr>
                <w:rFonts w:cs="Times New Roman"/>
              </w:rPr>
              <w:t>[63]</w:t>
            </w:r>
            <w:r>
              <w:rPr>
                <w:color w:val="000000" w:themeColor="text1"/>
              </w:rPr>
              <w:fldChar w:fldCharType="end"/>
            </w:r>
          </w:p>
        </w:tc>
      </w:tr>
      <w:tr w:rsidR="00772159" w:rsidRPr="002D7168" w14:paraId="5DF8DF53" w14:textId="77777777" w:rsidTr="00FD473B">
        <w:trPr>
          <w:trHeight w:val="319"/>
        </w:trPr>
        <w:tc>
          <w:tcPr>
            <w:tcW w:w="2127" w:type="dxa"/>
            <w:hideMark/>
          </w:tcPr>
          <w:p w14:paraId="6EE613DE" w14:textId="77777777" w:rsidR="002D7168" w:rsidRPr="002D7168" w:rsidRDefault="002D7168" w:rsidP="002D7168">
            <w:pPr>
              <w:ind w:firstLine="0"/>
              <w:jc w:val="center"/>
              <w:rPr>
                <w:color w:val="000000" w:themeColor="text1"/>
              </w:rPr>
            </w:pPr>
            <w:r w:rsidRPr="002D7168">
              <w:rPr>
                <w:color w:val="000000" w:themeColor="text1"/>
              </w:rPr>
              <w:t>Than biến tính Ca</w:t>
            </w:r>
          </w:p>
        </w:tc>
        <w:tc>
          <w:tcPr>
            <w:tcW w:w="1701" w:type="dxa"/>
            <w:hideMark/>
          </w:tcPr>
          <w:p w14:paraId="0B951467" w14:textId="77777777" w:rsidR="002D7168" w:rsidRPr="002D7168" w:rsidRDefault="002D7168" w:rsidP="002D7168">
            <w:pPr>
              <w:ind w:firstLine="0"/>
              <w:jc w:val="center"/>
              <w:rPr>
                <w:color w:val="000000" w:themeColor="text1"/>
              </w:rPr>
            </w:pPr>
            <w:r w:rsidRPr="002D7168">
              <w:rPr>
                <w:color w:val="000000" w:themeColor="text1"/>
              </w:rPr>
              <w:t>Gỗ thông</w:t>
            </w:r>
          </w:p>
        </w:tc>
        <w:tc>
          <w:tcPr>
            <w:tcW w:w="2551" w:type="dxa"/>
            <w:hideMark/>
          </w:tcPr>
          <w:p w14:paraId="713C647E" w14:textId="77777777" w:rsidR="002D7168" w:rsidRPr="002D7168" w:rsidRDefault="002D7168" w:rsidP="0098044D">
            <w:pPr>
              <w:ind w:firstLine="0"/>
              <w:jc w:val="both"/>
              <w:rPr>
                <w:color w:val="000000" w:themeColor="text1"/>
              </w:rPr>
            </w:pPr>
            <w:r w:rsidRPr="002D7168">
              <w:rPr>
                <w:color w:val="000000" w:themeColor="text1"/>
              </w:rPr>
              <w:t>Biến tính Ca(OH)</w:t>
            </w:r>
            <w:r w:rsidRPr="007C5A33">
              <w:rPr>
                <w:color w:val="000000" w:themeColor="text1"/>
                <w:vertAlign w:val="subscript"/>
              </w:rPr>
              <w:t>2</w:t>
            </w:r>
            <w:r w:rsidRPr="002D7168">
              <w:rPr>
                <w:color w:val="000000" w:themeColor="text1"/>
              </w:rPr>
              <w:t>​</w:t>
            </w:r>
          </w:p>
        </w:tc>
        <w:tc>
          <w:tcPr>
            <w:tcW w:w="1134" w:type="dxa"/>
            <w:hideMark/>
          </w:tcPr>
          <w:p w14:paraId="34E83501" w14:textId="77777777" w:rsidR="002D7168" w:rsidRPr="002D7168" w:rsidRDefault="002D7168" w:rsidP="0098044D">
            <w:pPr>
              <w:ind w:firstLine="7"/>
              <w:jc w:val="center"/>
              <w:rPr>
                <w:color w:val="000000" w:themeColor="text1"/>
              </w:rPr>
            </w:pPr>
            <w:r w:rsidRPr="002D7168">
              <w:rPr>
                <w:color w:val="000000" w:themeColor="text1"/>
              </w:rPr>
              <w:t>20,86</w:t>
            </w:r>
          </w:p>
        </w:tc>
        <w:tc>
          <w:tcPr>
            <w:tcW w:w="1701" w:type="dxa"/>
            <w:noWrap/>
            <w:hideMark/>
          </w:tcPr>
          <w:p w14:paraId="4B462B53" w14:textId="0822A04A" w:rsidR="002D7168" w:rsidRPr="002D7168" w:rsidRDefault="008906EB" w:rsidP="008906EB">
            <w:pPr>
              <w:ind w:firstLine="0"/>
              <w:jc w:val="center"/>
              <w:rPr>
                <w:color w:val="000000" w:themeColor="text1"/>
              </w:rPr>
            </w:pPr>
            <w:r>
              <w:rPr>
                <w:color w:val="000000" w:themeColor="text1"/>
              </w:rPr>
              <w:fldChar w:fldCharType="begin"/>
            </w:r>
            <w:r>
              <w:rPr>
                <w:color w:val="000000" w:themeColor="text1"/>
              </w:rPr>
              <w:instrText xml:space="preserve"> ADDIN ZOTERO_ITEM CSL_CITATION {"citationID":"FlHQoyKp","properties":{"formattedCitation":"[98]","plainCitation":"[98]","noteIndex":0},"citationItems":[{"id":461,"uris":["http://zotero.org/users/12953706/items/X7MRFMCJ"],"itemData":{"id":461,"type":"article-journal","abstract":"To prevent possible secondary pollution from phosphorus-loaded biochar (BC) in agricultural systems, this study investigated the sustainable use of Ca(OH)2 modified wood biochars (Ca-BCs) for P recovery while significantly lowering the tetracycline (TC) adsorption onto Ca-BCs. Ca-BCs were prepared via calcination of mixtures of Ca(OH)2 and wood BC under 100–500 °C for removing P and TC from water. Compared to the pristine BC (without Ca(OH)2 modification), Ca-BC100 (Ca-BC prepared at 100 °C) showed a significant increase of P adsorption capacity from 4.00 to 138.70 mg/g due to reactive interaction between P and Ca(OH)2 on Ca-BC while decrease of TC adsorption capacity from 62.17 to 20.86 mg/g owing to decrease of surface area from 260.50 to 120.26 m2/g. Batch adsorption tests implied that the P adsorption on Ca-BC100 would occur mainly via electrostatic attraction (pH &gt; 2.1) and formation of hydroxylapatite (Ca5(PO4)3(OH)) between phosphate and Ca(OH)2. In addition, Ca-BC100 reacted with TC via electrostatic attraction (pH &gt; 7.6), complexation, hydrogen bond, and π-π interactions. P and TC adsorption onto Ca-BC100 was a chemical, endothermic, and spontaneous process. The dynamic adsorption experiments using a fixed bed column filled with Ca-BC100 indicated that Ca-BC100 could continuously and effectively remove P and TC from water. Ca-BC100 also effectively lowered P and COD in the dairy wastewater. Under the environmentally relevant conditions, continuous treatment of water containing P and TC using the pristine BC followed by Ca-BC100 showed the pristine BC removed 96% of TC and only 6% of P from water while Ca-BC100 made high recovery of P (94% of P) with negligible TC. Therefore, Ca-BC100 could be used for effective recovery of P with negligible TC from wastewater, and then applied to agricultural systems as a sustainable and safe P-rich biofertilizer.","container-title":"Science of The Total Environment","DOI":"10.1016/j.scitotenv.2022.156159","ISSN":"0048-9697","journalAbbreviation":"Science of The Total Environment","page":"156159","source":"ScienceDirect","title":"Sustainable use of Ca(OH)2 modified biochar for phosphorus recovery and tetracycline removal from water","volume":"839","author":[{"family":"Zeng","given":"Shengquan"},{"family":"Kan","given":"Eunsung"}],"issued":{"date-parts":[["2022",9,15]]}}}],"schema":"https://github.com/citation-style-language/schema/raw/master/csl-citation.json"} </w:instrText>
            </w:r>
            <w:r>
              <w:rPr>
                <w:color w:val="000000" w:themeColor="text1"/>
              </w:rPr>
              <w:fldChar w:fldCharType="separate"/>
            </w:r>
            <w:r w:rsidRPr="008906EB">
              <w:rPr>
                <w:rFonts w:cs="Times New Roman"/>
              </w:rPr>
              <w:t>[98]</w:t>
            </w:r>
            <w:r>
              <w:rPr>
                <w:color w:val="000000" w:themeColor="text1"/>
              </w:rPr>
              <w:fldChar w:fldCharType="end"/>
            </w:r>
          </w:p>
        </w:tc>
      </w:tr>
      <w:tr w:rsidR="0098044D" w:rsidRPr="002D7168" w14:paraId="04F15521" w14:textId="77777777" w:rsidTr="00FD473B">
        <w:trPr>
          <w:trHeight w:val="315"/>
        </w:trPr>
        <w:tc>
          <w:tcPr>
            <w:tcW w:w="2127" w:type="dxa"/>
            <w:hideMark/>
          </w:tcPr>
          <w:p w14:paraId="2F9C5AA1" w14:textId="5E10CE26" w:rsidR="002D7168" w:rsidRPr="002D7168" w:rsidRDefault="002D7168" w:rsidP="002D7168">
            <w:pPr>
              <w:ind w:firstLine="0"/>
              <w:jc w:val="center"/>
              <w:rPr>
                <w:color w:val="000000" w:themeColor="text1"/>
              </w:rPr>
            </w:pPr>
            <w:r w:rsidRPr="002D7168">
              <w:rPr>
                <w:color w:val="000000" w:themeColor="text1"/>
              </w:rPr>
              <w:t>Than sinh học</w:t>
            </w:r>
            <w:r w:rsidR="00FE4E8A">
              <w:rPr>
                <w:color w:val="000000" w:themeColor="text1"/>
              </w:rPr>
              <w:t xml:space="preserve"> (W-BC)</w:t>
            </w:r>
          </w:p>
        </w:tc>
        <w:tc>
          <w:tcPr>
            <w:tcW w:w="1701" w:type="dxa"/>
            <w:hideMark/>
          </w:tcPr>
          <w:p w14:paraId="1C4DA669" w14:textId="77777777" w:rsidR="002D7168" w:rsidRPr="002D7168" w:rsidRDefault="002D7168" w:rsidP="002D7168">
            <w:pPr>
              <w:ind w:firstLine="0"/>
              <w:jc w:val="center"/>
              <w:rPr>
                <w:color w:val="000000" w:themeColor="text1"/>
              </w:rPr>
            </w:pPr>
            <w:r w:rsidRPr="002D7168">
              <w:rPr>
                <w:color w:val="000000" w:themeColor="text1"/>
              </w:rPr>
              <w:t>Rơm lúa mì</w:t>
            </w:r>
          </w:p>
        </w:tc>
        <w:tc>
          <w:tcPr>
            <w:tcW w:w="2551" w:type="dxa"/>
            <w:hideMark/>
          </w:tcPr>
          <w:p w14:paraId="69F5CE67" w14:textId="45063BBE" w:rsidR="002D7168" w:rsidRPr="00AD5AB7" w:rsidRDefault="002D7168" w:rsidP="0098044D">
            <w:pPr>
              <w:ind w:firstLine="0"/>
              <w:jc w:val="both"/>
              <w:rPr>
                <w:color w:val="000000" w:themeColor="text1"/>
              </w:rPr>
            </w:pPr>
            <w:r w:rsidRPr="002D7168">
              <w:rPr>
                <w:color w:val="000000" w:themeColor="text1"/>
              </w:rPr>
              <w:t>Nhiệt</w:t>
            </w:r>
            <w:r w:rsidR="000228C0">
              <w:rPr>
                <w:color w:val="000000" w:themeColor="text1"/>
              </w:rPr>
              <w:t xml:space="preserve"> </w:t>
            </w:r>
            <w:r w:rsidRPr="002D7168">
              <w:rPr>
                <w:color w:val="000000" w:themeColor="text1"/>
              </w:rPr>
              <w:t>phân</w:t>
            </w:r>
            <w:r w:rsidR="00AD5AB7">
              <w:rPr>
                <w:color w:val="000000" w:themeColor="text1"/>
              </w:rPr>
              <w:t xml:space="preserve"> (</w:t>
            </w:r>
            <w:r w:rsidR="004A1CB7">
              <w:rPr>
                <w:color w:val="000000" w:themeColor="text1"/>
              </w:rPr>
              <w:t xml:space="preserve">700 </w:t>
            </w:r>
            <w:r w:rsidR="000F0969" w:rsidRPr="000F0969">
              <w:rPr>
                <w:color w:val="000000" w:themeColor="text1"/>
              </w:rPr>
              <w:t>℃</w:t>
            </w:r>
            <w:r w:rsidR="00AD5AB7">
              <w:rPr>
                <w:rFonts w:cs="Times New Roman"/>
                <w:szCs w:val="26"/>
              </w:rPr>
              <w:t>)</w:t>
            </w:r>
          </w:p>
        </w:tc>
        <w:tc>
          <w:tcPr>
            <w:tcW w:w="1134" w:type="dxa"/>
            <w:hideMark/>
          </w:tcPr>
          <w:p w14:paraId="15FC3178" w14:textId="77777777" w:rsidR="002D7168" w:rsidRPr="002D7168" w:rsidRDefault="002D7168" w:rsidP="0098044D">
            <w:pPr>
              <w:ind w:firstLine="7"/>
              <w:jc w:val="center"/>
              <w:rPr>
                <w:color w:val="000000" w:themeColor="text1"/>
              </w:rPr>
            </w:pPr>
            <w:r w:rsidRPr="002D7168">
              <w:rPr>
                <w:color w:val="000000" w:themeColor="text1"/>
              </w:rPr>
              <w:t>42,12</w:t>
            </w:r>
          </w:p>
        </w:tc>
        <w:tc>
          <w:tcPr>
            <w:tcW w:w="1701" w:type="dxa"/>
            <w:noWrap/>
            <w:hideMark/>
          </w:tcPr>
          <w:p w14:paraId="0702793A" w14:textId="201BB49A" w:rsidR="002D7168" w:rsidRPr="002D7168" w:rsidRDefault="00E61E76" w:rsidP="004D736F">
            <w:pPr>
              <w:ind w:firstLine="0"/>
              <w:jc w:val="center"/>
              <w:rPr>
                <w:color w:val="000000" w:themeColor="text1"/>
              </w:rPr>
            </w:pPr>
            <w:r>
              <w:rPr>
                <w:color w:val="000000" w:themeColor="text1"/>
              </w:rPr>
              <w:fldChar w:fldCharType="begin"/>
            </w:r>
            <w:r>
              <w:rPr>
                <w:color w:val="000000" w:themeColor="text1"/>
              </w:rPr>
              <w:instrText xml:space="preserve"> ADDIN ZOTERO_ITEM CSL_CITATION {"citationID":"z5YpA9jc","properties":{"formattedCitation":"[99]","plainCitation":"[99]","noteIndex":0},"citationItems":[{"id":470,"uris":["http://zotero.org/users/12953706/items/4BD37Y2W"],"itemData":{"id":470,"type":"article-journal","abstract":"The use of biochar prepared from waste crop straw for the removal of tetracycline (TC) in water has a profound influence on the protection of agricultural water environment. In this study, biochar (BC) was prepared from waste corn straw and wheat straw. The adsorption experiments were carried out on few factors: adsorption time, BC dosages, pH and ionic strength. The results showed that the adsorption of TC by BC derived from corn (C-BC) and BC derived from wheat (W-BC) fitted to the Langmuir model. The equilibrium time for adsorption of C-BC and W-BC was 60 min, the optimal amount of BCs dose was 10 g·L–1. The maximum saturated adsorption of TC by C-BC and W-BC were 49.56 and 42.12 mg·g–1, respectively. The presence of Mg2+ hindered the adsorption of TC by BCs. The adsorption mechanism was analyzed from the perspective of adsorption kinetics, and both BCs were chemical adsorption. Research showed that biochar in the northeast is cheap and easy to obtain, and the adsorption efficiency was high. Therefore, the use of BC which prepared from corn straw and wheat straw to removal TC has broad prospect.","container-title":"Desalination and Water Treatment","DOI":"10.5004/dwt.2019.23829","ISSN":"1944-3986","journalAbbreviation":"Desalination and Water Treatment","page":"384-391","source":"ScienceDirect","title":"Adsorption characteristics of tetracycline on biochar from agricultural wastes","volume":"151","author":[{"family":"Dai","given":"Yingjie"},{"family":"Liu","given":"Mei"},{"family":"Sun","given":"Yue"},{"family":"Li","given":"Jingjing"},{"family":"Jiang","given":"Yue"},{"family":"Li","given":"Shanshan"},{"family":"Yue","given":"Wu"},{"family":"Liu","given":"Zhihua"}],"issued":{"date-parts":[["2019",5,1]]}}}],"schema":"https://github.com/citation-style-language/schema/raw/master/csl-citation.json"} </w:instrText>
            </w:r>
            <w:r>
              <w:rPr>
                <w:color w:val="000000" w:themeColor="text1"/>
              </w:rPr>
              <w:fldChar w:fldCharType="separate"/>
            </w:r>
            <w:r w:rsidRPr="00E61E76">
              <w:rPr>
                <w:rFonts w:cs="Times New Roman"/>
              </w:rPr>
              <w:t>[99]</w:t>
            </w:r>
            <w:r>
              <w:rPr>
                <w:color w:val="000000" w:themeColor="text1"/>
              </w:rPr>
              <w:fldChar w:fldCharType="end"/>
            </w:r>
          </w:p>
        </w:tc>
      </w:tr>
      <w:tr w:rsidR="00772159" w:rsidRPr="002D7168" w14:paraId="781A3DCD" w14:textId="77777777" w:rsidTr="00FD473B">
        <w:trPr>
          <w:trHeight w:val="300"/>
        </w:trPr>
        <w:tc>
          <w:tcPr>
            <w:tcW w:w="2127" w:type="dxa"/>
            <w:hideMark/>
          </w:tcPr>
          <w:p w14:paraId="395B892A" w14:textId="3687293E" w:rsidR="002D7168" w:rsidRPr="002D7168" w:rsidRDefault="002D7168" w:rsidP="002D7168">
            <w:pPr>
              <w:ind w:firstLine="0"/>
              <w:jc w:val="center"/>
              <w:rPr>
                <w:color w:val="000000" w:themeColor="text1"/>
              </w:rPr>
            </w:pPr>
            <w:r w:rsidRPr="002D7168">
              <w:rPr>
                <w:color w:val="000000" w:themeColor="text1"/>
              </w:rPr>
              <w:t>Than hoạt tính</w:t>
            </w:r>
          </w:p>
        </w:tc>
        <w:tc>
          <w:tcPr>
            <w:tcW w:w="1701" w:type="dxa"/>
            <w:hideMark/>
          </w:tcPr>
          <w:p w14:paraId="07A9D040" w14:textId="4D34FBC3" w:rsidR="002D7168" w:rsidRPr="002D7168" w:rsidRDefault="002D7168" w:rsidP="002D7168">
            <w:pPr>
              <w:ind w:firstLine="0"/>
              <w:jc w:val="center"/>
              <w:rPr>
                <w:color w:val="000000" w:themeColor="text1"/>
              </w:rPr>
            </w:pPr>
            <w:r w:rsidRPr="002D7168">
              <w:rPr>
                <w:color w:val="000000" w:themeColor="text1"/>
              </w:rPr>
              <w:t xml:space="preserve">Vỏ </w:t>
            </w:r>
            <w:r w:rsidR="00772159">
              <w:rPr>
                <w:color w:val="000000" w:themeColor="text1"/>
              </w:rPr>
              <w:t>m</w:t>
            </w:r>
            <w:r w:rsidRPr="002D7168">
              <w:rPr>
                <w:color w:val="000000" w:themeColor="text1"/>
              </w:rPr>
              <w:t>ắc</w:t>
            </w:r>
            <w:r w:rsidR="00772159">
              <w:rPr>
                <w:color w:val="000000" w:themeColor="text1"/>
              </w:rPr>
              <w:t xml:space="preserve"> </w:t>
            </w:r>
            <w:r w:rsidRPr="002D7168">
              <w:rPr>
                <w:color w:val="000000" w:themeColor="text1"/>
              </w:rPr>
              <w:t>ca</w:t>
            </w:r>
          </w:p>
        </w:tc>
        <w:tc>
          <w:tcPr>
            <w:tcW w:w="2551" w:type="dxa"/>
            <w:hideMark/>
          </w:tcPr>
          <w:p w14:paraId="18A6DF60" w14:textId="77777777" w:rsidR="002D7168" w:rsidRPr="002D7168" w:rsidRDefault="002D7168" w:rsidP="0098044D">
            <w:pPr>
              <w:ind w:firstLine="0"/>
              <w:jc w:val="both"/>
              <w:rPr>
                <w:color w:val="000000" w:themeColor="text1"/>
              </w:rPr>
            </w:pPr>
            <w:r w:rsidRPr="002D7168">
              <w:rPr>
                <w:color w:val="000000" w:themeColor="text1"/>
              </w:rPr>
              <w:t>Hoạt hóa NaOH</w:t>
            </w:r>
          </w:p>
        </w:tc>
        <w:tc>
          <w:tcPr>
            <w:tcW w:w="1134" w:type="dxa"/>
            <w:hideMark/>
          </w:tcPr>
          <w:p w14:paraId="54D41B39" w14:textId="77777777" w:rsidR="002D7168" w:rsidRPr="002D7168" w:rsidRDefault="002D7168" w:rsidP="0098044D">
            <w:pPr>
              <w:ind w:firstLine="7"/>
              <w:jc w:val="center"/>
              <w:rPr>
                <w:color w:val="000000" w:themeColor="text1"/>
              </w:rPr>
            </w:pPr>
            <w:r w:rsidRPr="002D7168">
              <w:rPr>
                <w:color w:val="000000" w:themeColor="text1"/>
              </w:rPr>
              <w:t>455,8</w:t>
            </w:r>
          </w:p>
        </w:tc>
        <w:tc>
          <w:tcPr>
            <w:tcW w:w="1701" w:type="dxa"/>
            <w:noWrap/>
            <w:hideMark/>
          </w:tcPr>
          <w:p w14:paraId="68254022" w14:textId="07D37AAD" w:rsidR="002D7168" w:rsidRPr="002D7168" w:rsidRDefault="004D736F" w:rsidP="004D736F">
            <w:pPr>
              <w:ind w:firstLine="0"/>
              <w:jc w:val="center"/>
              <w:rPr>
                <w:color w:val="000000" w:themeColor="text1"/>
              </w:rPr>
            </w:pPr>
            <w:r>
              <w:rPr>
                <w:color w:val="000000" w:themeColor="text1"/>
              </w:rPr>
              <w:fldChar w:fldCharType="begin"/>
            </w:r>
            <w:r w:rsidR="00E61E76">
              <w:rPr>
                <w:color w:val="000000" w:themeColor="text1"/>
              </w:rPr>
              <w:instrText xml:space="preserve"> ADDIN ZOTERO_ITEM CSL_CITATION {"citationID":"aDemV2UJ","properties":{"formattedCitation":"[100]","plainCitation":"[100]","noteIndex":0},"citationItems":[{"id":459,"uris":["http://zotero.org/users/12953706/items/WSV3APEL"],"itemData":{"id":459,"type":"article-journal","abstract":"A NaOH-activated carbon was prepared from macadamia nut shell using the impregnation ratio of 3:1 (NaOH:char) (wt:wt). The obtained material (ACM) was characterized by several techniques and methodologies such as, N2 adsorption–desorption isotherms, SEM, FT-IR, Boehm titration, and pHpzc. The results demonstrated that the ACM is composed mainly of micropores (78.2%), presenting BET surface area of 1524m2g−1. Through the SEM and FT-IR analysis it could be observed that significant changes occurred on the material surface after the activation procedure. According to Boehm titration, the ACM has on its surface a majority of basic groups which is in agreement with the obtained pHpzc value of 8.74. The ACM was applied for tetracycline (TC) removal in order to assess its potential as an adsorbent. Thus, adsorption studies were carried out and several kinetic and isotherm models were employed. The isotherm model which best fitted to experimental data was Temkin, while the best fitted kinetic model was Elovich. ACM showed maximum monolayer adsorption capacity (Qm) of 455.33mgg−1. The intraparticle diffusion and film diffusion mechanisms were studied by the equations of Weber &amp; Morris and Boyd, respectively. According to the results, the limiting step of the adsorption of TC onto ACM is influenced by intraparticle diffusion and by film diffusion.","container-title":"Chemical Engineering Journal","DOI":"10.1016/j.cej.2014.09.017","ISSN":"1385-8947","journalAbbreviation":"Chemical Engineering Journal","page":"291-299","source":"ScienceDirect","title":"Removal of tetracycline by NaOH-activated carbon produced from macadamia nut shells: Kinetic and equilibrium studies","title-short":"Removal of tetracycline by NaOH-activated carbon produced from macadamia nut shells","volume":"260","author":[{"family":"Martins","given":"Alessandro C."},{"family":"Pezoti","given":"Osvaldo"},{"family":"Cazetta","given":"André L."},{"family":"Bedin","given":"Karen C."},{"family":"Yamazaki","given":"Diego A. S."},{"family":"Bandoch","given":"Gisele F. G."},{"family":"Asefa","given":"Tewodros"},{"family":"Visentainer","given":"Jesuí V."},{"family":"Almeida","given":"Vitor C."}],"issued":{"date-parts":[["2015",1,15]]}}}],"schema":"https://github.com/citation-style-language/schema/raw/master/csl-citation.json"} </w:instrText>
            </w:r>
            <w:r>
              <w:rPr>
                <w:color w:val="000000" w:themeColor="text1"/>
              </w:rPr>
              <w:fldChar w:fldCharType="separate"/>
            </w:r>
            <w:r w:rsidR="00E61E76" w:rsidRPr="00E61E76">
              <w:rPr>
                <w:rFonts w:cs="Times New Roman"/>
              </w:rPr>
              <w:t>[100]</w:t>
            </w:r>
            <w:r>
              <w:rPr>
                <w:color w:val="000000" w:themeColor="text1"/>
              </w:rPr>
              <w:fldChar w:fldCharType="end"/>
            </w:r>
          </w:p>
        </w:tc>
      </w:tr>
      <w:tr w:rsidR="0002481C" w:rsidRPr="002D7168" w14:paraId="60291818" w14:textId="77777777" w:rsidTr="00FD473B">
        <w:trPr>
          <w:trHeight w:val="300"/>
        </w:trPr>
        <w:tc>
          <w:tcPr>
            <w:tcW w:w="2127" w:type="dxa"/>
          </w:tcPr>
          <w:p w14:paraId="4C4B97F8" w14:textId="526332DA" w:rsidR="0002481C" w:rsidRPr="002D7168" w:rsidRDefault="00B045B1" w:rsidP="002D7168">
            <w:pPr>
              <w:ind w:firstLine="0"/>
              <w:jc w:val="center"/>
              <w:rPr>
                <w:color w:val="000000" w:themeColor="text1"/>
              </w:rPr>
            </w:pPr>
            <w:r>
              <w:rPr>
                <w:color w:val="000000" w:themeColor="text1"/>
              </w:rPr>
              <w:t>Than từ tính</w:t>
            </w:r>
            <w:r w:rsidR="0066270F">
              <w:rPr>
                <w:color w:val="000000" w:themeColor="text1"/>
              </w:rPr>
              <w:t xml:space="preserve"> (MBC)</w:t>
            </w:r>
          </w:p>
        </w:tc>
        <w:tc>
          <w:tcPr>
            <w:tcW w:w="1701" w:type="dxa"/>
          </w:tcPr>
          <w:p w14:paraId="0B11EE39" w14:textId="32C75C25" w:rsidR="0002481C" w:rsidRPr="002D7168" w:rsidRDefault="00247FC3" w:rsidP="002D7168">
            <w:pPr>
              <w:ind w:firstLine="0"/>
              <w:jc w:val="center"/>
              <w:rPr>
                <w:color w:val="000000" w:themeColor="text1"/>
              </w:rPr>
            </w:pPr>
            <w:r>
              <w:rPr>
                <w:color w:val="000000" w:themeColor="text1"/>
              </w:rPr>
              <w:t>Bã nấm</w:t>
            </w:r>
          </w:p>
        </w:tc>
        <w:tc>
          <w:tcPr>
            <w:tcW w:w="2551" w:type="dxa"/>
          </w:tcPr>
          <w:p w14:paraId="49ECAE1D" w14:textId="79C85182" w:rsidR="0002481C" w:rsidRPr="002D7168" w:rsidRDefault="00452D8C" w:rsidP="0098044D">
            <w:pPr>
              <w:ind w:firstLine="0"/>
              <w:jc w:val="both"/>
              <w:rPr>
                <w:color w:val="000000" w:themeColor="text1"/>
              </w:rPr>
            </w:pPr>
            <w:r>
              <w:rPr>
                <w:color w:val="000000" w:themeColor="text1"/>
              </w:rPr>
              <w:t>Nhiệt phân</w:t>
            </w:r>
            <w:r w:rsidR="00E522CF">
              <w:rPr>
                <w:color w:val="000000" w:themeColor="text1"/>
              </w:rPr>
              <w:t xml:space="preserve"> (600 </w:t>
            </w:r>
            <w:r w:rsidR="000F0969" w:rsidRPr="000F0969">
              <w:rPr>
                <w:color w:val="000000" w:themeColor="text1"/>
              </w:rPr>
              <w:t>℃</w:t>
            </w:r>
            <w:r w:rsidR="00E522CF">
              <w:rPr>
                <w:rFonts w:cs="Times New Roman"/>
                <w:szCs w:val="26"/>
              </w:rPr>
              <w:t>)</w:t>
            </w:r>
            <w:r>
              <w:rPr>
                <w:color w:val="000000" w:themeColor="text1"/>
              </w:rPr>
              <w:t xml:space="preserve"> + </w:t>
            </w:r>
            <w:r w:rsidR="00E522CF">
              <w:rPr>
                <w:color w:val="000000" w:themeColor="text1"/>
              </w:rPr>
              <w:t>đ</w:t>
            </w:r>
            <w:r w:rsidR="00247FC3">
              <w:rPr>
                <w:color w:val="000000" w:themeColor="text1"/>
              </w:rPr>
              <w:t>ồng kết tủa</w:t>
            </w:r>
          </w:p>
        </w:tc>
        <w:tc>
          <w:tcPr>
            <w:tcW w:w="1134" w:type="dxa"/>
          </w:tcPr>
          <w:p w14:paraId="17E06B39" w14:textId="4D7216F8" w:rsidR="0002481C" w:rsidRPr="002D7168" w:rsidRDefault="00247FC3" w:rsidP="0098044D">
            <w:pPr>
              <w:ind w:firstLine="7"/>
              <w:jc w:val="center"/>
              <w:rPr>
                <w:color w:val="000000" w:themeColor="text1"/>
              </w:rPr>
            </w:pPr>
            <w:r>
              <w:rPr>
                <w:color w:val="000000" w:themeColor="text1"/>
              </w:rPr>
              <w:t>42,31</w:t>
            </w:r>
          </w:p>
        </w:tc>
        <w:tc>
          <w:tcPr>
            <w:tcW w:w="1701" w:type="dxa"/>
            <w:noWrap/>
          </w:tcPr>
          <w:p w14:paraId="177E37A3" w14:textId="08F252BE" w:rsidR="0002481C" w:rsidRDefault="00247FC3" w:rsidP="004D736F">
            <w:pPr>
              <w:ind w:firstLine="0"/>
              <w:jc w:val="center"/>
              <w:rPr>
                <w:color w:val="000000" w:themeColor="text1"/>
              </w:rPr>
            </w:pPr>
            <w:r>
              <w:rPr>
                <w:color w:val="000000" w:themeColor="text1"/>
              </w:rPr>
              <w:fldChar w:fldCharType="begin"/>
            </w:r>
            <w:r w:rsidR="001447A9">
              <w:rPr>
                <w:color w:val="000000" w:themeColor="text1"/>
              </w:rPr>
              <w:instrText xml:space="preserve"> ADDIN ZOTERO_ITEM CSL_CITATION {"citationID":"ySLszDNH","properties":{"formattedCitation":"[101]","plainCitation":"[101]","noteIndex":0},"citationItems":[{"id":473,"uris":["http://zotero.org/users/12953706/items/WBKIBHCP"],"itemData":{"id":473,"type":"article-journal","abstract":"This study aimed to compare the removal effect of tetracycline (TC) by magnetic biochar, (BC) prepared via two magnetization methods: coprecipitation (MBC-1) and pyrolysis impregnation (MBC-2) The TC removal effects of MBC-1 and MBC-2 were compared. The samples were characterized using scanning electron microscopy (SEM), Fourier transform infrared spectroscopy (FTIR), X-ray diffraction (XRD), X-ray photoelectron spectroscopy (XPS), Brunauer–Emmett–Teller analysis (BET), and Zeta potential. Effects of contact time, initial TC concentration, pH, adsorption kinetics, and isotherms were studied. The results showed that the adsorption processes of TC with MBC-1 and MBC-2 were fitted with a pseudo-second-order kinetics model and that the Langmuir isotherm model was most suitable for the adsorption data of MBC-1 and MBC-2. The maximum adsorption capacities of MBC-1 (42.31 mg/g) and MBC-2 (24.31 mg/g) were greater than that of the primitive BC (PBC, 12.10 mg/g), indicating that magnetization effectively promotes the adsorption of TC. MBC-1 contains 2.3 times as much iron as MBC-2, and iron oxides provide –OH groups that act as donors and acceptors of hydrogen bonds, thus enhancing the hydrogen-bonding interactions between MBC-1 or MBC-2 and TC. Compared with MBC-2, MBC-1, could provide oxygen-containing functional groups as reactive sites. The prepared magnetic BCs using coprecipitation form an optimized method for removing TC from water to promote clean production. It also provides a new method of comprehensive utilization of waste mushroom matrix for the sustainable development of the edible mushroom industry.","container-title":"Environmental Technology &amp; Innovation","DOI":"10.1016/j.eti.2021.101916","ISSN":"2352-1864","journalAbbreviation":"Environmental Technology &amp; Innovation","page":"101916","source":"ScienceDirect","title":"Removal of tetracycline from wastewater using magnetic biochar: A comparative study of performance based on the preparation method","title-short":"Removal of tetracycline from wastewater using magnetic biochar","volume":"24","author":[{"family":"Gao","given":"Feng"},{"family":"Xu","given":"Zhenxuan"},{"family":"Dai","given":"Yingjie"}],"issued":{"date-parts":[["2021",11,1]]}}}],"schema":"https://github.com/citation-style-language/schema/raw/master/csl-citation.json"} </w:instrText>
            </w:r>
            <w:r>
              <w:rPr>
                <w:color w:val="000000" w:themeColor="text1"/>
              </w:rPr>
              <w:fldChar w:fldCharType="separate"/>
            </w:r>
            <w:r w:rsidR="001447A9" w:rsidRPr="001447A9">
              <w:rPr>
                <w:rFonts w:cs="Times New Roman"/>
              </w:rPr>
              <w:t>[101]</w:t>
            </w:r>
            <w:r>
              <w:rPr>
                <w:color w:val="000000" w:themeColor="text1"/>
              </w:rPr>
              <w:fldChar w:fldCharType="end"/>
            </w:r>
          </w:p>
        </w:tc>
      </w:tr>
    </w:tbl>
    <w:p w14:paraId="270AF280" w14:textId="58E55A7B" w:rsidR="0085093F" w:rsidRDefault="00175256" w:rsidP="004D4C22">
      <w:pPr>
        <w:spacing w:before="240"/>
        <w:ind w:firstLine="454"/>
        <w:jc w:val="both"/>
        <w:rPr>
          <w:color w:val="000000" w:themeColor="text1"/>
        </w:rPr>
      </w:pPr>
      <w:r>
        <w:t>So sánh với một số nghiên cứu hấp phụ</w:t>
      </w:r>
      <w:r w:rsidR="00EF25A6">
        <w:t xml:space="preserve"> kháng sinh TC được tổng hợp trong Bảng 3.4</w:t>
      </w:r>
      <w:r w:rsidR="00076646" w:rsidRPr="00076646">
        <w:t>,</w:t>
      </w:r>
      <w:r>
        <w:t xml:space="preserve"> </w:t>
      </w:r>
      <w:r w:rsidR="00076646" w:rsidRPr="00076646">
        <w:t>dung lượng hấp phụ của MGC/Fe</w:t>
      </w:r>
      <w:r w:rsidR="00076646" w:rsidRPr="00076646">
        <w:rPr>
          <w:vertAlign w:val="subscript"/>
        </w:rPr>
        <w:t>3</w:t>
      </w:r>
      <w:r w:rsidR="00076646" w:rsidRPr="00076646">
        <w:t>O</w:t>
      </w:r>
      <w:r w:rsidR="00076646" w:rsidRPr="00076646">
        <w:rPr>
          <w:vertAlign w:val="subscript"/>
        </w:rPr>
        <w:t>4</w:t>
      </w:r>
      <w:r w:rsidR="00076646" w:rsidRPr="00076646">
        <w:t xml:space="preserve"> thấp hơn đáng kể so</w:t>
      </w:r>
      <w:r w:rsidR="007C4159">
        <w:t xml:space="preserve"> với </w:t>
      </w:r>
      <w:r w:rsidR="00076646" w:rsidRPr="00076646">
        <w:t>than hoạt tính từ vỏ mắc ca hoạt hóa bằng NaOH (</w:t>
      </w:r>
      <w:r w:rsidR="00EF25A6" w:rsidRPr="00EF25A6">
        <w:rPr>
          <w:i/>
          <w:iCs/>
        </w:rPr>
        <w:t>Q</w:t>
      </w:r>
      <w:r w:rsidR="00EF25A6" w:rsidRPr="00370E6E">
        <w:rPr>
          <w:i/>
          <w:iCs/>
          <w:vertAlign w:val="subscript"/>
        </w:rPr>
        <w:t>max</w:t>
      </w:r>
      <w:r w:rsidR="00370E6E">
        <w:rPr>
          <w:i/>
          <w:iCs/>
        </w:rPr>
        <w:t xml:space="preserve"> </w:t>
      </w:r>
      <w:r w:rsidR="00076646" w:rsidRPr="00076646">
        <w:t xml:space="preserve">đạt tới 455,8 mg/g) theo nghiên cứu của Martins </w:t>
      </w:r>
      <w:r w:rsidR="00E15CE2">
        <w:t>và cộng sự</w:t>
      </w:r>
      <w:r w:rsidR="00076646" w:rsidRPr="00076646">
        <w:t xml:space="preserve"> (2015)</w:t>
      </w:r>
      <w:r w:rsidR="00FF050D">
        <w:t xml:space="preserve"> </w:t>
      </w:r>
      <w:r w:rsidR="00842E47">
        <w:fldChar w:fldCharType="begin"/>
      </w:r>
      <w:r w:rsidR="00E61E76">
        <w:instrText xml:space="preserve"> ADDIN ZOTERO_ITEM CSL_CITATION {"citationID":"TSTHrqFB","properties":{"formattedCitation":"[100]","plainCitation":"[100]","noteIndex":0},"citationItems":[{"id":459,"uris":["http://zotero.org/users/12953706/items/WSV3APEL"],"itemData":{"id":459,"type":"article-journal","abstract":"A NaOH-activated carbon was prepared from macadamia nut shell using the impregnation ratio of 3:1 (NaOH:char) (wt:wt). The obtained material (ACM) was characterized by several techniques and methodologies such as, N2 adsorption–desorption isotherms, SEM, FT-IR, Boehm titration, and pHpzc. The results demonstrated that the ACM is composed mainly of micropores (78.2%), presenting BET surface area of 1524m2g−1. Through the SEM and FT-IR analysis it could be observed that significant changes occurred on the material surface after the activation procedure. According to Boehm titration, the ACM has on its surface a majority of basic groups which is in agreement with the obtained pHpzc value of 8.74. The ACM was applied for tetracycline (TC) removal in order to assess its potential as an adsorbent. Thus, adsorption studies were carried out and several kinetic and isotherm models were employed. The isotherm model which best fitted to experimental data was Temkin, while the best fitted kinetic model was Elovich. ACM showed maximum monolayer adsorption capacity (Qm) of 455.33mgg−1. The intraparticle diffusion and film diffusion mechanisms were studied by the equations of Weber &amp; Morris and Boyd, respectively. According to the results, the limiting step of the adsorption of TC onto ACM is influenced by intraparticle diffusion and by film diffusion.","container-title":"Chemical Engineering Journal","DOI":"10.1016/j.cej.2014.09.017","ISSN":"1385-8947","journalAbbreviation":"Chemical Engineering Journal","page":"291-299","source":"ScienceDirect","title":"Removal of tetracycline by NaOH-activated carbon produced from macadamia nut shells: Kinetic and equilibrium studies","title-short":"Removal of tetracycline by NaOH-activated carbon produced from macadamia nut shells","volume":"260","author":[{"family":"Martins","given":"Alessandro C."},{"family":"Pezoti","given":"Osvaldo"},{"family":"Cazetta","given":"André L."},{"family":"Bedin","given":"Karen C."},{"family":"Yamazaki","given":"Diego A. S."},{"family":"Bandoch","given":"Gisele F. G."},{"family":"Asefa","given":"Tewodros"},{"family":"Visentainer","given":"Jesuí V."},{"family":"Almeida","given":"Vitor C."}],"issued":{"date-parts":[["2015",1,15]]}}}],"schema":"https://github.com/citation-style-language/schema/raw/master/csl-citation.json"} </w:instrText>
      </w:r>
      <w:r w:rsidR="00842E47">
        <w:fldChar w:fldCharType="separate"/>
      </w:r>
      <w:r w:rsidR="00E61E76" w:rsidRPr="00E61E76">
        <w:t>[100]</w:t>
      </w:r>
      <w:r w:rsidR="00842E47">
        <w:fldChar w:fldCharType="end"/>
      </w:r>
      <w:r w:rsidR="00076646" w:rsidRPr="00076646">
        <w:t>. Sự chênh lệch lớn nà</w:t>
      </w:r>
      <w:r w:rsidR="00FF050D">
        <w:t>y có thể giải thích</w:t>
      </w:r>
      <w:r w:rsidR="00076646" w:rsidRPr="00076646">
        <w:t xml:space="preserve"> bởi quá trình hoạt hóa bằng kiềm mạnh (NaOH) ở nhiệt độ cao tạo ra diện tích bề mặt riêng cực lớn (trên 1000 </w:t>
      </w:r>
      <w:r w:rsidR="00FF050D">
        <w:t>m</w:t>
      </w:r>
      <w:r w:rsidR="00FF050D">
        <w:rPr>
          <w:vertAlign w:val="superscript"/>
        </w:rPr>
        <w:t>2</w:t>
      </w:r>
      <w:r w:rsidR="00FF050D">
        <w:t>/g</w:t>
      </w:r>
      <w:r w:rsidR="00076646" w:rsidRPr="00076646">
        <w:t>)</w:t>
      </w:r>
      <w:r w:rsidR="00842E47">
        <w:t>.</w:t>
      </w:r>
      <w:r w:rsidR="00076646" w:rsidRPr="00076646">
        <w:t xml:space="preserve"> </w:t>
      </w:r>
      <w:r w:rsidR="00842E47">
        <w:t>T</w:t>
      </w:r>
      <w:r w:rsidR="00076646" w:rsidRPr="00076646">
        <w:t>uy nhiên phương pháp này lại tiêu tốn nhiều năng lượng, hóa chất và khó thu hồi vật liệu sau xử lý</w:t>
      </w:r>
      <w:r w:rsidR="001B1208">
        <w:t>. Do đó kết quả đồ án vẫn có ý nghĩa về mặt thực tiễn</w:t>
      </w:r>
      <w:r w:rsidR="00370E6E">
        <w:t xml:space="preserve"> cao</w:t>
      </w:r>
      <w:r w:rsidR="001B1208">
        <w:t xml:space="preserve"> </w:t>
      </w:r>
      <w:r w:rsidR="00370E6E">
        <w:t>nhờ</w:t>
      </w:r>
      <w:r w:rsidR="00206B20">
        <w:t xml:space="preserve"> có khả năng thu hồi dễ dàng</w:t>
      </w:r>
      <w:r w:rsidR="00370E6E">
        <w:t xml:space="preserve"> và quy trình chế tạo thân thiện hơn</w:t>
      </w:r>
      <w:r w:rsidR="001B1208">
        <w:t>.</w:t>
      </w:r>
      <w:r w:rsidR="00196AD9">
        <w:t xml:space="preserve"> Ngược lại, </w:t>
      </w:r>
      <w:r w:rsidR="007C4159">
        <w:t xml:space="preserve">khi </w:t>
      </w:r>
      <w:r w:rsidR="005C033F">
        <w:t>so sánh với các loại than sinh học từ tính v</w:t>
      </w:r>
      <w:r w:rsidR="000665E3">
        <w:t xml:space="preserve">à biến tính những năm gần đây, kết quả hấp phụ tối đa của vật liệu </w:t>
      </w:r>
      <w:r w:rsidR="000665E3" w:rsidRPr="00076646">
        <w:t>MGC/Fe</w:t>
      </w:r>
      <w:r w:rsidR="000665E3" w:rsidRPr="00076646">
        <w:rPr>
          <w:vertAlign w:val="subscript"/>
        </w:rPr>
        <w:t>3</w:t>
      </w:r>
      <w:r w:rsidR="000665E3" w:rsidRPr="00076646">
        <w:t>O</w:t>
      </w:r>
      <w:r w:rsidR="000665E3" w:rsidRPr="00076646">
        <w:rPr>
          <w:vertAlign w:val="subscript"/>
        </w:rPr>
        <w:t>4</w:t>
      </w:r>
      <w:r w:rsidR="000665E3">
        <w:rPr>
          <w:vertAlign w:val="subscript"/>
        </w:rPr>
        <w:t xml:space="preserve"> </w:t>
      </w:r>
      <w:r w:rsidR="00D53615">
        <w:t>cũng cho ra một kết quả rất khả quan</w:t>
      </w:r>
      <w:r w:rsidR="0050791B">
        <w:t xml:space="preserve">. Cụ thể, dung lượng tối đa của vật liệu </w:t>
      </w:r>
      <w:r w:rsidR="000422B3">
        <w:t>(31,16 mg/g) là cao hơn</w:t>
      </w:r>
      <w:r w:rsidR="006C1F04">
        <w:t xml:space="preserve"> gấp 1,5 đến 2,2 lần so với than sinh học từ rơm rạ (14,19 mg/g) hay than gỗ thông biến tính Ca(OH)</w:t>
      </w:r>
      <w:r w:rsidR="006C1F04">
        <w:rPr>
          <w:vertAlign w:val="subscript"/>
        </w:rPr>
        <w:t>2</w:t>
      </w:r>
      <w:r w:rsidR="006C1F04">
        <w:t xml:space="preserve"> (20,86 mg/g</w:t>
      </w:r>
      <w:r w:rsidR="00E00587">
        <w:t>)</w:t>
      </w:r>
      <w:r w:rsidR="000422B3">
        <w:t xml:space="preserve"> </w:t>
      </w:r>
      <w:r w:rsidR="00B81B31">
        <w:rPr>
          <w:color w:val="000000" w:themeColor="text1"/>
        </w:rPr>
        <w:fldChar w:fldCharType="begin"/>
      </w:r>
      <w:r w:rsidR="009D0B5F">
        <w:rPr>
          <w:color w:val="000000" w:themeColor="text1"/>
        </w:rPr>
        <w:instrText xml:space="preserve"> ADDIN ZOTERO_ITEM CSL_CITATION {"citationID":"367QGU4v","properties":{"formattedCitation":"[63]","plainCitation":"[63]","noteIndex":0},"citationItems":[{"id":372,"uris":["http://zotero.org/users/12953706/items/7ZMXZ6BH"],"itemData":{"id":372,"type":"article-journal","abstract":"For the first time the present study investigated the production, characterization and application of engineered biochar derived from alfalfa hays for removal of tetracycline (TC) in water. The NaOH activation of alfalfa-derived raw biochar (BCR) made significant increase in surface area (796.50 m2/g) and pore volume (0.087 cm3/g). The NaOH-activated BC (BCA) showed much higher adsorption capacity for TC (Qm = 302.37 mg/g) than BCR, but comparable to the commercial activated carbon (Calgon F400). The detailed analyses of the kinetic and isotherm studies suggested the strong chemisorptive interactions between TC and BCA via multiple mechanisms. In addition, intraparticle diffusion was considered as the major limitation for the adsorption of TC onto BCA. Furthermore, the fixed bed experiments revealed that BCA could be a promising adsorbent for treating large volume of TC-contaminated water in columns.","container-title":"Bioresource Technology","DOI":"10.1016/j.biortech.2019.03.131","ISSN":"0960-8524","journalAbbreviation":"Bioresource Technology","page":"437-447","source":"ScienceDirect","title":"Engineered biochar from agricultural waste for removal of tetracycline in water","volume":"284","author":[{"family":"Jang","given":"Hyun Min"},{"family":"Kan","given":"Eunsung"}],"issued":{"date-parts":[["2019",7,1]]}}}],"schema":"https://github.com/citation-style-language/schema/raw/master/csl-citation.json"} </w:instrText>
      </w:r>
      <w:r w:rsidR="00B81B31">
        <w:rPr>
          <w:color w:val="000000" w:themeColor="text1"/>
        </w:rPr>
        <w:fldChar w:fldCharType="separate"/>
      </w:r>
      <w:r w:rsidR="00B81B31" w:rsidRPr="008906EB">
        <w:rPr>
          <w:rFonts w:cs="Times New Roman"/>
        </w:rPr>
        <w:t>[63]</w:t>
      </w:r>
      <w:r w:rsidR="00B81B31">
        <w:rPr>
          <w:color w:val="000000" w:themeColor="text1"/>
        </w:rPr>
        <w:fldChar w:fldCharType="end"/>
      </w:r>
      <w:r w:rsidR="00B81B31">
        <w:t xml:space="preserve">, </w:t>
      </w:r>
      <w:r w:rsidR="00785754">
        <w:fldChar w:fldCharType="begin"/>
      </w:r>
      <w:r w:rsidR="008906EB">
        <w:instrText xml:space="preserve"> ADDIN ZOTERO_ITEM CSL_CITATION {"citationID":"fOdvfIN2","properties":{"formattedCitation":"[98]","plainCitation":"[98]","noteIndex":0},"citationItems":[{"id":461,"uris":["http://zotero.org/users/12953706/items/X7MRFMCJ"],"itemData":{"id":461,"type":"article-journal","abstract":"To prevent possible secondary pollution from phosphorus-loaded biochar (BC) in agricultural systems, this study investigated the sustainable use of Ca(OH)2 modified wood biochars (Ca-BCs) for P recovery while significantly lowering the tetracycline (TC) adsorption onto Ca-BCs. Ca-BCs were prepared via calcination of mixtures of Ca(OH)2 and wood BC under 100–500 °C for removing P and TC from water. Compared to the pristine BC (without Ca(OH)2 modification), Ca-BC100 (Ca-BC prepared at 100 °C) showed a significant increase of P adsorption capacity from 4.00 to 138.70 mg/g due to reactive interaction between P and Ca(OH)2 on Ca-BC while decrease of TC adsorption capacity from 62.17 to 20.86 mg/g owing to decrease of surface area from 260.50 to 120.26 m2/g. Batch adsorption tests implied that the P adsorption on Ca-BC100 would occur mainly via electrostatic attraction (pH &gt; 2.1) and formation of hydroxylapatite (Ca5(PO4)3(OH)) between phosphate and Ca(OH)2. In addition, Ca-BC100 reacted with TC via electrostatic attraction (pH &gt; 7.6), complexation, hydrogen bond, and π-π interactions. P and TC adsorption onto Ca-BC100 was a chemical, endothermic, and spontaneous process. The dynamic adsorption experiments using a fixed bed column filled with Ca-BC100 indicated that Ca-BC100 could continuously and effectively remove P and TC from water. Ca-BC100 also effectively lowered P and COD in the dairy wastewater. Under the environmentally relevant conditions, continuous treatment of water containing P and TC using the pristine BC followed by Ca-BC100 showed the pristine BC removed 96% of TC and only 6% of P from water while Ca-BC100 made high recovery of P (94% of P) with negligible TC. Therefore, Ca-BC100 could be used for effective recovery of P with negligible TC from wastewater, and then applied to agricultural systems as a sustainable and safe P-rich biofertilizer.","container-title":"Science of The Total Environment","DOI":"10.1016/j.scitotenv.2022.156159","ISSN":"0048-9697","journalAbbreviation":"Science of The Total Environment","page":"156159","source":"ScienceDirect","title":"Sustainable use of Ca(OH)2 modified biochar for phosphorus recovery and tetracycline removal from water","volume":"839","author":[{"family":"Zeng","given":"Shengquan"},{"family":"Kan","given":"Eunsung"}],"issued":{"date-parts":[["2022",9,15]]}}}],"schema":"https://github.com/citation-style-language/schema/raw/master/csl-citation.json"} </w:instrText>
      </w:r>
      <w:r w:rsidR="00785754">
        <w:fldChar w:fldCharType="separate"/>
      </w:r>
      <w:r w:rsidR="008906EB" w:rsidRPr="008906EB">
        <w:t>[98]</w:t>
      </w:r>
      <w:r w:rsidR="00785754">
        <w:fldChar w:fldCharType="end"/>
      </w:r>
      <w:r w:rsidR="004A3BE4">
        <w:rPr>
          <w:color w:val="000000" w:themeColor="text1"/>
        </w:rPr>
        <w:t>.</w:t>
      </w:r>
      <w:r w:rsidR="00167509">
        <w:rPr>
          <w:color w:val="000000" w:themeColor="text1"/>
        </w:rPr>
        <w:t xml:space="preserve"> </w:t>
      </w:r>
      <w:r w:rsidR="00791CCC">
        <w:rPr>
          <w:color w:val="000000" w:themeColor="text1"/>
        </w:rPr>
        <w:t xml:space="preserve">Khi đối chiếu với các nghiên cứu có hiệu suất cao hơn như than rơm lúa mì (42,12 mg/g) hay than từ tính bã nấm (42,31 mg/g), vật liệu </w:t>
      </w:r>
      <w:r w:rsidR="00D92823" w:rsidRPr="002D7168">
        <w:rPr>
          <w:color w:val="000000" w:themeColor="text1"/>
        </w:rPr>
        <w:t>MGC/Fe</w:t>
      </w:r>
      <w:r w:rsidR="00D92823" w:rsidRPr="000A12D4">
        <w:rPr>
          <w:color w:val="000000" w:themeColor="text1"/>
          <w:vertAlign w:val="subscript"/>
        </w:rPr>
        <w:t>3</w:t>
      </w:r>
      <w:r w:rsidR="00D92823" w:rsidRPr="002D7168">
        <w:rPr>
          <w:color w:val="000000" w:themeColor="text1"/>
        </w:rPr>
        <w:t>O</w:t>
      </w:r>
      <w:r w:rsidR="000A12D4" w:rsidRPr="000A12D4">
        <w:rPr>
          <w:color w:val="000000" w:themeColor="text1"/>
          <w:vertAlign w:val="subscript"/>
        </w:rPr>
        <w:t>4</w:t>
      </w:r>
      <w:r w:rsidR="00D92823">
        <w:rPr>
          <w:color w:val="000000" w:themeColor="text1"/>
        </w:rPr>
        <w:t xml:space="preserve"> vẫn</w:t>
      </w:r>
      <w:r w:rsidR="00901E9F">
        <w:rPr>
          <w:color w:val="000000" w:themeColor="text1"/>
        </w:rPr>
        <w:t xml:space="preserve"> có vị thế cạnh tranh khi</w:t>
      </w:r>
      <w:r w:rsidR="00D92823">
        <w:rPr>
          <w:color w:val="000000" w:themeColor="text1"/>
        </w:rPr>
        <w:t xml:space="preserve"> nằm trong cùng một dải giá trị hấp phụ tiêu chuẩn (30–45 mg/g)</w:t>
      </w:r>
      <w:r w:rsidR="00B81B31" w:rsidRPr="00B81B31">
        <w:rPr>
          <w:color w:val="000000" w:themeColor="text1"/>
        </w:rPr>
        <w:t xml:space="preserve"> </w:t>
      </w:r>
      <w:r w:rsidR="00B81B31">
        <w:rPr>
          <w:color w:val="000000" w:themeColor="text1"/>
        </w:rPr>
        <w:fldChar w:fldCharType="begin"/>
      </w:r>
      <w:r w:rsidR="009D0B5F">
        <w:rPr>
          <w:color w:val="000000" w:themeColor="text1"/>
        </w:rPr>
        <w:instrText xml:space="preserve"> ADDIN ZOTERO_ITEM CSL_CITATION {"citationID":"2WJpfH0c","properties":{"formattedCitation":"[99]","plainCitation":"[99]","noteIndex":0},"citationItems":[{"id":470,"uris":["http://zotero.org/users/12953706/items/4BD37Y2W"],"itemData":{"id":470,"type":"article-journal","abstract":"The use of biochar prepared from waste crop straw for the removal of tetracycline (TC) in water has a profound influence on the protection of agricultural water environment. In this study, biochar (BC) was prepared from waste corn straw and wheat straw. The adsorption experiments were carried out on few factors: adsorption time, BC dosages, pH and ionic strength. The results showed that the adsorption of TC by BC derived from corn (C-BC) and BC derived from wheat (W-BC) fitted to the Langmuir model. The equilibrium time for adsorption of C-BC and W-BC was 60 min, the optimal amount of BCs dose was 10 g·L–1. The maximum saturated adsorption of TC by C-BC and W-BC were 49.56 and 42.12 mg·g–1, respectively. The presence of Mg2+ hindered the adsorption of TC by BCs. The adsorption mechanism was analyzed from the perspective of adsorption kinetics, and both BCs were chemical adsorption. Research showed that biochar in the northeast is cheap and easy to obtain, and the adsorption efficiency was high. Therefore, the use of BC which prepared from corn straw and wheat straw to removal TC has broad prospect.","container-title":"Desalination and Water Treatment","DOI":"10.5004/dwt.2019.23829","ISSN":"1944-3986","journalAbbreviation":"Desalination and Water Treatment","page":"384-391","source":"ScienceDirect","title":"Adsorption characteristics of tetracycline on biochar from agricultural wastes","volume":"151","author":[{"family":"Dai","given":"Yingjie"},{"family":"Liu","given":"Mei"},{"family":"Sun","given":"Yue"},{"family":"Li","given":"Jingjing"},{"family":"Jiang","given":"Yue"},{"family":"Li","given":"Shanshan"},{"family":"Yue","given":"Wu"},{"family":"Liu","given":"Zhihua"}],"issued":{"date-parts":[["2019",5,1]]}}}],"schema":"https://github.com/citation-style-language/schema/raw/master/csl-citation.json"} </w:instrText>
      </w:r>
      <w:r w:rsidR="00B81B31">
        <w:rPr>
          <w:color w:val="000000" w:themeColor="text1"/>
        </w:rPr>
        <w:fldChar w:fldCharType="separate"/>
      </w:r>
      <w:r w:rsidR="00B81B31" w:rsidRPr="00E61E76">
        <w:rPr>
          <w:rFonts w:cs="Times New Roman"/>
        </w:rPr>
        <w:t>[99]</w:t>
      </w:r>
      <w:r w:rsidR="00B81B31">
        <w:rPr>
          <w:color w:val="000000" w:themeColor="text1"/>
        </w:rPr>
        <w:fldChar w:fldCharType="end"/>
      </w:r>
      <w:r w:rsidR="001127BF">
        <w:rPr>
          <w:color w:val="000000" w:themeColor="text1"/>
        </w:rPr>
        <w:t xml:space="preserve">, </w:t>
      </w:r>
      <w:r w:rsidR="001127BF">
        <w:rPr>
          <w:color w:val="000000" w:themeColor="text1"/>
        </w:rPr>
        <w:fldChar w:fldCharType="begin"/>
      </w:r>
      <w:r w:rsidR="009D0B5F">
        <w:rPr>
          <w:color w:val="000000" w:themeColor="text1"/>
        </w:rPr>
        <w:instrText xml:space="preserve"> ADDIN ZOTERO_ITEM CSL_CITATION {"citationID":"jyz2YiMV","properties":{"formattedCitation":"[101]","plainCitation":"[101]","noteIndex":0},"citationItems":[{"id":473,"uris":["http://zotero.org/users/12953706/items/WBKIBHCP"],"itemData":{"id":473,"type":"article-journal","abstract":"This study aimed to compare the removal effect of tetracycline (TC) by magnetic biochar, (BC) prepared via two magnetization methods: coprecipitation (MBC-1) and pyrolysis impregnation (MBC-2) The TC removal effects of MBC-1 and MBC-2 were compared. The samples were characterized using scanning electron microscopy (SEM), Fourier transform infrared spectroscopy (FTIR), X-ray diffraction (XRD), X-ray photoelectron spectroscopy (XPS), Brunauer–Emmett–Teller analysis (BET), and Zeta potential. Effects of contact time, initial TC concentration, pH, adsorption kinetics, and isotherms were studied. The results showed that the adsorption processes of TC with MBC-1 and MBC-2 were fitted with a pseudo-second-order kinetics model and that the Langmuir isotherm model was most suitable for the adsorption data of MBC-1 and MBC-2. The maximum adsorption capacities of MBC-1 (42.31 mg/g) and MBC-2 (24.31 mg/g) were greater than that of the primitive BC (PBC, 12.10 mg/g), indicating that magnetization effectively promotes the adsorption of TC. MBC-1 contains 2.3 times as much iron as MBC-2, and iron oxides provide –OH groups that act as donors and acceptors of hydrogen bonds, thus enhancing the hydrogen-bonding interactions between MBC-1 or MBC-2 and TC. Compared with MBC-2, MBC-1, could provide oxygen-containing functional groups as reactive sites. The prepared magnetic BCs using coprecipitation form an optimized method for removing TC from water to promote clean production. It also provides a new method of comprehensive utilization of waste mushroom matrix for the sustainable development of the edible mushroom industry.","container-title":"Environmental Technology &amp; Innovation","DOI":"10.1016/j.eti.2021.101916","ISSN":"2352-1864","journalAbbreviation":"Environmental Technology &amp; Innovation","page":"101916","source":"ScienceDirect","title":"Removal of tetracycline from wastewater using magnetic biochar: A comparative study of performance based on the preparation method","title-short":"Removal of tetracycline from wastewater using magnetic biochar","volume":"24","author":[{"family":"Gao","given":"Feng"},{"family":"Xu","given":"Zhenxuan"},{"family":"Dai","given":"Yingjie"}],"issued":{"date-parts":[["2021",11,1]]}}}],"schema":"https://github.com/citation-style-language/schema/raw/master/csl-citation.json"} </w:instrText>
      </w:r>
      <w:r w:rsidR="001127BF">
        <w:rPr>
          <w:color w:val="000000" w:themeColor="text1"/>
        </w:rPr>
        <w:fldChar w:fldCharType="separate"/>
      </w:r>
      <w:r w:rsidR="001127BF" w:rsidRPr="001447A9">
        <w:rPr>
          <w:rFonts w:cs="Times New Roman"/>
        </w:rPr>
        <w:t>[101]</w:t>
      </w:r>
      <w:r w:rsidR="001127BF">
        <w:rPr>
          <w:color w:val="000000" w:themeColor="text1"/>
        </w:rPr>
        <w:fldChar w:fldCharType="end"/>
      </w:r>
      <w:r w:rsidR="00D92823">
        <w:rPr>
          <w:color w:val="000000" w:themeColor="text1"/>
        </w:rPr>
        <w:t xml:space="preserve">. </w:t>
      </w:r>
      <w:r w:rsidR="00086E9F">
        <w:rPr>
          <w:color w:val="000000" w:themeColor="text1"/>
        </w:rPr>
        <w:t>Sự chênh lệch nhỏ về dung lượng (</w:t>
      </w:r>
      <w:r w:rsidR="00B81B31">
        <w:rPr>
          <w:color w:val="000000" w:themeColor="text1"/>
        </w:rPr>
        <w:t xml:space="preserve">xảy ra </w:t>
      </w:r>
      <w:r w:rsidR="00086E9F">
        <w:rPr>
          <w:color w:val="000000" w:themeColor="text1"/>
        </w:rPr>
        <w:t>do đặc thù cấu trúc tiền chất) là hoàn toàn chấp nhận được, đổi lại giờ đây vật liệu đã sở hữu khả năng thu hồi từ tính ưu việt, giải quyết triệt để bài toán khó tách lọc của các loại than dạng bột thông thường.</w:t>
      </w:r>
      <w:r w:rsidR="006E0891">
        <w:rPr>
          <w:color w:val="000000" w:themeColor="text1"/>
        </w:rPr>
        <w:t xml:space="preserve"> Tuy nhiên cũng cần xem xét cải tiến vật liệu</w:t>
      </w:r>
      <w:r w:rsidR="00FA23DC">
        <w:rPr>
          <w:color w:val="000000" w:themeColor="text1"/>
        </w:rPr>
        <w:t xml:space="preserve"> than ban đầu bằng việc thay đổi điều kiện</w:t>
      </w:r>
      <w:r w:rsidR="006E0891">
        <w:rPr>
          <w:color w:val="000000" w:themeColor="text1"/>
        </w:rPr>
        <w:t xml:space="preserve"> quá trình </w:t>
      </w:r>
      <w:r w:rsidR="00ED2CA3">
        <w:rPr>
          <w:color w:val="000000" w:themeColor="text1"/>
        </w:rPr>
        <w:t xml:space="preserve">khí hoá </w:t>
      </w:r>
      <w:r w:rsidR="00FA23DC">
        <w:rPr>
          <w:color w:val="000000" w:themeColor="text1"/>
        </w:rPr>
        <w:t xml:space="preserve">để vật liệu có thể </w:t>
      </w:r>
      <w:r w:rsidR="00596B0F">
        <w:rPr>
          <w:color w:val="000000" w:themeColor="text1"/>
        </w:rPr>
        <w:t>tận dụng tối ưu thêm cơ chế hấp phụ vật lý lỗ xốp.</w:t>
      </w:r>
    </w:p>
    <w:p w14:paraId="34776C72" w14:textId="648817FF" w:rsidR="00ED2CA3" w:rsidRDefault="00233F44" w:rsidP="00ED2CA3">
      <w:pPr>
        <w:jc w:val="both"/>
        <w:rPr>
          <w:color w:val="000000" w:themeColor="text1"/>
        </w:rPr>
      </w:pPr>
      <w:r>
        <w:rPr>
          <w:color w:val="000000" w:themeColor="text1"/>
        </w:rPr>
        <w:t xml:space="preserve">Kết </w:t>
      </w:r>
      <w:r w:rsidR="00F0253D">
        <w:rPr>
          <w:color w:val="000000" w:themeColor="text1"/>
        </w:rPr>
        <w:t xml:space="preserve">quả phân tích mô hình đẳng nhiệt </w:t>
      </w:r>
      <w:r w:rsidR="00FE6665">
        <w:rPr>
          <w:color w:val="000000" w:themeColor="text1"/>
        </w:rPr>
        <w:t>3 mô hình Langmuir, Freundlich và Redlich-Peterson được thể hiện lần lượt qua Hình 3.15 (a), (b) và (c)</w:t>
      </w:r>
      <w:r w:rsidR="00890809">
        <w:rPr>
          <w:color w:val="000000" w:themeColor="text1"/>
        </w:rPr>
        <w:t>. Đồng thời</w:t>
      </w:r>
      <w:r w:rsidR="00ED2CA3">
        <w:rPr>
          <w:color w:val="000000" w:themeColor="text1"/>
        </w:rPr>
        <w:t xml:space="preserve">, toàn bộ các tham số nhiệt động học và hệ số tương quan xác định được rút ra qua các mô hình cũng được tổng hợp lại trong </w:t>
      </w:r>
      <w:r w:rsidR="0034626E">
        <w:rPr>
          <w:color w:val="000000" w:themeColor="text1"/>
        </w:rPr>
        <w:t>B</w:t>
      </w:r>
      <w:r w:rsidR="00FE6665">
        <w:rPr>
          <w:color w:val="000000" w:themeColor="text1"/>
        </w:rPr>
        <w:t>ảng</w:t>
      </w:r>
      <w:r w:rsidR="0034626E">
        <w:rPr>
          <w:color w:val="000000" w:themeColor="text1"/>
        </w:rPr>
        <w:t xml:space="preserve"> 3.5</w:t>
      </w:r>
      <w:r w:rsidR="00ED2CA3">
        <w:rPr>
          <w:color w:val="000000" w:themeColor="text1"/>
        </w:rPr>
        <w:t>.</w:t>
      </w:r>
    </w:p>
    <w:p w14:paraId="714D6616" w14:textId="77777777" w:rsidR="0034626E" w:rsidRPr="000422B3" w:rsidRDefault="0034626E" w:rsidP="00ED2CA3">
      <w:pPr>
        <w:ind w:firstLine="0"/>
        <w:jc w:val="both"/>
        <w:rPr>
          <w:color w:val="000000" w:themeColor="text1"/>
        </w:rPr>
      </w:pPr>
    </w:p>
    <w:tbl>
      <w:tblPr>
        <w:tblStyle w:val="TableGrid"/>
        <w:tblW w:w="94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4649"/>
        <w:gridCol w:w="10"/>
        <w:gridCol w:w="4796"/>
      </w:tblGrid>
      <w:tr w:rsidR="005542C6" w14:paraId="2D47B719" w14:textId="77777777" w:rsidTr="003D347C">
        <w:tc>
          <w:tcPr>
            <w:tcW w:w="4659" w:type="dxa"/>
            <w:gridSpan w:val="2"/>
          </w:tcPr>
          <w:p w14:paraId="2F509202" w14:textId="25F4E7F8" w:rsidR="004838F4" w:rsidRDefault="00EA26F8" w:rsidP="00EA26F8">
            <w:pPr>
              <w:ind w:firstLine="0"/>
              <w:jc w:val="center"/>
            </w:pPr>
            <w:r>
              <w:t>(</w:t>
            </w:r>
            <w:r w:rsidR="004838F4">
              <w:t>a)</w:t>
            </w:r>
          </w:p>
          <w:p w14:paraId="7FECEDFB" w14:textId="03200C3E" w:rsidR="005542C6" w:rsidRDefault="00B03877" w:rsidP="00BD12D9">
            <w:pPr>
              <w:ind w:left="-546"/>
              <w:jc w:val="both"/>
            </w:pPr>
            <w:r w:rsidRPr="00806484">
              <w:rPr>
                <w:noProof/>
                <w:lang w:eastAsia="en-US"/>
              </w:rPr>
              <w:drawing>
                <wp:inline distT="0" distB="0" distL="0" distR="0" wp14:anchorId="7F825B6B" wp14:editId="51BDF1DA">
                  <wp:extent cx="2880000" cy="2338033"/>
                  <wp:effectExtent l="0" t="0" r="0" b="5715"/>
                  <wp:docPr id="1189" name="Pictur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80000" cy="2338033"/>
                          </a:xfrm>
                          <a:prstGeom prst="rect">
                            <a:avLst/>
                          </a:prstGeom>
                        </pic:spPr>
                      </pic:pic>
                    </a:graphicData>
                  </a:graphic>
                </wp:inline>
              </w:drawing>
            </w:r>
          </w:p>
        </w:tc>
        <w:tc>
          <w:tcPr>
            <w:tcW w:w="4796" w:type="dxa"/>
            <w:gridSpan w:val="2"/>
          </w:tcPr>
          <w:p w14:paraId="22D2BD0D" w14:textId="3F73D3BC" w:rsidR="004838F4" w:rsidRDefault="00EA26F8" w:rsidP="00415D1B">
            <w:pPr>
              <w:ind w:firstLine="0"/>
              <w:jc w:val="center"/>
              <w:rPr>
                <w:noProof/>
              </w:rPr>
            </w:pPr>
            <w:r>
              <w:rPr>
                <w:noProof/>
              </w:rPr>
              <w:t>(</w:t>
            </w:r>
            <w:r w:rsidR="004838F4">
              <w:rPr>
                <w:noProof/>
              </w:rPr>
              <w:t>b)</w:t>
            </w:r>
          </w:p>
          <w:p w14:paraId="3F72AC45" w14:textId="6D3A2009" w:rsidR="005542C6" w:rsidRDefault="00B03877" w:rsidP="00034248">
            <w:pPr>
              <w:ind w:left="-532" w:right="67"/>
              <w:jc w:val="both"/>
            </w:pPr>
            <w:r w:rsidRPr="001E2015">
              <w:rPr>
                <w:noProof/>
                <w:lang w:eastAsia="en-US"/>
              </w:rPr>
              <w:drawing>
                <wp:inline distT="0" distB="0" distL="0" distR="0" wp14:anchorId="69EBE085" wp14:editId="2682F650">
                  <wp:extent cx="2916000" cy="2350544"/>
                  <wp:effectExtent l="0" t="0" r="0" b="0"/>
                  <wp:docPr id="1190" name="Pictur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16000" cy="2350544"/>
                          </a:xfrm>
                          <a:prstGeom prst="rect">
                            <a:avLst/>
                          </a:prstGeom>
                        </pic:spPr>
                      </pic:pic>
                    </a:graphicData>
                  </a:graphic>
                </wp:inline>
              </w:drawing>
            </w:r>
          </w:p>
        </w:tc>
      </w:tr>
      <w:tr w:rsidR="0016369F" w14:paraId="6E06564E" w14:textId="77777777" w:rsidTr="003D347C">
        <w:trPr>
          <w:gridBefore w:val="1"/>
          <w:wBefore w:w="10" w:type="dxa"/>
        </w:trPr>
        <w:tc>
          <w:tcPr>
            <w:tcW w:w="4659" w:type="dxa"/>
            <w:gridSpan w:val="2"/>
          </w:tcPr>
          <w:p w14:paraId="108A9142" w14:textId="0EF7C16C" w:rsidR="0016369F" w:rsidRDefault="0016369F" w:rsidP="00D94AFD">
            <w:pPr>
              <w:ind w:firstLine="0"/>
              <w:jc w:val="center"/>
              <w:rPr>
                <w:noProof/>
              </w:rPr>
            </w:pPr>
            <w:r>
              <w:rPr>
                <w:noProof/>
              </w:rPr>
              <w:t>(c)</w:t>
            </w:r>
          </w:p>
          <w:p w14:paraId="2EF3402F" w14:textId="77777777" w:rsidR="0016369F" w:rsidRDefault="0016369F" w:rsidP="00D94AFD">
            <w:pPr>
              <w:ind w:left="-546"/>
              <w:jc w:val="center"/>
            </w:pPr>
            <w:r w:rsidRPr="003D02F1">
              <w:rPr>
                <w:noProof/>
                <w:lang w:eastAsia="en-US"/>
              </w:rPr>
              <w:drawing>
                <wp:inline distT="0" distB="0" distL="0" distR="0" wp14:anchorId="0429E95F" wp14:editId="2A051EC8">
                  <wp:extent cx="2880000" cy="2332638"/>
                  <wp:effectExtent l="0" t="0" r="0" b="0"/>
                  <wp:docPr id="1191" name="Picture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80000" cy="2332638"/>
                          </a:xfrm>
                          <a:prstGeom prst="rect">
                            <a:avLst/>
                          </a:prstGeom>
                        </pic:spPr>
                      </pic:pic>
                    </a:graphicData>
                  </a:graphic>
                </wp:inline>
              </w:drawing>
            </w:r>
          </w:p>
        </w:tc>
        <w:tc>
          <w:tcPr>
            <w:tcW w:w="4796" w:type="dxa"/>
          </w:tcPr>
          <w:p w14:paraId="44F20F2F" w14:textId="77777777" w:rsidR="0016369F" w:rsidRDefault="0016369F" w:rsidP="00D94AFD">
            <w:pPr>
              <w:ind w:right="-106" w:firstLine="0"/>
            </w:pPr>
          </w:p>
          <w:p w14:paraId="153D5C30" w14:textId="77777777" w:rsidR="0016369F" w:rsidRDefault="0016369F" w:rsidP="00D94AFD">
            <w:pPr>
              <w:keepNext/>
              <w:ind w:left="-464"/>
              <w:jc w:val="both"/>
            </w:pPr>
          </w:p>
        </w:tc>
      </w:tr>
    </w:tbl>
    <w:p w14:paraId="507005C1" w14:textId="1FF4F155" w:rsidR="00605D83" w:rsidRPr="00582888" w:rsidRDefault="00D331D0" w:rsidP="000D3E6D">
      <w:pPr>
        <w:pStyle w:val="Caption"/>
        <w:ind w:firstLine="0"/>
      </w:pPr>
      <w:bookmarkStart w:id="43" w:name="_Toc218054549"/>
      <w:r>
        <w:t xml:space="preserve">Hình </w:t>
      </w:r>
      <w:r w:rsidR="00CF0C31">
        <w:fldChar w:fldCharType="begin"/>
      </w:r>
      <w:r w:rsidR="00CF0C31">
        <w:instrText xml:space="preserve"> STYLEREF 1 \s </w:instrText>
      </w:r>
      <w:r w:rsidR="00CF0C31">
        <w:fldChar w:fldCharType="separate"/>
      </w:r>
      <w:r w:rsidR="009801F7">
        <w:rPr>
          <w:noProof/>
        </w:rPr>
        <w:t>3</w:t>
      </w:r>
      <w:r w:rsidR="00CF0C31">
        <w:rPr>
          <w:noProof/>
        </w:rPr>
        <w:fldChar w:fldCharType="end"/>
      </w:r>
      <w:r w:rsidR="00336E9E">
        <w:t>.</w:t>
      </w:r>
      <w:fldSimple w:instr=" SEQ Hình \* ARABIC \s 1 ">
        <w:r w:rsidR="009801F7">
          <w:rPr>
            <w:noProof/>
          </w:rPr>
          <w:t>15</w:t>
        </w:r>
      </w:fldSimple>
      <w:r w:rsidRPr="006D2E7F">
        <w:t xml:space="preserve">. </w:t>
      </w:r>
      <w:r w:rsidR="002064CE">
        <w:t>C</w:t>
      </w:r>
      <w:r w:rsidRPr="006D2E7F">
        <w:t>ác mô hình đẳng nhiệt:</w:t>
      </w:r>
      <w:r w:rsidR="00BD4EB8">
        <w:t xml:space="preserve"> (</w:t>
      </w:r>
      <w:r w:rsidR="002064CE">
        <w:t>a</w:t>
      </w:r>
      <w:r w:rsidR="00BD4EB8">
        <w:t>)</w:t>
      </w:r>
      <w:r w:rsidRPr="006D2E7F">
        <w:t xml:space="preserve"> Langmuir,</w:t>
      </w:r>
      <w:r w:rsidR="00BD4EB8">
        <w:t xml:space="preserve"> (</w:t>
      </w:r>
      <w:r w:rsidR="002064CE">
        <w:t>b</w:t>
      </w:r>
      <w:r w:rsidR="00BD4EB8">
        <w:t>)</w:t>
      </w:r>
      <w:r w:rsidRPr="006D2E7F">
        <w:t xml:space="preserve"> Freundlich và</w:t>
      </w:r>
      <w:r w:rsidR="00BD4EB8">
        <w:t xml:space="preserve"> (</w:t>
      </w:r>
      <w:r w:rsidR="002064CE">
        <w:t>c</w:t>
      </w:r>
      <w:r w:rsidR="00BD4EB8">
        <w:t>)</w:t>
      </w:r>
      <w:r w:rsidRPr="006D2E7F">
        <w:t xml:space="preserve"> Redlich-Peterson</w:t>
      </w:r>
      <w:r w:rsidR="003902AF">
        <w:t>.</w:t>
      </w:r>
      <w:bookmarkEnd w:id="43"/>
    </w:p>
    <w:p w14:paraId="29B3F0EC" w14:textId="60956E7C" w:rsidR="006E7456" w:rsidRDefault="00950A4E" w:rsidP="004D4C22">
      <w:pPr>
        <w:ind w:firstLine="454"/>
        <w:jc w:val="both"/>
      </w:pPr>
      <w:r w:rsidRPr="00227A60">
        <w:t>Quan sát độ phù hợp của các mô hình cho thấy thứ tự tương thích tăng dần: Langmuir &lt; Freundlich &lt; Redlich-Peterson. Cụ thể, mô hình Langmuir cho hệ số tương quan thấp nhất (</w:t>
      </w:r>
      <w:r w:rsidR="0035450B">
        <w:t>R</w:t>
      </w:r>
      <w:r w:rsidR="0035450B">
        <w:rPr>
          <w:vertAlign w:val="superscript"/>
        </w:rPr>
        <w:t>2</w:t>
      </w:r>
      <w:r w:rsidR="0035450B">
        <w:rPr>
          <w:rStyle w:val="math-inline"/>
          <w:bCs/>
          <w:szCs w:val="26"/>
        </w:rPr>
        <w:t xml:space="preserve"> </w:t>
      </w:r>
      <m:oMath>
        <m:r>
          <m:rPr>
            <m:sty m:val="p"/>
          </m:rPr>
          <w:rPr>
            <w:rStyle w:val="math-inline"/>
            <w:rFonts w:ascii="Cambria Math" w:eastAsiaTheme="majorEastAsia" w:hAnsi="Cambria Math"/>
            <w:szCs w:val="26"/>
          </w:rPr>
          <m:t>≈</m:t>
        </m:r>
        <m:r>
          <w:rPr>
            <w:rStyle w:val="math-inline"/>
            <w:rFonts w:ascii="Cambria Math" w:eastAsiaTheme="majorEastAsia" w:hAnsi="Cambria Math"/>
            <w:szCs w:val="26"/>
          </w:rPr>
          <m:t xml:space="preserve"> </m:t>
        </m:r>
      </m:oMath>
      <w:r w:rsidR="00772B59">
        <w:rPr>
          <w:rStyle w:val="math-inline"/>
          <w:szCs w:val="26"/>
        </w:rPr>
        <w:t>0,96</w:t>
      </w:r>
      <w:r w:rsidRPr="00227A60">
        <w:t xml:space="preserve">), </w:t>
      </w:r>
      <w:r w:rsidR="00764359" w:rsidRPr="00227A60">
        <w:t xml:space="preserve">cho thấy </w:t>
      </w:r>
      <w:r w:rsidRPr="00227A60">
        <w:t>giả thuyết về sự hấp phụ đơn lớp trên bề mặt đồng nhất</w:t>
      </w:r>
      <w:r w:rsidR="00764359" w:rsidRPr="00227A60">
        <w:t xml:space="preserve"> là</w:t>
      </w:r>
      <w:r w:rsidRPr="00227A60">
        <w:t xml:space="preserve"> không phản ánh đầy đủ bản chất của quá trình. Ngược lại, </w:t>
      </w:r>
      <w:r w:rsidR="00764359" w:rsidRPr="00227A60">
        <w:t xml:space="preserve">với </w:t>
      </w:r>
      <w:r w:rsidRPr="00227A60">
        <w:t xml:space="preserve">sự phù hợp cao </w:t>
      </w:r>
      <w:r w:rsidR="00764359" w:rsidRPr="00227A60">
        <w:t xml:space="preserve">hơn </w:t>
      </w:r>
      <w:r w:rsidRPr="00227A60">
        <w:t>của mô hình Freundlich (</w:t>
      </w:r>
      <w:r w:rsidR="0035450B">
        <w:t>R</w:t>
      </w:r>
      <w:r w:rsidR="0035450B">
        <w:rPr>
          <w:vertAlign w:val="superscript"/>
        </w:rPr>
        <w:t>2</w:t>
      </w:r>
      <w:r w:rsidR="0035450B">
        <w:rPr>
          <w:rStyle w:val="math-inline"/>
          <w:bCs/>
          <w:szCs w:val="26"/>
        </w:rPr>
        <w:t xml:space="preserve"> </w:t>
      </w:r>
      <m:oMath>
        <m:r>
          <m:rPr>
            <m:sty m:val="p"/>
          </m:rPr>
          <w:rPr>
            <w:rStyle w:val="math-inline"/>
            <w:rFonts w:ascii="Cambria Math" w:eastAsiaTheme="majorEastAsia" w:hAnsi="Cambria Math"/>
            <w:szCs w:val="26"/>
          </w:rPr>
          <m:t>≈</m:t>
        </m:r>
      </m:oMath>
      <w:r w:rsidR="00772B59">
        <w:rPr>
          <w:rStyle w:val="math-inline"/>
          <w:szCs w:val="26"/>
        </w:rPr>
        <w:t xml:space="preserve"> 0,99</w:t>
      </w:r>
      <w:r w:rsidRPr="00227A60">
        <w:t>) c</w:t>
      </w:r>
      <w:r w:rsidR="0043335C">
        <w:t>hứng minh</w:t>
      </w:r>
      <w:r w:rsidRPr="00227A60">
        <w:t xml:space="preserve"> bề mặt vật liệu mang tính chất không đồng nhất và quá trình hấp phụ có xu hướng hình thành đa lớp. </w:t>
      </w:r>
      <w:r w:rsidR="0035672F">
        <w:t>Thêm vào đó</w:t>
      </w:r>
      <w:r w:rsidRPr="00227A60">
        <w:t xml:space="preserve">, chỉ số cường độ hấp phụ </w:t>
      </w:r>
      <m:oMath>
        <m:sSub>
          <m:sSubPr>
            <m:ctrlPr>
              <w:rPr>
                <w:rStyle w:val="math-inline"/>
                <w:rFonts w:ascii="Cambria Math" w:eastAsiaTheme="majorEastAsia" w:hAnsi="Cambria Math"/>
                <w:bCs/>
                <w:i/>
                <w:szCs w:val="26"/>
              </w:rPr>
            </m:ctrlPr>
          </m:sSubPr>
          <m:e>
            <m:r>
              <w:rPr>
                <w:rStyle w:val="math-inline"/>
                <w:rFonts w:ascii="Cambria Math" w:eastAsiaTheme="majorEastAsia" w:hAnsi="Cambria Math"/>
                <w:szCs w:val="26"/>
              </w:rPr>
              <m:t>n</m:t>
            </m:r>
          </m:e>
          <m:sub>
            <m:r>
              <w:rPr>
                <w:rStyle w:val="math-inline"/>
                <w:rFonts w:ascii="Cambria Math" w:eastAsiaTheme="majorEastAsia" w:hAnsi="Cambria Math"/>
                <w:szCs w:val="26"/>
              </w:rPr>
              <m:t>F</m:t>
            </m:r>
          </m:sub>
        </m:sSub>
      </m:oMath>
      <w:r w:rsidRPr="00227A60">
        <w:t xml:space="preserve"> trong mô hình Freundlich đạt giá trị </w:t>
      </w:r>
      <w:r w:rsidRPr="00227A60">
        <w:rPr>
          <w:rStyle w:val="math-inline"/>
          <w:rFonts w:eastAsiaTheme="majorEastAsia"/>
          <w:szCs w:val="26"/>
        </w:rPr>
        <w:t>3,07</w:t>
      </w:r>
      <w:r w:rsidRPr="00227A60">
        <w:t>. Theo lý thuyết</w:t>
      </w:r>
      <w:r w:rsidR="0035672F">
        <w:t xml:space="preserve"> quá trình truyền khối</w:t>
      </w:r>
      <w:r w:rsidRPr="00227A60">
        <w:t>,</w:t>
      </w:r>
      <w:r w:rsidR="0035672F">
        <w:t xml:space="preserve"> với</w:t>
      </w:r>
      <w:r w:rsidRPr="00227A60">
        <w:t xml:space="preserve"> giá trị </w:t>
      </w:r>
      <m:oMath>
        <m:sSub>
          <m:sSubPr>
            <m:ctrlPr>
              <w:rPr>
                <w:rStyle w:val="math-inline"/>
                <w:rFonts w:ascii="Cambria Math" w:eastAsiaTheme="majorEastAsia" w:hAnsi="Cambria Math"/>
                <w:bCs/>
                <w:i/>
                <w:szCs w:val="26"/>
              </w:rPr>
            </m:ctrlPr>
          </m:sSubPr>
          <m:e>
            <m:r>
              <w:rPr>
                <w:rStyle w:val="math-inline"/>
                <w:rFonts w:ascii="Cambria Math" w:eastAsiaTheme="majorEastAsia" w:hAnsi="Cambria Math"/>
                <w:szCs w:val="26"/>
              </w:rPr>
              <m:t>n</m:t>
            </m:r>
          </m:e>
          <m:sub>
            <m:r>
              <w:rPr>
                <w:rStyle w:val="math-inline"/>
                <w:rFonts w:ascii="Cambria Math" w:eastAsiaTheme="majorEastAsia" w:hAnsi="Cambria Math"/>
                <w:szCs w:val="26"/>
              </w:rPr>
              <m:t>F</m:t>
            </m:r>
          </m:sub>
        </m:sSub>
      </m:oMath>
      <w:r w:rsidRPr="00227A60">
        <w:rPr>
          <w:bCs/>
        </w:rPr>
        <w:t xml:space="preserve"> </w:t>
      </w:r>
      <w:r w:rsidRPr="00227A60">
        <w:t xml:space="preserve">nằm trong khoảng </w:t>
      </w:r>
      <w:r w:rsidRPr="00227A60">
        <w:rPr>
          <w:rStyle w:val="math-inline"/>
          <w:rFonts w:eastAsiaTheme="majorEastAsia"/>
          <w:szCs w:val="26"/>
        </w:rPr>
        <w:t>1</w:t>
      </w:r>
      <w:r w:rsidR="0029349B">
        <w:t>–</w:t>
      </w:r>
      <w:r w:rsidRPr="00227A60">
        <w:rPr>
          <w:rStyle w:val="math-inline"/>
          <w:rFonts w:eastAsiaTheme="majorEastAsia"/>
          <w:szCs w:val="26"/>
        </w:rPr>
        <w:t>10</w:t>
      </w:r>
      <w:r w:rsidRPr="00227A60">
        <w:t xml:space="preserve"> là chỉ dấu quan trọng cho thấy quá trình hấp phụ diễn ra rất thuận lợi</w:t>
      </w:r>
      <w:r w:rsidR="00F46455">
        <w:t>. Đồng thời</w:t>
      </w:r>
      <w:r w:rsidR="004D5B43">
        <w:t xml:space="preserve">, kết quả này cũng </w:t>
      </w:r>
      <w:r w:rsidR="004D5B43">
        <w:lastRenderedPageBreak/>
        <w:t>phản ánh</w:t>
      </w:r>
      <w:r w:rsidR="00F46455">
        <w:t xml:space="preserve"> </w:t>
      </w:r>
      <w:r w:rsidR="00AE2B41">
        <w:t xml:space="preserve">sự hình thành liên kết bền vững </w:t>
      </w:r>
      <w:r w:rsidR="004D5B43">
        <w:t>giữa bề</w:t>
      </w:r>
      <w:r w:rsidR="00AE2B41">
        <w:t xml:space="preserve"> mặt</w:t>
      </w:r>
      <w:r w:rsidR="00F46455">
        <w:t xml:space="preserve"> </w:t>
      </w:r>
      <w:r w:rsidR="00C61282">
        <w:t>vật liệu v</w:t>
      </w:r>
      <w:r w:rsidR="004D5B43">
        <w:t>à phân tử</w:t>
      </w:r>
      <w:r w:rsidR="00C61282">
        <w:t xml:space="preserve"> chất kháng</w:t>
      </w:r>
      <w:r w:rsidR="00AE2B41">
        <w:t xml:space="preserve"> sinh</w:t>
      </w:r>
      <w:r w:rsidR="008C2287">
        <w:t>, giúp vật liệu duy trì hiệu suất xử lý cao ngay cả khi chất ô nhiễm tồn tại ở nồng độ thấp.</w:t>
      </w:r>
    </w:p>
    <w:p w14:paraId="37399C97" w14:textId="6128030B" w:rsidR="00D331D0" w:rsidRDefault="00D331D0" w:rsidP="002D549E">
      <w:pPr>
        <w:pStyle w:val="Caption"/>
        <w:keepNext/>
        <w:spacing w:after="240"/>
        <w:ind w:firstLine="0"/>
      </w:pPr>
      <w:bookmarkStart w:id="44" w:name="_Toc218004844"/>
      <w:r>
        <w:t xml:space="preserve">Bảng  </w:t>
      </w:r>
      <w:fldSimple w:instr=" STYLEREF 1 \s ">
        <w:r w:rsidR="009801F7">
          <w:rPr>
            <w:noProof/>
          </w:rPr>
          <w:t>3</w:t>
        </w:r>
      </w:fldSimple>
      <w:r w:rsidR="00CF487F">
        <w:t>.</w:t>
      </w:r>
      <w:r w:rsidR="00CF0C31">
        <w:fldChar w:fldCharType="begin"/>
      </w:r>
      <w:r w:rsidR="00CF0C31">
        <w:instrText xml:space="preserve"> SEQ B</w:instrText>
      </w:r>
      <w:r w:rsidR="00CF0C31">
        <w:instrText>ả</w:instrText>
      </w:r>
      <w:r w:rsidR="00CF0C31">
        <w:instrText xml:space="preserve">ng_ \* ARABIC \s 1 </w:instrText>
      </w:r>
      <w:r w:rsidR="00CF0C31">
        <w:fldChar w:fldCharType="separate"/>
      </w:r>
      <w:r w:rsidR="009801F7">
        <w:rPr>
          <w:noProof/>
        </w:rPr>
        <w:t>5</w:t>
      </w:r>
      <w:r w:rsidR="00CF0C31">
        <w:rPr>
          <w:noProof/>
        </w:rPr>
        <w:fldChar w:fldCharType="end"/>
      </w:r>
      <w:r>
        <w:t>. Các thông số đẳng nhiệt hấp phụ của vật liệu</w:t>
      </w:r>
      <w:r w:rsidR="003902AF">
        <w:t>.</w:t>
      </w:r>
      <w:bookmarkEnd w:id="44"/>
      <w:r w:rsidR="002D549E">
        <w:t xml:space="preserve"> </w:t>
      </w:r>
    </w:p>
    <w:tbl>
      <w:tblPr>
        <w:tblStyle w:val="LightShading"/>
        <w:tblW w:w="6520" w:type="dxa"/>
        <w:jc w:val="center"/>
        <w:tblLook w:val="04A0" w:firstRow="1" w:lastRow="0" w:firstColumn="1" w:lastColumn="0" w:noHBand="0" w:noVBand="1"/>
      </w:tblPr>
      <w:tblGrid>
        <w:gridCol w:w="2268"/>
        <w:gridCol w:w="2551"/>
        <w:gridCol w:w="1701"/>
      </w:tblGrid>
      <w:tr w:rsidR="00E32ACA" w:rsidRPr="00553202" w14:paraId="4E66C800" w14:textId="77777777" w:rsidTr="008676C8">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4B3759" w14:textId="77777777" w:rsidR="00E32ACA" w:rsidRPr="00553202" w:rsidRDefault="00E32ACA" w:rsidP="00D72BB6">
            <w:pPr>
              <w:ind w:firstLine="0"/>
              <w:jc w:val="center"/>
              <w:rPr>
                <w:rFonts w:eastAsia="Times New Roman"/>
                <w:color w:val="000000"/>
                <w:sz w:val="24"/>
                <w:szCs w:val="24"/>
                <w:lang w:eastAsia="en-GB"/>
              </w:rPr>
            </w:pPr>
            <w:r w:rsidRPr="00553202">
              <w:rPr>
                <w:rFonts w:eastAsia="Times New Roman"/>
                <w:color w:val="000000"/>
                <w:sz w:val="24"/>
                <w:szCs w:val="24"/>
                <w:lang w:eastAsia="en-GB"/>
              </w:rPr>
              <w:t>Mô hình đẳng nhiệt</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9730F0" w14:textId="77777777" w:rsidR="00E32ACA" w:rsidRPr="00553202" w:rsidRDefault="00E32ACA" w:rsidP="00D72BB6">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sidRPr="00553202">
              <w:rPr>
                <w:rFonts w:eastAsia="Times New Roman"/>
                <w:color w:val="000000"/>
                <w:sz w:val="24"/>
                <w:szCs w:val="24"/>
                <w:lang w:eastAsia="en-GB"/>
              </w:rPr>
              <w:t>Hệ số xác định</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3D5EB2" w14:textId="02921F97" w:rsidR="00E32ACA" w:rsidRPr="00553202" w:rsidRDefault="006279FE" w:rsidP="00D72BB6">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Giá trị</w:t>
            </w:r>
          </w:p>
        </w:tc>
      </w:tr>
      <w:tr w:rsidR="00E32ACA" w:rsidRPr="00553202" w14:paraId="615C6BD8" w14:textId="77777777" w:rsidTr="008676C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39339" w14:textId="77777777" w:rsidR="00E32ACA" w:rsidRPr="00553202" w:rsidRDefault="00E32ACA" w:rsidP="00D72BB6">
            <w:pPr>
              <w:ind w:firstLine="0"/>
              <w:jc w:val="center"/>
              <w:rPr>
                <w:rFonts w:eastAsia="Times New Roman"/>
                <w:color w:val="000000"/>
                <w:sz w:val="24"/>
                <w:szCs w:val="24"/>
                <w:lang w:eastAsia="en-GB"/>
              </w:rPr>
            </w:pPr>
            <w:r w:rsidRPr="00553202">
              <w:rPr>
                <w:rFonts w:eastAsia="Times New Roman"/>
                <w:color w:val="000000"/>
                <w:sz w:val="24"/>
                <w:szCs w:val="24"/>
                <w:lang w:eastAsia="en-GB"/>
              </w:rPr>
              <w:t>Langmuir</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3C8C7" w14:textId="77777777" w:rsidR="00E32ACA" w:rsidRPr="008C6F51" w:rsidRDefault="00E32ACA"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i/>
                <w:iCs/>
                <w:color w:val="000000"/>
                <w:sz w:val="24"/>
                <w:szCs w:val="24"/>
                <w:lang w:eastAsia="en-GB"/>
              </w:rPr>
            </w:pPr>
            <w:r w:rsidRPr="008C6F51">
              <w:rPr>
                <w:rFonts w:eastAsia="Times New Roman"/>
                <w:i/>
                <w:iCs/>
                <w:color w:val="000000"/>
                <w:sz w:val="24"/>
                <w:szCs w:val="24"/>
                <w:lang w:eastAsia="en-GB"/>
              </w:rPr>
              <w:t>q</w:t>
            </w:r>
            <w:r w:rsidRPr="008C6F51">
              <w:rPr>
                <w:rFonts w:eastAsia="Times New Roman"/>
                <w:i/>
                <w:iCs/>
                <w:color w:val="000000"/>
                <w:sz w:val="24"/>
                <w:szCs w:val="24"/>
                <w:vertAlign w:val="subscript"/>
                <w:lang w:eastAsia="en-GB"/>
              </w:rPr>
              <w:t xml:space="preserve">m </w:t>
            </w:r>
            <w:r w:rsidRPr="008C6F51">
              <w:rPr>
                <w:rFonts w:eastAsia="Times New Roman"/>
                <w:color w:val="000000"/>
                <w:sz w:val="24"/>
                <w:szCs w:val="24"/>
                <w:lang w:eastAsia="en-GB"/>
              </w:rPr>
              <w:t>(mg/g)</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3A3050" w14:textId="1C8EA900" w:rsidR="00E32ACA" w:rsidRPr="00553202" w:rsidRDefault="00020949"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31,16</w:t>
            </w:r>
          </w:p>
        </w:tc>
      </w:tr>
      <w:tr w:rsidR="00E32ACA" w:rsidRPr="00553202" w14:paraId="6DD41173" w14:textId="77777777" w:rsidTr="008676C8">
        <w:trPr>
          <w:trHeight w:val="315"/>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A214D6" w14:textId="77777777" w:rsidR="00E32ACA" w:rsidRPr="00553202" w:rsidRDefault="00E32ACA" w:rsidP="00D72BB6">
            <w:pPr>
              <w:jc w:val="center"/>
              <w:rPr>
                <w:rFonts w:eastAsia="Times New Roman"/>
                <w:color w:val="000000"/>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0627A4" w14:textId="269FF74C" w:rsidR="00E32ACA" w:rsidRPr="008C6F51" w:rsidRDefault="00E32ACA"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i/>
                <w:iCs/>
                <w:color w:val="000000"/>
                <w:sz w:val="24"/>
                <w:szCs w:val="24"/>
                <w:lang w:eastAsia="en-GB"/>
              </w:rPr>
            </w:pPr>
            <w:r w:rsidRPr="008C6F51">
              <w:rPr>
                <w:rFonts w:eastAsia="Times New Roman"/>
                <w:i/>
                <w:iCs/>
                <w:color w:val="000000"/>
                <w:sz w:val="24"/>
                <w:szCs w:val="24"/>
                <w:lang w:eastAsia="en-GB"/>
              </w:rPr>
              <w:t>K</w:t>
            </w:r>
            <w:r w:rsidRPr="008C6F51">
              <w:rPr>
                <w:rFonts w:eastAsia="Times New Roman"/>
                <w:i/>
                <w:iCs/>
                <w:color w:val="000000"/>
                <w:sz w:val="24"/>
                <w:szCs w:val="24"/>
                <w:vertAlign w:val="subscript"/>
                <w:lang w:eastAsia="en-GB"/>
              </w:rPr>
              <w:t xml:space="preserve">L </w:t>
            </w:r>
            <w:r w:rsidRPr="008C6F51">
              <w:rPr>
                <w:rFonts w:eastAsia="Times New Roman"/>
                <w:color w:val="000000"/>
                <w:sz w:val="24"/>
                <w:szCs w:val="24"/>
                <w:lang w:eastAsia="en-GB"/>
              </w:rPr>
              <w:t>(L/</w:t>
            </w:r>
            <w:r w:rsidR="00020949" w:rsidRPr="008C6F51">
              <w:rPr>
                <w:rFonts w:eastAsia="Times New Roman"/>
                <w:color w:val="000000"/>
                <w:sz w:val="24"/>
                <w:szCs w:val="24"/>
                <w:lang w:eastAsia="en-GB"/>
              </w:rPr>
              <w:t>m</w:t>
            </w:r>
            <w:r w:rsidRPr="008C6F51">
              <w:rPr>
                <w:rFonts w:eastAsia="Times New Roman"/>
                <w:color w:val="000000"/>
                <w:sz w:val="24"/>
                <w:szCs w:val="24"/>
                <w:lang w:eastAsia="en-GB"/>
              </w:rPr>
              <w:t>g)</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2B8683" w14:textId="3213C7E2" w:rsidR="00E32ACA" w:rsidRPr="00553202" w:rsidRDefault="00020949"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0,058</w:t>
            </w:r>
          </w:p>
        </w:tc>
      </w:tr>
      <w:tr w:rsidR="00E308AC" w:rsidRPr="00553202" w14:paraId="6F77E126" w14:textId="77777777" w:rsidTr="00CD0CA8">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AE5C04" w14:textId="77777777" w:rsidR="00E308AC" w:rsidRPr="00553202" w:rsidRDefault="00E308AC" w:rsidP="00D72BB6">
            <w:pPr>
              <w:jc w:val="center"/>
              <w:rPr>
                <w:rFonts w:eastAsia="Times New Roman"/>
                <w:color w:val="000000"/>
                <w:sz w:val="24"/>
                <w:szCs w:val="24"/>
                <w:lang w:eastAsia="en-GB"/>
              </w:rPr>
            </w:pPr>
          </w:p>
        </w:tc>
        <w:tc>
          <w:tcPr>
            <w:tcW w:w="2551" w:type="dxa"/>
            <w:tcBorders>
              <w:top w:val="single" w:sz="4" w:space="0" w:color="auto"/>
              <w:left w:val="single" w:sz="4" w:space="0" w:color="auto"/>
              <w:right w:val="single" w:sz="4" w:space="0" w:color="auto"/>
            </w:tcBorders>
            <w:shd w:val="clear" w:color="auto" w:fill="FFFFFF"/>
            <w:noWrap/>
            <w:vAlign w:val="center"/>
            <w:hideMark/>
          </w:tcPr>
          <w:p w14:paraId="6B0CED60" w14:textId="77777777" w:rsidR="00E308AC" w:rsidRPr="008C6F51" w:rsidRDefault="00E308AC"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i/>
                <w:iCs/>
                <w:color w:val="000000"/>
                <w:sz w:val="24"/>
                <w:szCs w:val="24"/>
                <w:lang w:eastAsia="en-GB"/>
              </w:rPr>
            </w:pPr>
            <w:r w:rsidRPr="008C6F51">
              <w:rPr>
                <w:rFonts w:eastAsia="Times New Roman"/>
                <w:i/>
                <w:iCs/>
                <w:color w:val="000000"/>
                <w:sz w:val="24"/>
                <w:szCs w:val="24"/>
                <w:lang w:eastAsia="en-GB"/>
              </w:rPr>
              <w:t>R</w:t>
            </w:r>
            <w:r w:rsidRPr="008C6F51">
              <w:rPr>
                <w:rFonts w:eastAsia="Times New Roman"/>
                <w:i/>
                <w:iCs/>
                <w:color w:val="000000"/>
                <w:sz w:val="24"/>
                <w:szCs w:val="24"/>
                <w:vertAlign w:val="superscript"/>
                <w:lang w:eastAsia="en-GB"/>
              </w:rPr>
              <w:t>2</w:t>
            </w:r>
          </w:p>
        </w:tc>
        <w:tc>
          <w:tcPr>
            <w:tcW w:w="1701" w:type="dxa"/>
            <w:tcBorders>
              <w:top w:val="single" w:sz="4" w:space="0" w:color="auto"/>
              <w:left w:val="single" w:sz="4" w:space="0" w:color="auto"/>
              <w:right w:val="single" w:sz="4" w:space="0" w:color="auto"/>
            </w:tcBorders>
            <w:shd w:val="clear" w:color="auto" w:fill="FFFFFF"/>
            <w:noWrap/>
            <w:vAlign w:val="center"/>
            <w:hideMark/>
          </w:tcPr>
          <w:p w14:paraId="69FB79AD" w14:textId="7720918C" w:rsidR="00E308AC" w:rsidRPr="00553202" w:rsidRDefault="00E308AC"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en-GB"/>
              </w:rPr>
            </w:pPr>
            <w:r w:rsidRPr="00553202">
              <w:rPr>
                <w:rFonts w:eastAsia="Times New Roman"/>
                <w:color w:val="000000"/>
                <w:sz w:val="24"/>
                <w:szCs w:val="24"/>
                <w:lang w:eastAsia="en-GB"/>
              </w:rPr>
              <w:t>0,9</w:t>
            </w:r>
            <w:r>
              <w:rPr>
                <w:rFonts w:eastAsia="Times New Roman"/>
                <w:color w:val="000000"/>
                <w:sz w:val="24"/>
                <w:szCs w:val="24"/>
                <w:lang w:eastAsia="en-GB"/>
              </w:rPr>
              <w:t>6</w:t>
            </w:r>
          </w:p>
        </w:tc>
      </w:tr>
      <w:tr w:rsidR="006A1EE7" w:rsidRPr="00553202" w14:paraId="5E732CE2" w14:textId="77777777" w:rsidTr="008676C8">
        <w:trPr>
          <w:trHeight w:val="315"/>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7375C" w14:textId="6C6EF4C8" w:rsidR="006A1EE7" w:rsidRPr="00553202" w:rsidRDefault="006A1EE7" w:rsidP="00D72BB6">
            <w:pPr>
              <w:ind w:firstLine="0"/>
              <w:jc w:val="center"/>
              <w:rPr>
                <w:rFonts w:eastAsia="Times New Roman"/>
                <w:color w:val="000000"/>
                <w:sz w:val="24"/>
                <w:szCs w:val="24"/>
                <w:lang w:eastAsia="en-GB"/>
              </w:rPr>
            </w:pPr>
            <w:r w:rsidRPr="00553202">
              <w:rPr>
                <w:rFonts w:eastAsia="Times New Roman"/>
                <w:color w:val="000000"/>
                <w:sz w:val="24"/>
                <w:szCs w:val="24"/>
                <w:lang w:eastAsia="en-GB"/>
              </w:rPr>
              <w:t>Freu</w:t>
            </w:r>
            <w:r w:rsidR="000C18C1">
              <w:rPr>
                <w:rFonts w:eastAsia="Times New Roman"/>
                <w:color w:val="000000"/>
                <w:sz w:val="24"/>
                <w:szCs w:val="24"/>
                <w:lang w:eastAsia="en-GB"/>
              </w:rPr>
              <w:t>n</w:t>
            </w:r>
            <w:r w:rsidRPr="00553202">
              <w:rPr>
                <w:rFonts w:eastAsia="Times New Roman"/>
                <w:color w:val="000000"/>
                <w:sz w:val="24"/>
                <w:szCs w:val="24"/>
                <w:lang w:eastAsia="en-GB"/>
              </w:rPr>
              <w:t>dlich</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039C9C" w14:textId="50F8C7BF" w:rsidR="006A1EE7" w:rsidRPr="008C6F51" w:rsidRDefault="006A1EE7"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i/>
                <w:iCs/>
                <w:color w:val="000000"/>
                <w:sz w:val="24"/>
                <w:szCs w:val="24"/>
                <w:lang w:eastAsia="en-GB"/>
              </w:rPr>
            </w:pPr>
            <w:r w:rsidRPr="008C6F51">
              <w:rPr>
                <w:i/>
                <w:iCs/>
                <w:color w:val="000000"/>
              </w:rPr>
              <w:t>K</w:t>
            </w:r>
            <w:r w:rsidRPr="008C6F51">
              <w:rPr>
                <w:i/>
                <w:iCs/>
                <w:color w:val="000000"/>
                <w:vertAlign w:val="subscript"/>
              </w:rPr>
              <w:t xml:space="preserve">F </w:t>
            </w:r>
            <w:r w:rsidRPr="008C6F51">
              <w:rPr>
                <w:color w:val="000000"/>
              </w:rPr>
              <w:t>(L.mg</w:t>
            </w:r>
            <w:r w:rsidRPr="008C6F51">
              <w:rPr>
                <w:color w:val="000000"/>
                <w:vertAlign w:val="superscript"/>
              </w:rPr>
              <w:t>-1</w:t>
            </w:r>
            <w:r w:rsidRPr="008C6F51">
              <w:rPr>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9C04DB" w14:textId="0C88C1D5" w:rsidR="006A1EE7" w:rsidRPr="00553202" w:rsidRDefault="006E7456"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5,52</w:t>
            </w:r>
          </w:p>
        </w:tc>
      </w:tr>
      <w:tr w:rsidR="006A1EE7" w:rsidRPr="00553202" w14:paraId="66CA6963" w14:textId="77777777" w:rsidTr="008676C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8DC674" w14:textId="77777777" w:rsidR="006A1EE7" w:rsidRPr="00553202" w:rsidRDefault="006A1EE7" w:rsidP="00D72BB6">
            <w:pPr>
              <w:jc w:val="center"/>
              <w:rPr>
                <w:rFonts w:eastAsia="Times New Roman"/>
                <w:color w:val="000000"/>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02F647" w14:textId="5A5E3F97" w:rsidR="006A1EE7" w:rsidRPr="008C6F51" w:rsidRDefault="006A1EE7"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i/>
                <w:iCs/>
                <w:color w:val="000000"/>
                <w:sz w:val="24"/>
                <w:szCs w:val="24"/>
                <w:lang w:eastAsia="en-GB"/>
              </w:rPr>
            </w:pPr>
            <w:r w:rsidRPr="008C6F51">
              <w:rPr>
                <w:i/>
                <w:iCs/>
                <w:color w:val="000000"/>
              </w:rPr>
              <w:t>n</w:t>
            </w:r>
            <w:r w:rsidRPr="008C6F51">
              <w:rPr>
                <w:i/>
                <w:iCs/>
                <w:color w:val="000000"/>
                <w:vertAlign w:val="subscript"/>
              </w:rPr>
              <w:t>F</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AEED18" w14:textId="184A7BC2" w:rsidR="006A1EE7" w:rsidRPr="00553202" w:rsidRDefault="006E7456"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3,07</w:t>
            </w:r>
          </w:p>
        </w:tc>
      </w:tr>
      <w:tr w:rsidR="006A1EE7" w:rsidRPr="00553202" w14:paraId="5CBA070D" w14:textId="77777777" w:rsidTr="002D7168">
        <w:trPr>
          <w:trHeight w:val="374"/>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39F997" w14:textId="77777777" w:rsidR="006A1EE7" w:rsidRPr="00553202" w:rsidRDefault="006A1EE7" w:rsidP="00D72BB6">
            <w:pPr>
              <w:jc w:val="center"/>
              <w:rPr>
                <w:rFonts w:eastAsia="Times New Roman"/>
                <w:color w:val="000000"/>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291503" w14:textId="490A54E6" w:rsidR="006A1EE7" w:rsidRPr="008C6F51" w:rsidRDefault="006A1EE7"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i/>
                <w:iCs/>
                <w:color w:val="000000"/>
                <w:sz w:val="24"/>
                <w:szCs w:val="24"/>
                <w:lang w:eastAsia="en-GB"/>
              </w:rPr>
            </w:pPr>
            <w:r w:rsidRPr="008C6F51">
              <w:rPr>
                <w:i/>
                <w:iCs/>
                <w:color w:val="000000"/>
              </w:rPr>
              <w:t>R</w:t>
            </w:r>
            <w:r w:rsidRPr="008C6F51">
              <w:rPr>
                <w:i/>
                <w:iCs/>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17D101" w14:textId="377CA836" w:rsidR="006A1EE7" w:rsidRPr="00553202" w:rsidRDefault="006A1EE7"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sidRPr="00553202">
              <w:rPr>
                <w:rFonts w:eastAsia="Times New Roman"/>
                <w:color w:val="000000"/>
                <w:sz w:val="24"/>
                <w:szCs w:val="24"/>
                <w:lang w:eastAsia="en-GB"/>
              </w:rPr>
              <w:t>0,9</w:t>
            </w:r>
            <w:r w:rsidR="006E7456">
              <w:rPr>
                <w:rFonts w:eastAsia="Times New Roman"/>
                <w:color w:val="000000"/>
                <w:sz w:val="24"/>
                <w:szCs w:val="24"/>
                <w:lang w:eastAsia="en-GB"/>
              </w:rPr>
              <w:t>90</w:t>
            </w:r>
          </w:p>
        </w:tc>
      </w:tr>
      <w:tr w:rsidR="00E32ACA" w:rsidRPr="00553202" w14:paraId="43C830B1" w14:textId="77777777" w:rsidTr="008676C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DBDE84" w14:textId="1A09DC40" w:rsidR="00E32ACA" w:rsidRPr="00553202" w:rsidRDefault="00E32ACA" w:rsidP="00D72BB6">
            <w:pPr>
              <w:ind w:firstLine="0"/>
              <w:jc w:val="center"/>
              <w:rPr>
                <w:rFonts w:eastAsia="Times New Roman"/>
                <w:color w:val="000000"/>
                <w:sz w:val="24"/>
                <w:szCs w:val="24"/>
                <w:lang w:eastAsia="en-GB"/>
              </w:rPr>
            </w:pPr>
            <w:r w:rsidRPr="00553202">
              <w:rPr>
                <w:rFonts w:eastAsia="Times New Roman"/>
                <w:color w:val="000000"/>
                <w:sz w:val="24"/>
                <w:szCs w:val="24"/>
                <w:lang w:eastAsia="en-GB"/>
              </w:rPr>
              <w:t>Redlich-Peterson</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F43DE6" w14:textId="6BBBF74F" w:rsidR="00E32ACA" w:rsidRPr="008C6F51" w:rsidRDefault="00631CA2" w:rsidP="00D72BB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i/>
                <w:iCs/>
                <w:color w:val="000000"/>
                <w:sz w:val="24"/>
                <w:szCs w:val="24"/>
                <w:lang w:eastAsia="en-US"/>
              </w:rPr>
            </w:pPr>
            <w:r w:rsidRPr="008C6F51">
              <w:rPr>
                <w:i/>
                <w:iCs/>
                <w:color w:val="000000"/>
              </w:rPr>
              <w:t>K</w:t>
            </w:r>
            <w:r w:rsidRPr="008C6F51">
              <w:rPr>
                <w:i/>
                <w:iCs/>
                <w:color w:val="000000"/>
                <w:vertAlign w:val="subscript"/>
              </w:rPr>
              <w:t xml:space="preserve">RP </w:t>
            </w:r>
            <w:r w:rsidRPr="008C6F51">
              <w:rPr>
                <w:color w:val="000000"/>
              </w:rPr>
              <w:t>(L.mg</w:t>
            </w:r>
            <w:r w:rsidRPr="008C6F51">
              <w:rPr>
                <w:color w:val="000000"/>
                <w:vertAlign w:val="superscript"/>
              </w:rPr>
              <w:t>-1</w:t>
            </w:r>
            <w:r w:rsidRPr="008C6F51">
              <w:rPr>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F7997D" w14:textId="04EB0F5A" w:rsidR="00E32ACA" w:rsidRPr="00553202" w:rsidRDefault="00631CA2"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5,08</w:t>
            </w:r>
          </w:p>
        </w:tc>
      </w:tr>
      <w:tr w:rsidR="00E32ACA" w:rsidRPr="00553202" w14:paraId="21C9C68E" w14:textId="77777777" w:rsidTr="008676C8">
        <w:trPr>
          <w:trHeight w:val="315"/>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00DFCC" w14:textId="77777777" w:rsidR="00E32ACA" w:rsidRPr="00553202" w:rsidRDefault="00E32ACA" w:rsidP="00D94AFD">
            <w:pPr>
              <w:jc w:val="center"/>
              <w:rPr>
                <w:rFonts w:eastAsia="Times New Roman"/>
                <w:color w:val="000000"/>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968BB9" w14:textId="68A410E9" w:rsidR="00E32ACA" w:rsidRPr="008C6F51" w:rsidRDefault="00631CA2" w:rsidP="00D72BB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i/>
                <w:iCs/>
                <w:color w:val="000000"/>
                <w:sz w:val="24"/>
                <w:szCs w:val="24"/>
                <w:lang w:eastAsia="en-US"/>
              </w:rPr>
            </w:pPr>
            <w:r w:rsidRPr="008C6F51">
              <w:rPr>
                <w:i/>
                <w:iCs/>
                <w:color w:val="000000"/>
              </w:rPr>
              <w:t>a</w:t>
            </w:r>
            <w:r w:rsidRPr="008C6F51">
              <w:rPr>
                <w:i/>
                <w:iCs/>
                <w:color w:val="000000"/>
                <w:vertAlign w:val="subscript"/>
              </w:rPr>
              <w:t xml:space="preserve">RP </w:t>
            </w:r>
            <w:r w:rsidRPr="008C6F51">
              <w:rPr>
                <w:color w:val="000000"/>
              </w:rPr>
              <w:t>(L.mg</w:t>
            </w:r>
            <w:r w:rsidRPr="008C6F51">
              <w:rPr>
                <w:color w:val="000000"/>
                <w:vertAlign w:val="superscript"/>
              </w:rPr>
              <w:t>-1</w:t>
            </w:r>
            <w:r w:rsidRPr="008C6F51">
              <w:rPr>
                <w:color w:val="000000"/>
              </w:rPr>
              <w:t>)</w:t>
            </w:r>
            <w:r w:rsidRPr="008C6F51">
              <w:rPr>
                <w:color w:val="000000"/>
                <w:vertAlign w:val="superscript"/>
              </w:rPr>
              <w:t>g</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7B005C" w14:textId="3441D4AB" w:rsidR="00E32ACA" w:rsidRPr="00553202" w:rsidRDefault="00E32ACA"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sidRPr="00553202">
              <w:rPr>
                <w:rFonts w:eastAsia="Times New Roman"/>
                <w:color w:val="000000"/>
                <w:sz w:val="24"/>
                <w:szCs w:val="24"/>
                <w:lang w:eastAsia="en-GB"/>
              </w:rPr>
              <w:t>0</w:t>
            </w:r>
            <w:r w:rsidR="006E7456">
              <w:rPr>
                <w:rFonts w:eastAsia="Times New Roman"/>
                <w:color w:val="000000"/>
                <w:sz w:val="24"/>
                <w:szCs w:val="24"/>
                <w:lang w:eastAsia="en-GB"/>
              </w:rPr>
              <w:t>,553</w:t>
            </w:r>
          </w:p>
        </w:tc>
      </w:tr>
      <w:tr w:rsidR="006A1EE7" w:rsidRPr="00553202" w14:paraId="009681D8" w14:textId="77777777" w:rsidTr="00CD0CA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4AFD8A4" w14:textId="77777777" w:rsidR="006A1EE7" w:rsidRPr="00553202" w:rsidRDefault="006A1EE7" w:rsidP="00D94AFD">
            <w:pPr>
              <w:jc w:val="center"/>
              <w:rPr>
                <w:rFonts w:eastAsia="Times New Roman"/>
                <w:color w:val="000000"/>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16E366" w14:textId="0F89CEF0" w:rsidR="006A1EE7" w:rsidRPr="008C6F51" w:rsidRDefault="00631CA2"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i/>
                <w:iCs/>
                <w:color w:val="000000"/>
                <w:sz w:val="24"/>
                <w:szCs w:val="24"/>
                <w:lang w:eastAsia="en-GB"/>
              </w:rPr>
            </w:pPr>
            <w:r w:rsidRPr="008C6F51">
              <w:rPr>
                <w:rFonts w:eastAsia="Times New Roman"/>
                <w:i/>
                <w:iCs/>
                <w:color w:val="000000"/>
                <w:sz w:val="24"/>
                <w:szCs w:val="24"/>
                <w:lang w:eastAsia="en-GB"/>
              </w:rPr>
              <w:t>g</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1E6F09" w14:textId="4956469A" w:rsidR="00631CA2" w:rsidRPr="00553202" w:rsidRDefault="00631CA2" w:rsidP="00D72BB6">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en-GB"/>
              </w:rPr>
            </w:pPr>
            <w:r>
              <w:rPr>
                <w:rFonts w:eastAsia="Times New Roman"/>
                <w:color w:val="000000"/>
                <w:sz w:val="24"/>
                <w:szCs w:val="24"/>
                <w:lang w:eastAsia="en-GB"/>
              </w:rPr>
              <w:t>0</w:t>
            </w:r>
            <w:r w:rsidR="0043753F">
              <w:rPr>
                <w:rFonts w:eastAsia="Times New Roman"/>
                <w:color w:val="000000"/>
                <w:sz w:val="24"/>
                <w:szCs w:val="24"/>
                <w:lang w:eastAsia="en-GB"/>
              </w:rPr>
              <w:t>,</w:t>
            </w:r>
            <w:r>
              <w:rPr>
                <w:rFonts w:eastAsia="Times New Roman"/>
                <w:color w:val="000000"/>
                <w:sz w:val="24"/>
                <w:szCs w:val="24"/>
                <w:lang w:eastAsia="en-GB"/>
              </w:rPr>
              <w:t>769</w:t>
            </w:r>
          </w:p>
        </w:tc>
      </w:tr>
      <w:tr w:rsidR="00E32ACA" w:rsidRPr="00553202" w14:paraId="61076C99" w14:textId="77777777" w:rsidTr="00CD0CA8">
        <w:trPr>
          <w:trHeight w:val="361"/>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D2F640" w14:textId="77777777" w:rsidR="00E32ACA" w:rsidRPr="00553202" w:rsidRDefault="00E32ACA" w:rsidP="00D94AFD">
            <w:pPr>
              <w:jc w:val="center"/>
              <w:rPr>
                <w:rFonts w:eastAsia="Times New Roman"/>
                <w:color w:val="000000"/>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3DC5B9" w14:textId="540BE290" w:rsidR="00E32ACA" w:rsidRPr="008C6F51" w:rsidRDefault="00E32ACA"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i/>
                <w:iCs/>
                <w:color w:val="000000"/>
                <w:sz w:val="24"/>
                <w:szCs w:val="24"/>
                <w:lang w:eastAsia="en-GB"/>
              </w:rPr>
            </w:pPr>
            <w:r w:rsidRPr="008C6F51">
              <w:rPr>
                <w:rFonts w:eastAsia="Times New Roman"/>
                <w:i/>
                <w:iCs/>
                <w:color w:val="000000"/>
                <w:sz w:val="24"/>
                <w:szCs w:val="24"/>
                <w:lang w:eastAsia="en-GB"/>
              </w:rPr>
              <w:t>R</w:t>
            </w:r>
            <w:r w:rsidRPr="008C6F51">
              <w:rPr>
                <w:rFonts w:eastAsia="Times New Roman"/>
                <w:i/>
                <w:iCs/>
                <w:color w:val="000000"/>
                <w:sz w:val="24"/>
                <w:szCs w:val="24"/>
                <w:vertAlign w:val="superscript"/>
                <w:lang w:eastAsia="en-GB"/>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D72732" w14:textId="7B92F4F0" w:rsidR="00E32ACA" w:rsidRPr="00553202" w:rsidRDefault="00E32ACA" w:rsidP="00D72BB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en-GB"/>
              </w:rPr>
            </w:pPr>
            <w:r w:rsidRPr="00553202">
              <w:rPr>
                <w:rFonts w:eastAsia="Times New Roman"/>
                <w:color w:val="000000"/>
                <w:sz w:val="24"/>
                <w:szCs w:val="24"/>
                <w:lang w:eastAsia="en-GB"/>
              </w:rPr>
              <w:t>0,998</w:t>
            </w:r>
            <w:r w:rsidR="00631CA2">
              <w:rPr>
                <w:rFonts w:eastAsia="Times New Roman"/>
                <w:color w:val="000000"/>
                <w:sz w:val="24"/>
                <w:szCs w:val="24"/>
                <w:lang w:eastAsia="en-GB"/>
              </w:rPr>
              <w:t>6</w:t>
            </w:r>
          </w:p>
        </w:tc>
      </w:tr>
    </w:tbl>
    <w:p w14:paraId="23F4F2D3" w14:textId="77777777" w:rsidR="00596B0F" w:rsidRPr="00D331D0" w:rsidRDefault="00596B0F" w:rsidP="00596B0F">
      <w:pPr>
        <w:spacing w:before="240"/>
        <w:jc w:val="both"/>
      </w:pPr>
      <w:r w:rsidRPr="0002112E">
        <w:t xml:space="preserve">Kết quả này được củng cố thêm bởi mô hình ba thông số Redlich-Peterson, mô hình cho kết quả khớp tốt nhất với hệ số </w:t>
      </w:r>
      <m:oMath>
        <m:sSup>
          <m:sSupPr>
            <m:ctrlPr>
              <w:rPr>
                <w:rStyle w:val="math-inline"/>
                <w:rFonts w:ascii="Cambria Math" w:eastAsiaTheme="majorEastAsia" w:hAnsi="Cambria Math"/>
                <w:i/>
                <w:szCs w:val="26"/>
              </w:rPr>
            </m:ctrlPr>
          </m:sSupPr>
          <m:e>
            <m:r>
              <w:rPr>
                <w:rStyle w:val="math-inline"/>
                <w:rFonts w:ascii="Cambria Math" w:eastAsiaTheme="majorEastAsia" w:hAnsi="Cambria Math"/>
                <w:szCs w:val="26"/>
              </w:rPr>
              <m:t>R</m:t>
            </m:r>
          </m:e>
          <m:sup>
            <m:r>
              <w:rPr>
                <w:rStyle w:val="math-inline"/>
                <w:rFonts w:ascii="Cambria Math" w:eastAsiaTheme="majorEastAsia" w:hAnsi="Cambria Math"/>
                <w:szCs w:val="26"/>
              </w:rPr>
              <m:t>2</m:t>
            </m:r>
          </m:sup>
        </m:sSup>
      </m:oMath>
      <w:r w:rsidRPr="0002112E">
        <w:t xml:space="preserve"> đạt </w:t>
      </w:r>
      <w:r w:rsidRPr="0002112E">
        <w:rPr>
          <w:rStyle w:val="math-inline"/>
          <w:rFonts w:eastAsiaTheme="majorEastAsia"/>
          <w:szCs w:val="26"/>
        </w:rPr>
        <w:t>0,998</w:t>
      </w:r>
      <w:r w:rsidRPr="0002112E">
        <w:t xml:space="preserve">. Giá trị số mũ </w:t>
      </w:r>
      <m:oMath>
        <m:r>
          <w:rPr>
            <w:rStyle w:val="math-inline"/>
            <w:rFonts w:ascii="Cambria Math" w:eastAsiaTheme="majorEastAsia" w:hAnsi="Cambria Math"/>
            <w:szCs w:val="26"/>
          </w:rPr>
          <m:t>g</m:t>
        </m:r>
      </m:oMath>
      <w:r w:rsidRPr="0002112E">
        <w:t xml:space="preserve"> tìm được là </w:t>
      </w:r>
      <w:r w:rsidRPr="0002112E">
        <w:rPr>
          <w:rStyle w:val="math-inline"/>
          <w:rFonts w:eastAsiaTheme="majorEastAsia"/>
          <w:szCs w:val="26"/>
        </w:rPr>
        <w:t>0,769</w:t>
      </w:r>
      <w:r>
        <w:t xml:space="preserve"> &lt; 1</w:t>
      </w:r>
      <w:r w:rsidRPr="0002112E">
        <w:t>, từ đó</w:t>
      </w:r>
      <w:r>
        <w:t xml:space="preserve"> cũng</w:t>
      </w:r>
      <w:r w:rsidRPr="0002112E">
        <w:t xml:space="preserve"> chỉ ra cơ chế hấp phụ của vật liệu mang tính chất lai, tiệm cận với mô hình Freundlich ở vùng nồng độ cao. Tổng hợp lại, quá trình hấp phụ chủ yếu diễn ra theo cơ chế hấp phụ đa lớp trên bề mặt không đồng nhất với dung lượng hấp phụ cực đại </w:t>
      </w:r>
      <w:r>
        <w:t>là</w:t>
      </w:r>
      <w:r w:rsidRPr="0002112E">
        <w:t xml:space="preserve"> </w:t>
      </w:r>
      <w:r w:rsidRPr="0002112E">
        <w:rPr>
          <w:rStyle w:val="math-inline"/>
          <w:rFonts w:eastAsiaTheme="majorEastAsia"/>
          <w:szCs w:val="26"/>
        </w:rPr>
        <w:t>31,16</w:t>
      </w:r>
      <w:r w:rsidRPr="0002112E">
        <w:t xml:space="preserve"> mg/g</w:t>
      </w:r>
      <w:r>
        <w:t>.</w:t>
      </w:r>
    </w:p>
    <w:p w14:paraId="33FE8152" w14:textId="77777777" w:rsidR="00596B0F" w:rsidRPr="00950A4E" w:rsidRDefault="00596B0F" w:rsidP="00950A4E">
      <w:pPr>
        <w:rPr>
          <w:lang w:eastAsia="en-US"/>
        </w:rPr>
      </w:pPr>
    </w:p>
    <w:p w14:paraId="309556D1" w14:textId="77777777" w:rsidR="00545435" w:rsidRDefault="00545435" w:rsidP="003273CB">
      <w:pPr>
        <w:rPr>
          <w:lang w:val="vi-VN"/>
        </w:rPr>
      </w:pPr>
      <w:r>
        <w:rPr>
          <w:lang w:val="vi-VN"/>
        </w:rPr>
        <w:br w:type="page"/>
      </w:r>
    </w:p>
    <w:p w14:paraId="239F0229" w14:textId="77777777" w:rsidR="00D957C6" w:rsidRPr="009E6960" w:rsidRDefault="00D957C6" w:rsidP="003E227E">
      <w:pPr>
        <w:pStyle w:val="Heading1"/>
        <w:numPr>
          <w:ilvl w:val="0"/>
          <w:numId w:val="0"/>
        </w:numPr>
        <w:rPr>
          <w:lang w:val="vi-VN"/>
        </w:rPr>
      </w:pPr>
      <w:bookmarkStart w:id="45" w:name="_Toc195572592"/>
      <w:bookmarkStart w:id="46" w:name="_Toc233142643"/>
      <w:r w:rsidRPr="009E6960">
        <w:rPr>
          <w:lang w:val="vi-VN"/>
        </w:rPr>
        <w:lastRenderedPageBreak/>
        <w:t>KẾT LUẬN</w:t>
      </w:r>
      <w:bookmarkEnd w:id="46"/>
    </w:p>
    <w:p w14:paraId="26229478" w14:textId="77777777" w:rsidR="00D957C6" w:rsidRPr="009E6960" w:rsidRDefault="00D957C6" w:rsidP="00E142CF">
      <w:pPr>
        <w:ind w:firstLine="454"/>
        <w:jc w:val="both"/>
        <w:rPr>
          <w:lang w:val="vi-VN"/>
        </w:rPr>
      </w:pPr>
      <w:r w:rsidRPr="009E6960">
        <w:rPr>
          <w:lang w:val="vi-VN"/>
        </w:rPr>
        <w:t>Dựa trên quá trình thực nghiệm và phân tích số liệu, đồ án đã đạt được các kết quả quan trọng sau đây:</w:t>
      </w:r>
    </w:p>
    <w:p w14:paraId="23791C83" w14:textId="22FF5689" w:rsidR="00D957C6" w:rsidRPr="009E6960" w:rsidRDefault="00D957C6" w:rsidP="00E142CF">
      <w:pPr>
        <w:ind w:firstLine="454"/>
        <w:jc w:val="both"/>
        <w:rPr>
          <w:b/>
          <w:bCs/>
          <w:lang w:val="vi-VN"/>
        </w:rPr>
      </w:pPr>
      <w:r w:rsidRPr="009E6960">
        <w:rPr>
          <w:lang w:val="vi-VN"/>
        </w:rPr>
        <w:t>Về đặc điểm cân bằng và cơ chế hấp phụ</w:t>
      </w:r>
      <w:r w:rsidR="005D41C5" w:rsidRPr="009E6960">
        <w:rPr>
          <w:lang w:val="vi-VN"/>
        </w:rPr>
        <w:t xml:space="preserve">: </w:t>
      </w:r>
      <w:r w:rsidRPr="009E6960">
        <w:rPr>
          <w:lang w:val="vi-VN"/>
        </w:rPr>
        <w:t>Về động học: Quá trình hấp phụ Tetracycline tuân theo mô hình Elovich</w:t>
      </w:r>
      <w:r w:rsidR="001438C3" w:rsidRPr="009E6960">
        <w:rPr>
          <w:lang w:val="vi-VN"/>
        </w:rPr>
        <w:t xml:space="preserve">. </w:t>
      </w:r>
      <w:r w:rsidRPr="009E6960">
        <w:rPr>
          <w:lang w:val="vi-VN"/>
        </w:rPr>
        <w:t>Điều này khẳng định quá trình hấp phụ diễn ra theo cơ chế hóa học phức tạp trên bề mặt không đồng nhất về năng lượng</w:t>
      </w:r>
      <w:r w:rsidR="00705BED" w:rsidRPr="009E6960">
        <w:rPr>
          <w:lang w:val="vi-VN"/>
        </w:rPr>
        <w:t xml:space="preserve">. </w:t>
      </w:r>
      <w:r w:rsidRPr="009E6960">
        <w:rPr>
          <w:lang w:val="vi-VN"/>
        </w:rPr>
        <w:t>Tốc độ hấp phụ không hằng định mà giảm dần theo hàm mũ khi bề mặt vật liệu dần bị lấp đầy bởi chất ô nhiễm, phản ánh sự tồn tại của nhiều loại tâm hoạt động khác nhau (</w:t>
      </w:r>
      <w:r w:rsidR="009350E0" w:rsidRPr="009E6960">
        <w:rPr>
          <w:lang w:val="vi-VN"/>
        </w:rPr>
        <w:t>cấu trúc giàu carbon</w:t>
      </w:r>
      <w:r w:rsidRPr="009E6960">
        <w:rPr>
          <w:lang w:val="vi-VN"/>
        </w:rPr>
        <w:t xml:space="preserve"> của than và </w:t>
      </w:r>
      <w:r w:rsidR="009350E0" w:rsidRPr="009E6960">
        <w:rPr>
          <w:lang w:val="vi-VN"/>
        </w:rPr>
        <w:t xml:space="preserve">phối </w:t>
      </w:r>
      <w:r w:rsidRPr="009E6960">
        <w:rPr>
          <w:lang w:val="vi-VN"/>
        </w:rPr>
        <w:t xml:space="preserve">trí hoạt động của </w:t>
      </w:r>
      <w:r w:rsidR="00013BF6" w:rsidRPr="009E6960">
        <w:rPr>
          <w:lang w:val="vi-VN"/>
        </w:rPr>
        <w:t>Fe</w:t>
      </w:r>
      <w:r w:rsidR="00013BF6" w:rsidRPr="009E6960">
        <w:rPr>
          <w:vertAlign w:val="subscript"/>
          <w:lang w:val="vi-VN"/>
        </w:rPr>
        <w:t>3</w:t>
      </w:r>
      <w:r w:rsidR="00013BF6" w:rsidRPr="009E6960">
        <w:rPr>
          <w:lang w:val="vi-VN"/>
        </w:rPr>
        <w:t>O</w:t>
      </w:r>
      <w:r w:rsidR="00013BF6" w:rsidRPr="009E6960">
        <w:rPr>
          <w:vertAlign w:val="subscript"/>
          <w:lang w:val="vi-VN"/>
        </w:rPr>
        <w:t>4</w:t>
      </w:r>
      <w:r w:rsidRPr="009E6960">
        <w:rPr>
          <w:lang w:val="vi-VN"/>
        </w:rPr>
        <w:t>).</w:t>
      </w:r>
      <w:r w:rsidR="005D41C5" w:rsidRPr="009E6960">
        <w:rPr>
          <w:lang w:val="vi-VN"/>
        </w:rPr>
        <w:t xml:space="preserve"> </w:t>
      </w:r>
      <w:r w:rsidRPr="009E6960">
        <w:rPr>
          <w:lang w:val="vi-VN"/>
        </w:rPr>
        <w:t>Về đẳng nhiệt: Số liệu thực nghiệm phù hợp tốt nhất với mô hình Freundlich và Redlich-Peterson. Kết quả này chỉ ra rằng quá trình hấp phụ Tetracycline diễn ra theo cơ chế đa lớp</w:t>
      </w:r>
      <w:r w:rsidR="005D41C5" w:rsidRPr="009E6960">
        <w:rPr>
          <w:lang w:val="vi-VN"/>
        </w:rPr>
        <w:t xml:space="preserve">. </w:t>
      </w:r>
      <w:r w:rsidRPr="009E6960">
        <w:rPr>
          <w:lang w:val="vi-VN"/>
        </w:rPr>
        <w:t>Các phân tử kháng sinh không chỉ bao phủ một lớp đơn trên bề mặt mà còn tương tác chồng lên nhau, tận dụng tối đa cấu trúc lỗ xốp đa cấp của vật liệu.</w:t>
      </w:r>
    </w:p>
    <w:p w14:paraId="19EE79DA" w14:textId="0BEA0AA5" w:rsidR="00D957C6" w:rsidRPr="009E6960" w:rsidRDefault="00D957C6" w:rsidP="00E142CF">
      <w:pPr>
        <w:ind w:firstLine="454"/>
        <w:jc w:val="both"/>
        <w:rPr>
          <w:lang w:val="vi-VN"/>
        </w:rPr>
      </w:pPr>
      <w:r w:rsidRPr="009E6960">
        <w:rPr>
          <w:lang w:val="vi-VN"/>
        </w:rPr>
        <w:t>Về hiệu suất xử lý</w:t>
      </w:r>
      <w:r w:rsidR="005D41C5" w:rsidRPr="009E6960">
        <w:rPr>
          <w:lang w:val="vi-VN"/>
        </w:rPr>
        <w:t xml:space="preserve">: </w:t>
      </w:r>
      <w:r w:rsidRPr="009E6960">
        <w:rPr>
          <w:lang w:val="vi-VN"/>
        </w:rPr>
        <w:t>Vật liệu thể hiện khả năng loại bỏ kháng sinh Tetracycline vượt trội với dung lượng hấp phụ cực đại (</w:t>
      </w:r>
      <w:r w:rsidR="001351FD" w:rsidRPr="009E6960">
        <w:rPr>
          <w:i/>
          <w:iCs/>
          <w:lang w:val="vi-VN"/>
        </w:rPr>
        <w:t>Q</w:t>
      </w:r>
      <w:r w:rsidR="001351FD" w:rsidRPr="009E6960">
        <w:rPr>
          <w:i/>
          <w:iCs/>
          <w:vertAlign w:val="subscript"/>
          <w:lang w:val="vi-VN"/>
        </w:rPr>
        <w:t>max</w:t>
      </w:r>
      <w:r w:rsidRPr="009E6960">
        <w:rPr>
          <w:lang w:val="vi-VN"/>
        </w:rPr>
        <w:t xml:space="preserve">) đạt </w:t>
      </w:r>
      <w:r w:rsidR="000D6978" w:rsidRPr="009E6960">
        <w:rPr>
          <w:lang w:val="vi-VN"/>
        </w:rPr>
        <w:t>31,</w:t>
      </w:r>
      <w:r w:rsidR="00C00306" w:rsidRPr="009E6960">
        <w:rPr>
          <w:lang w:val="vi-VN"/>
        </w:rPr>
        <w:t>1</w:t>
      </w:r>
      <w:r w:rsidR="000D6978" w:rsidRPr="009E6960">
        <w:rPr>
          <w:lang w:val="vi-VN"/>
        </w:rPr>
        <w:t>6</w:t>
      </w:r>
      <w:r w:rsidRPr="009E6960">
        <w:rPr>
          <w:lang w:val="vi-VN"/>
        </w:rPr>
        <w:t xml:space="preserve"> mg/g</w:t>
      </w:r>
      <w:r w:rsidR="007B4D51" w:rsidRPr="009E6960">
        <w:rPr>
          <w:lang w:val="vi-VN"/>
        </w:rPr>
        <w:t>,</w:t>
      </w:r>
      <w:r w:rsidR="000D6978" w:rsidRPr="009E6960">
        <w:rPr>
          <w:lang w:val="vi-VN"/>
        </w:rPr>
        <w:t xml:space="preserve"> cho thấy tiềm năng ứng dụng cao trong môi trường nước thải thực tế.</w:t>
      </w:r>
      <w:r w:rsidR="00772B59" w:rsidRPr="009E6960">
        <w:rPr>
          <w:b/>
          <w:bCs/>
          <w:lang w:val="vi-VN"/>
        </w:rPr>
        <w:t xml:space="preserve"> </w:t>
      </w:r>
      <w:r w:rsidR="00DC3A4C" w:rsidRPr="009E6960">
        <w:rPr>
          <w:lang w:val="vi-VN"/>
        </w:rPr>
        <w:t>pH tối ưu cho vật liệu hấp phụ là pH tự nhiên (khoảng pH từ 5–7).</w:t>
      </w:r>
    </w:p>
    <w:p w14:paraId="3202823C" w14:textId="77777777" w:rsidR="0027613F" w:rsidRPr="009E6960" w:rsidRDefault="0027613F" w:rsidP="0027613F">
      <w:pPr>
        <w:ind w:firstLine="454"/>
        <w:jc w:val="both"/>
        <w:rPr>
          <w:lang w:val="vi-VN"/>
        </w:rPr>
      </w:pPr>
      <w:r w:rsidRPr="009E6960">
        <w:rPr>
          <w:lang w:val="vi-VN"/>
        </w:rPr>
        <w:t>Về mặt ý nghĩa thực tiễn và môi trường, nghiên cứu không chỉ cung cấp một giải pháp vật liệu tiên tiến, giá rẻ cho bài toán xử lý ô nhiễm kháng sinh trong nước thải y tế và chăn nuôi, mà còn góp phần quan trọng vào việc quản lý chất thải rắn nông nghiệp theo định hướng kinh tế tuần hoàn. Việc tận dụng vỏ hạt mắc ca làm vật liệu kỹ thuật cao giúp gia tăng giá trị cho chuỗi sản xuất nông nghiệp và giảm thiểu tác động môi trường.</w:t>
      </w:r>
    </w:p>
    <w:p w14:paraId="7E274417" w14:textId="38EE6DDB" w:rsidR="00971F3D" w:rsidRPr="009E6960" w:rsidRDefault="0027613F" w:rsidP="0027613F">
      <w:pPr>
        <w:ind w:firstLine="454"/>
        <w:jc w:val="both"/>
        <w:rPr>
          <w:lang w:val="vi-VN"/>
        </w:rPr>
      </w:pPr>
      <w:r w:rsidRPr="009E6960">
        <w:rPr>
          <w:lang w:val="vi-VN"/>
        </w:rPr>
        <w:t xml:space="preserve">Mặc dù đã đạt được những kết quả khả quan, để nâng cao hơn nữa hiệu quả ứng dụng thực tế, đồ án </w:t>
      </w:r>
      <w:r w:rsidR="00B93E10" w:rsidRPr="009E6960">
        <w:rPr>
          <w:lang w:val="vi-VN"/>
        </w:rPr>
        <w:t xml:space="preserve">cũng </w:t>
      </w:r>
      <w:r w:rsidRPr="009E6960">
        <w:rPr>
          <w:lang w:val="vi-VN"/>
        </w:rPr>
        <w:t>đề xuất một số hướng nghiên cứu tiếp theo như tiếp tục tối ưu hóa các điều kiện của quá trình khí hóa (nhiệt độ, tác nhân khí hóa) nhằm phát triển sâu hơn cấu trúc lỗ xốp, tận dụng triệt để cơ chế hấp phụ vật lý. Bên cạnh đó, cần nghiên cứu khả năng tái sinh và tái sử dụng vật liệu qua nhiều chu kỳ hấp phụ - giải hấp để đánh giá độ bền và hiệu quả kinh tế, đồng thời mở rộng khảo sát khả năng xử lý của vật liệu đối với các chất ô nhiễm khác (kim loại nặng, phẩm màu) hoặc trong môi trường nước thải thực tế đa thành phần.</w:t>
      </w:r>
    </w:p>
    <w:p w14:paraId="5D4AD065" w14:textId="77777777" w:rsidR="00CE2B5B" w:rsidRPr="009E6960" w:rsidRDefault="00CE2B5B" w:rsidP="00CE2B5B">
      <w:pPr>
        <w:ind w:firstLine="360"/>
        <w:rPr>
          <w:lang w:val="vi-VN"/>
        </w:rPr>
      </w:pPr>
    </w:p>
    <w:p w14:paraId="23CA39F3" w14:textId="65EB2239" w:rsidR="00F85900" w:rsidRPr="009E6960" w:rsidRDefault="00F85900" w:rsidP="0015368F">
      <w:pPr>
        <w:rPr>
          <w:lang w:val="vi-VN"/>
        </w:rPr>
      </w:pPr>
      <w:r w:rsidRPr="009E6960">
        <w:rPr>
          <w:lang w:val="vi-VN"/>
        </w:rPr>
        <w:br w:type="page"/>
      </w:r>
    </w:p>
    <w:p w14:paraId="13D00AC6" w14:textId="401FECBF" w:rsidR="000171EF" w:rsidRPr="009E6960" w:rsidRDefault="007A2445" w:rsidP="00A36209">
      <w:pPr>
        <w:pStyle w:val="Heading1"/>
        <w:numPr>
          <w:ilvl w:val="0"/>
          <w:numId w:val="0"/>
        </w:numPr>
        <w:rPr>
          <w:lang w:val="vi-VN"/>
        </w:rPr>
      </w:pPr>
      <w:bookmarkStart w:id="47" w:name="_Toc233142644"/>
      <w:r w:rsidRPr="009E6960">
        <w:rPr>
          <w:lang w:val="vi-VN"/>
        </w:rPr>
        <w:lastRenderedPageBreak/>
        <w:t>TÀI LIỆU THAM KHẢO</w:t>
      </w:r>
      <w:bookmarkEnd w:id="45"/>
      <w:bookmarkEnd w:id="47"/>
    </w:p>
    <w:p w14:paraId="39174406" w14:textId="1DBC8459" w:rsidR="004838F4" w:rsidRPr="009E6960" w:rsidRDefault="004838F4" w:rsidP="00D44B89">
      <w:pPr>
        <w:ind w:hanging="567"/>
        <w:jc w:val="both"/>
        <w:rPr>
          <w:b/>
          <w:bCs/>
          <w:lang w:val="vi-VN"/>
        </w:rPr>
      </w:pPr>
      <w:r w:rsidRPr="009E6960">
        <w:rPr>
          <w:b/>
          <w:bCs/>
          <w:lang w:val="vi-VN"/>
        </w:rPr>
        <w:t>Tài liệu tiếng việt</w:t>
      </w:r>
    </w:p>
    <w:p w14:paraId="41A60FF6" w14:textId="1284B42D" w:rsidR="00790FAC" w:rsidRPr="009E6960" w:rsidRDefault="00790FAC" w:rsidP="00D44B89">
      <w:pPr>
        <w:ind w:hanging="567"/>
        <w:jc w:val="both"/>
        <w:rPr>
          <w:lang w:val="vi-VN"/>
        </w:rPr>
      </w:pPr>
      <w:r w:rsidRPr="009E6960">
        <w:rPr>
          <w:lang w:val="vi-VN"/>
        </w:rPr>
        <w:t>[1]</w:t>
      </w:r>
      <w:r w:rsidRPr="009E6960">
        <w:rPr>
          <w:lang w:val="vi-VN"/>
        </w:rPr>
        <w:tab/>
        <w:t>Thủ tướng Chính phủ (2022)</w:t>
      </w:r>
      <w:r w:rsidR="00107FB7" w:rsidRPr="009E6960">
        <w:rPr>
          <w:lang w:val="vi-VN"/>
        </w:rPr>
        <w:t>.</w:t>
      </w:r>
      <w:r w:rsidRPr="009E6960">
        <w:rPr>
          <w:lang w:val="vi-VN"/>
        </w:rPr>
        <w:t>, “Quyết định số 344/QĐ-TTg ngày 15/3/2022 phê duyệt Đề án phát triển bền vững mắc ca giai đoạn 2021 - 2030, tầm nhìn đến năm 2050”.</w:t>
      </w:r>
    </w:p>
    <w:p w14:paraId="1ABF2830" w14:textId="1C4C21FE" w:rsidR="00790FAC" w:rsidRDefault="00790FAC" w:rsidP="00D44B89">
      <w:pPr>
        <w:ind w:hanging="567"/>
        <w:jc w:val="both"/>
      </w:pPr>
      <w:r w:rsidRPr="009E6960">
        <w:rPr>
          <w:lang w:val="vi-VN"/>
        </w:rPr>
        <w:t>[2]</w:t>
      </w:r>
      <w:r w:rsidRPr="009E6960">
        <w:rPr>
          <w:lang w:val="vi-VN"/>
        </w:rPr>
        <w:tab/>
        <w:t xml:space="preserve">Nam Lê., “Phát triển bền vững cây mắc-ca tại Tây Nguyên.” </w:t>
      </w:r>
      <w:r w:rsidR="00645047" w:rsidRPr="00645047">
        <w:rPr>
          <w:i/>
          <w:iCs/>
        </w:rPr>
        <w:t>Báo Nhân Dân</w:t>
      </w:r>
      <w:r w:rsidR="00645047">
        <w:rPr>
          <w:i/>
          <w:iCs/>
        </w:rPr>
        <w:t>.</w:t>
      </w:r>
      <w:r w:rsidR="00645047">
        <w:t xml:space="preserve"> </w:t>
      </w:r>
      <w:r>
        <w:t>Accessed: Dec. 12, 2025. [Online].</w:t>
      </w:r>
      <w:r w:rsidR="00645047">
        <w:t xml:space="preserve"> </w:t>
      </w:r>
      <w:r>
        <w:t>Available: https://nhandan.vn/phat-trien-ben-vung-cay-mac-ca-post902609.html</w:t>
      </w:r>
    </w:p>
    <w:p w14:paraId="3275686B" w14:textId="6F5E04D0" w:rsidR="00790FAC" w:rsidRDefault="00790FAC" w:rsidP="00D44B89">
      <w:pPr>
        <w:ind w:hanging="567"/>
        <w:jc w:val="both"/>
      </w:pPr>
      <w:r>
        <w:t>[3]</w:t>
      </w:r>
      <w:r>
        <w:tab/>
        <w:t xml:space="preserve">Đông N. V., Linh V. N., Bẩy T. V., and Nam N. H., “HẤP PHỤ KHÍ CO2 TỪ THAN SINH HỌC VỎ HẠT MẮC-CA,” </w:t>
      </w:r>
      <w:r>
        <w:rPr>
          <w:i/>
          <w:iCs/>
        </w:rPr>
        <w:t>Tạp Chí Khoa Học Công Nghệ</w:t>
      </w:r>
      <w:r>
        <w:t>, vol. 58, no. 4, Art. no. 4, 2022.</w:t>
      </w:r>
    </w:p>
    <w:p w14:paraId="642E073F" w14:textId="65056DA4" w:rsidR="00790FAC" w:rsidRPr="00790FAC" w:rsidRDefault="00790FAC" w:rsidP="00D44B89">
      <w:pPr>
        <w:ind w:hanging="567"/>
        <w:jc w:val="both"/>
      </w:pPr>
      <w:r>
        <w:t>[4]</w:t>
      </w:r>
      <w:r>
        <w:tab/>
        <w:t xml:space="preserve">N. </w:t>
      </w:r>
      <w:r w:rsidR="00716335">
        <w:t>Do</w:t>
      </w:r>
      <w:r>
        <w:t>ng, T. B</w:t>
      </w:r>
      <w:r w:rsidR="00716335">
        <w:t>a</w:t>
      </w:r>
      <w:r>
        <w:t xml:space="preserve">y, N. Hong Nam, and L. Vu, “Solid waste from macadamia nutshell gasification: potential used as adsorbent,” </w:t>
      </w:r>
      <w:r>
        <w:rPr>
          <w:i/>
          <w:iCs/>
        </w:rPr>
        <w:t>Res. J. Sci. Technol.</w:t>
      </w:r>
      <w:r>
        <w:t>, vol. 58, p. 96, Oct. 2022, doi: 10.57001/huih5804.46.</w:t>
      </w:r>
    </w:p>
    <w:p w14:paraId="3D863C38" w14:textId="34B0F538" w:rsidR="0062166D" w:rsidRDefault="004838F4" w:rsidP="00D44B89">
      <w:pPr>
        <w:ind w:hanging="567"/>
        <w:jc w:val="both"/>
        <w:rPr>
          <w:b/>
          <w:bCs/>
        </w:rPr>
      </w:pPr>
      <w:r w:rsidRPr="00A36209">
        <w:rPr>
          <w:b/>
          <w:bCs/>
        </w:rPr>
        <w:t>Tài liệu tiếng anh</w:t>
      </w:r>
    </w:p>
    <w:p w14:paraId="06687B64" w14:textId="77777777" w:rsidR="00BF68AE" w:rsidRDefault="00BF68AE" w:rsidP="00BF68AE">
      <w:pPr>
        <w:ind w:hanging="567"/>
        <w:jc w:val="both"/>
      </w:pPr>
      <w:r>
        <w:t>[5]</w:t>
      </w:r>
      <w:r>
        <w:tab/>
        <w:t>N. H. Nam, V. N. Linh, L. D. Dung, and V. T. T. Ha, “Physico-chemical characterization of forest and agricultural residues for energy conversion processes,” Vietnam J. Chem., vol. 58, no. 6, pp. 735–741, 2020, doi: 10.1002/vjch.202000054.</w:t>
      </w:r>
    </w:p>
    <w:p w14:paraId="71525656" w14:textId="77777777" w:rsidR="00BF68AE" w:rsidRDefault="00BF68AE" w:rsidP="00BF68AE">
      <w:pPr>
        <w:ind w:hanging="567"/>
        <w:jc w:val="both"/>
      </w:pPr>
      <w:r>
        <w:t>[6]</w:t>
      </w:r>
      <w:r>
        <w:tab/>
        <w:t>N. H. Tran et al., “Occurrence and risk assessment of multiple classes of antibiotics in urban canals and lakes in Hanoi, Vietnam,” Sci. Total Environ., vol. 692, pp. 157–174, Nov. 2019, doi: 10.1016/j.scitotenv.2019.07.092.</w:t>
      </w:r>
    </w:p>
    <w:p w14:paraId="7EC7051E" w14:textId="77777777" w:rsidR="00BF68AE" w:rsidRDefault="00BF68AE" w:rsidP="00BF68AE">
      <w:pPr>
        <w:ind w:hanging="567"/>
        <w:jc w:val="both"/>
      </w:pPr>
      <w:r>
        <w:t>[7]</w:t>
      </w:r>
      <w:r>
        <w:tab/>
        <w:t>R. Daghrir and P. Drogui, “Tetracycline antibiotics in the environment: a review,” Environ. Chem. Lett., vol. 11, no. 3, pp. 209–227, Sept. 2013, doi: 10.1007/s10311-013-0404-8.</w:t>
      </w:r>
    </w:p>
    <w:p w14:paraId="341C550C" w14:textId="77777777" w:rsidR="00BF68AE" w:rsidRDefault="00BF68AE" w:rsidP="00BF68AE">
      <w:pPr>
        <w:ind w:hanging="567"/>
        <w:jc w:val="both"/>
      </w:pPr>
      <w:r>
        <w:t>[8]</w:t>
      </w:r>
      <w:r>
        <w:tab/>
        <w:t>X. Tan et al., “Application of biochar for the removal of pollutants from aqueous solutions,” Chemosphere, vol. 125, pp. 70–85, Apr. 2015, doi: 10.1016/j.chemosphere.2014.12.058.</w:t>
      </w:r>
    </w:p>
    <w:p w14:paraId="3DF77EA8" w14:textId="77777777" w:rsidR="00BF68AE" w:rsidRDefault="00BF68AE" w:rsidP="00BF68AE">
      <w:pPr>
        <w:ind w:hanging="567"/>
        <w:jc w:val="both"/>
      </w:pPr>
      <w:r>
        <w:t>[9]</w:t>
      </w:r>
      <w:r>
        <w:tab/>
        <w:t>M.-T. Dao, T.-P.-L. Tran, D.-T. Vo, V.-K. Nguyen, and L.-T.-T.-T. Hoang, “Utilization of Macadamia Nutshell Residue for the Synthesis of Magnetic Activated Carbon toward Zinc (II) Ion Removal,” Adv. Mater. Sci. Eng., vol. 2021, no. 1, p. 2543197, 2021, doi: 10.1155/2021/2543197.</w:t>
      </w:r>
    </w:p>
    <w:p w14:paraId="5AC2CFF1" w14:textId="77777777" w:rsidR="00BF68AE" w:rsidRDefault="00BF68AE" w:rsidP="00BF68AE">
      <w:pPr>
        <w:ind w:hanging="567"/>
        <w:jc w:val="both"/>
      </w:pPr>
      <w:r>
        <w:lastRenderedPageBreak/>
        <w:t>[10]</w:t>
      </w:r>
      <w:r>
        <w:tab/>
        <w:t>T. M. Dao and T. Le Luu, “Synthesis of activated carbon from macadamia nutshells activated by H2SO4 and K2CO3 for methylene blue removal in water,” Bioresour. Technol. Rep., vol. 12, p. 100583, Dec. 2020, doi: 10.1016/j.biteb.2020.100583.</w:t>
      </w:r>
    </w:p>
    <w:p w14:paraId="7EB03361" w14:textId="77777777" w:rsidR="00BF68AE" w:rsidRDefault="00BF68AE" w:rsidP="00BF68AE">
      <w:pPr>
        <w:ind w:hanging="567"/>
        <w:jc w:val="both"/>
      </w:pPr>
      <w:r>
        <w:t>[11]</w:t>
      </w:r>
      <w:r>
        <w:tab/>
        <w:t>Y. Yi et al., “Magnetic biochar for environmental remediation: A review,” Bioresour. Technol., vol. 298, p. 122468, Feb. 2020, doi: 10.1016/j.biortech.2019.122468.</w:t>
      </w:r>
    </w:p>
    <w:p w14:paraId="48B0007B" w14:textId="77777777" w:rsidR="00BF68AE" w:rsidRDefault="00BF68AE" w:rsidP="00BF68AE">
      <w:pPr>
        <w:ind w:hanging="567"/>
        <w:jc w:val="both"/>
      </w:pPr>
      <w:r>
        <w:t>[12]</w:t>
      </w:r>
      <w:r>
        <w:tab/>
        <w:t>J. R. Peace et al, “Genetic relationships amongst macadamia varieties grown in South Africa as assessed by RAF markers: South African Journal of Plant and Soil: Vol 22, No 2.” Accessed: Dec. 12, 2025. [Online]. Available: https://www.tandfonline.com/doi/abs/10.1080/02571862.2005.10634684</w:t>
      </w:r>
    </w:p>
    <w:p w14:paraId="230F4C6C" w14:textId="77777777" w:rsidR="00BF68AE" w:rsidRDefault="00BF68AE" w:rsidP="00BF68AE">
      <w:pPr>
        <w:ind w:hanging="567"/>
        <w:jc w:val="both"/>
      </w:pPr>
      <w:r>
        <w:t>[13]</w:t>
      </w:r>
      <w:r>
        <w:tab/>
        <w:t>X.-H. Tu et al., “A comprehensive study of raw and roasted macadamia nuts: Lipid profile, physicochemical, nutritional, and sensory properties,” Food Sci. Nutr., vol. 9, no. 3, pp. 1688–1697, Mar. 2021, doi: 10.1002/fsn3.2143.</w:t>
      </w:r>
    </w:p>
    <w:p w14:paraId="1CF387A1" w14:textId="77777777" w:rsidR="00BF68AE" w:rsidRDefault="00BF68AE" w:rsidP="00BF68AE">
      <w:pPr>
        <w:ind w:hanging="567"/>
        <w:jc w:val="both"/>
      </w:pPr>
      <w:r>
        <w:t>[14]</w:t>
      </w:r>
      <w:r>
        <w:tab/>
        <w:t xml:space="preserve">International Nuts and Dried Fruits Council (2023), Nuts and dried fruits statistical yearbook 2022/2023, Reus, Spain. </w:t>
      </w:r>
    </w:p>
    <w:p w14:paraId="45A6EE66" w14:textId="77777777" w:rsidR="00BF68AE" w:rsidRDefault="00BF68AE" w:rsidP="00BF68AE">
      <w:pPr>
        <w:ind w:hanging="567"/>
        <w:jc w:val="both"/>
      </w:pPr>
      <w:r>
        <w:t>[15]</w:t>
      </w:r>
      <w:r>
        <w:tab/>
        <w:t>Mundus Agri, “Macadamias: good prospects for 2024 - Global Production Statistics,” - Latest news from the commodity and food industry. Accessed: Dec. 12, 2025. [Online]. Available: https://www.mundus-agri.eu/news/macadamias-good-prospects-2024.n32706.html</w:t>
      </w:r>
    </w:p>
    <w:p w14:paraId="3014A0C3" w14:textId="77777777" w:rsidR="00BF68AE" w:rsidRDefault="00BF68AE" w:rsidP="00BF68AE">
      <w:pPr>
        <w:ind w:hanging="567"/>
        <w:jc w:val="both"/>
      </w:pPr>
      <w:r>
        <w:t>[16]</w:t>
      </w:r>
      <w:r>
        <w:tab/>
        <w:t>S. O. Bada, R. M. S. Falcon, L. M. Falcon, and M. J. Makhula, “Thermogravimetric investigation of macadamia nut shell, coal, and anthracite in different combustion atmospheres,” J. S. Afr. Inst. Min. Metall., vol. vol. 115, no. 8, pp. 741–746, 2015,.</w:t>
      </w:r>
    </w:p>
    <w:p w14:paraId="22682D49" w14:textId="19B9A3CF" w:rsidR="00BF68AE" w:rsidRDefault="00BF68AE" w:rsidP="00BF68AE">
      <w:pPr>
        <w:ind w:hanging="567"/>
        <w:jc w:val="both"/>
      </w:pPr>
      <w:r>
        <w:t>[17]</w:t>
      </w:r>
      <w:r>
        <w:tab/>
        <w:t>U.S. Department of Agriculture, Agricultural Research Service (2024), “Macadamia Collection. Retrieved from https://www.ars.usda.gov/pacific-west-area/hilo-hi/daniel-k-inouye-us-pacific-basin-agricultural-research-center/tropical-plant-genetic-resources-and-disease-research/docs/macadamia-collection/.” Accessed: Dec. 11, 2025. [Online]. Available: https://www.ars.usda.gov/pacific-west-area/hilo-hi/daniel-k-inouye-us-pacific-basin-agricultural-research-center/tropical-plant-genetic-resources-and-disease-research/docs/macadamia-collection/</w:t>
      </w:r>
    </w:p>
    <w:p w14:paraId="119E1833" w14:textId="77777777" w:rsidR="00BF68AE" w:rsidRDefault="00BF68AE" w:rsidP="00BF68AE">
      <w:pPr>
        <w:ind w:hanging="567"/>
        <w:jc w:val="both"/>
      </w:pPr>
      <w:r>
        <w:t>[18]</w:t>
      </w:r>
      <w:r>
        <w:tab/>
        <w:t>K. Yu, J. Li, H. Qi, and C. Liang, “High-capacity activated carbon anode material for lithium-ion batteries prepared from rice husk by a facile method,” Diam. Relat. Mater., vol. 86, pp. 139–145, June 2018, doi: 10.1016/j.diamond.2018.04.019.</w:t>
      </w:r>
    </w:p>
    <w:p w14:paraId="7913055C" w14:textId="77777777" w:rsidR="00BF68AE" w:rsidRDefault="00BF68AE" w:rsidP="00BF68AE">
      <w:pPr>
        <w:ind w:hanging="567"/>
        <w:jc w:val="both"/>
      </w:pPr>
      <w:r>
        <w:lastRenderedPageBreak/>
        <w:t>[19]</w:t>
      </w:r>
      <w:r>
        <w:tab/>
        <w:t>O. B. Nchoe, S. O. Sanni, E. L. Viljoen, A. Pholosi, and V. E. Pakade, “Surfactant-modified Macadamia nutshell for enhancement of methylene blue dye adsorption from aqueous media,” Case Stud. Chem. Environ. Eng., vol. 8, p. 100357, Dec. 2023, doi: 10.1016/j.cscee.2023.100357.</w:t>
      </w:r>
    </w:p>
    <w:p w14:paraId="69C19A66" w14:textId="77777777" w:rsidR="00BF68AE" w:rsidRDefault="00BF68AE" w:rsidP="00BF68AE">
      <w:pPr>
        <w:ind w:hanging="567"/>
        <w:jc w:val="both"/>
      </w:pPr>
      <w:r>
        <w:t>[20]</w:t>
      </w:r>
      <w:r>
        <w:tab/>
        <w:t>C. A. Toles, W. E. Marshall, and M. M. Johns, Phosphoric acid activation of nutshells for metals and organic remediation: Process optimization - Wiley Online Library, vol. 72. Journal of Chemical Technology &amp; Biotechnology, 1998. Accessed: Dec. 16, 2025. [Online]. Available: https://scijournals.onlinelibrary.wiley.com/doi/abs/10.1002/%28SICI%291097-4660%28199807%2972%3A3%3C255%3A%3AAID-JCTB890%3E3.0.CO%3B2-P</w:t>
      </w:r>
    </w:p>
    <w:p w14:paraId="434D1E2F" w14:textId="77777777" w:rsidR="00BF68AE" w:rsidRDefault="00BF68AE" w:rsidP="00BF68AE">
      <w:pPr>
        <w:ind w:hanging="567"/>
        <w:jc w:val="both"/>
      </w:pPr>
      <w:r>
        <w:t>[21]</w:t>
      </w:r>
      <w:r>
        <w:tab/>
        <w:t>J.-S. Bae and S. Su, “Macadamia nut shell-derived carbon composites for post combustion CO2 capture,” Int. J. Greenh. Gas Control, vol. 19, pp. 174–182, Nov. 2013, doi: 10.1016/j.ijggc.2013.08.013.</w:t>
      </w:r>
    </w:p>
    <w:p w14:paraId="008BD6D5" w14:textId="77777777" w:rsidR="00BF68AE" w:rsidRDefault="00BF68AE" w:rsidP="00BF68AE">
      <w:pPr>
        <w:ind w:hanging="567"/>
        <w:jc w:val="both"/>
      </w:pPr>
      <w:r>
        <w:t>[22]</w:t>
      </w:r>
      <w:r>
        <w:tab/>
        <w:t>S. Mishra and R. K. Upadhyay, “Review on biomass gasification: Gasifiers, gasifying mediums, and operational parameters,” Mater. Sci. Energy Technol., vol. 4, pp. 329–340, Jan. 2021, doi: 10.1016/j.mset.2021.08.009.</w:t>
      </w:r>
    </w:p>
    <w:p w14:paraId="0FBD501F" w14:textId="77777777" w:rsidR="00BF68AE" w:rsidRDefault="00BF68AE" w:rsidP="00BF68AE">
      <w:pPr>
        <w:ind w:hanging="567"/>
        <w:jc w:val="both"/>
      </w:pPr>
      <w:r>
        <w:t>[23]</w:t>
      </w:r>
      <w:r>
        <w:tab/>
        <w:t>Y. Zhang et al, “Gasification Technologies and Their Energy Potentials,” in Sustainable Resource Recovery and Zero Waste Approaches, Elsevier, 2019, pp. 193–206. doi: 10.1016/B978-0-444-64200-4.00014-1.</w:t>
      </w:r>
    </w:p>
    <w:p w14:paraId="6CB76537" w14:textId="77777777" w:rsidR="00BF68AE" w:rsidRDefault="00BF68AE" w:rsidP="00BF68AE">
      <w:pPr>
        <w:ind w:hanging="567"/>
        <w:jc w:val="both"/>
      </w:pPr>
      <w:r>
        <w:t>[24]</w:t>
      </w:r>
      <w:r>
        <w:tab/>
        <w:t>Y. Zhang et al, “Gasification Technologies and Their Energy Potentials,” in Sustainable Resource Recovery and Zero Waste Approaches, Elsevier, 2019, pp. 193–206. doi: 10.1016/B978-0-444-64200-4.00014-1.</w:t>
      </w:r>
    </w:p>
    <w:p w14:paraId="52B2DDE9" w14:textId="77777777" w:rsidR="00BF68AE" w:rsidRDefault="00BF68AE" w:rsidP="00BF68AE">
      <w:pPr>
        <w:ind w:hanging="567"/>
        <w:jc w:val="both"/>
      </w:pPr>
      <w:r>
        <w:t>[25]</w:t>
      </w:r>
      <w:r>
        <w:tab/>
        <w:t>MDPI, “Technologies and Innovations for Biomass Energy Production | MDPI,” Sustain. Spec. Issue, Accessed: Dec. 16, 2025. [Online]. Available: https://www.mdpi.com/2071-1050/15/16/12121</w:t>
      </w:r>
    </w:p>
    <w:p w14:paraId="32F81DAB" w14:textId="77777777" w:rsidR="00BF68AE" w:rsidRDefault="00BF68AE" w:rsidP="00BF68AE">
      <w:pPr>
        <w:ind w:hanging="567"/>
        <w:jc w:val="both"/>
      </w:pPr>
      <w:r>
        <w:t>[26]</w:t>
      </w:r>
      <w:r>
        <w:tab/>
        <w:t>V. D. R. Diniz, “Biomass Gasification and Pyrolysis Practical Design and Theory”, Accessed: Dec. 16, 2025. [Online]. Available: https://www.academia.edu/36068327/Biomass_Gasification_and_Pyrolysis_Practical_Design_and_Theory</w:t>
      </w:r>
    </w:p>
    <w:p w14:paraId="739703C8" w14:textId="77777777" w:rsidR="00BF68AE" w:rsidRDefault="00BF68AE" w:rsidP="00BF68AE">
      <w:pPr>
        <w:ind w:hanging="567"/>
        <w:jc w:val="both"/>
      </w:pPr>
      <w:r>
        <w:t>[27]</w:t>
      </w:r>
      <w:r>
        <w:tab/>
        <w:t>A. Molino, S. Chianese, and D. Musmarra, “Biomass gasification technology: The state of the art overview,” J. Energy Chem., vol. 25, no. 1, pp. 10–25, Jan. 2016, doi: 10.1016/j.jechem.2015.11.005.</w:t>
      </w:r>
    </w:p>
    <w:p w14:paraId="0379079F" w14:textId="77777777" w:rsidR="00BF68AE" w:rsidRDefault="00BF68AE" w:rsidP="00BF68AE">
      <w:pPr>
        <w:ind w:hanging="567"/>
        <w:jc w:val="both"/>
      </w:pPr>
      <w:r>
        <w:lastRenderedPageBreak/>
        <w:t>[28]</w:t>
      </w:r>
      <w:r>
        <w:tab/>
        <w:t>H. A. Yepes, J. E. Obando, and A. A. Amell, “The effect of syngas addition on flameless natural gas combustion in a regenerative furnace,” Energy, vol. 252, p. 124008, Aug. 2022, doi: 10.1016/j.energy.2022.124008.</w:t>
      </w:r>
    </w:p>
    <w:p w14:paraId="55260AE5" w14:textId="77777777" w:rsidR="00BF68AE" w:rsidRDefault="00BF68AE" w:rsidP="00BF68AE">
      <w:pPr>
        <w:ind w:hanging="567"/>
        <w:jc w:val="both"/>
      </w:pPr>
      <w:r>
        <w:t>[29]</w:t>
      </w:r>
      <w:r>
        <w:tab/>
        <w:t>H. Khosravani, M. Meshksar, H. R. Rahimpour, and M. R. Rahimpour, “Chapter 1 - Introduction to syngas products and applications,” in Advances in Synthesis Gas : Methods, Technologies and Applications, vol. 3, M. R. Rahimpour, M. A. Makarem, and M. Meshksar, Eds., Elsevier, 2023, pp. 3–25. doi: 10.1016/B978-0-323-91878-7.00014-9.</w:t>
      </w:r>
    </w:p>
    <w:p w14:paraId="2F7CCC82" w14:textId="77777777" w:rsidR="00BF68AE" w:rsidRDefault="00BF68AE" w:rsidP="00BF68AE">
      <w:pPr>
        <w:ind w:hanging="567"/>
        <w:jc w:val="both"/>
      </w:pPr>
      <w:r>
        <w:t>[30]</w:t>
      </w:r>
      <w:r>
        <w:tab/>
        <w:t>P. R. Yaashikaa, P. S. Kumar, S. Varjani, and A. Saravanan, “A critical review on the biochar production techniques, characterization, stability and applications for circular bioeconomy,” Biotechnol. Rep., vol. 28, p. e00570, Dec. 2020, doi: 10.1016/j.btre.2020.e00570.</w:t>
      </w:r>
    </w:p>
    <w:p w14:paraId="61BE5E7B" w14:textId="77777777" w:rsidR="00BF68AE" w:rsidRDefault="00BF68AE" w:rsidP="00BF68AE">
      <w:pPr>
        <w:ind w:hanging="567"/>
        <w:jc w:val="both"/>
      </w:pPr>
      <w:r>
        <w:t>[31]</w:t>
      </w:r>
      <w:r>
        <w:tab/>
        <w:t>L. S. Ganapathe et al., “Magnetite (Fe3O4) Nanoparticles in Biomedical Application: From Synthesis to Surface Functionalisation,” Magnetochemistry, vol. 6, no. 4, Dec. 2020, doi: 10.3390/magnetochemistry6040068.</w:t>
      </w:r>
    </w:p>
    <w:p w14:paraId="5F3B8AEB" w14:textId="77777777" w:rsidR="00BF68AE" w:rsidRDefault="00BF68AE" w:rsidP="00BF68AE">
      <w:pPr>
        <w:ind w:hanging="567"/>
        <w:jc w:val="both"/>
      </w:pPr>
      <w:r>
        <w:t>[32]</w:t>
      </w:r>
      <w:r>
        <w:tab/>
        <w:t>Cornell, R. M., &amp; Schwertmann, U, “The Iron Oxides: Structure, Properties Reactions Occurrence and Uses.” Accessed: Dec. 02, 2025. [Online]. Available: https://onlinelibrary.wiley.com/doi/book/10.1002/3527602097</w:t>
      </w:r>
    </w:p>
    <w:p w14:paraId="0A4D4B57" w14:textId="77777777" w:rsidR="00BF68AE" w:rsidRDefault="00BF68AE" w:rsidP="00BF68AE">
      <w:pPr>
        <w:ind w:hanging="567"/>
        <w:jc w:val="both"/>
      </w:pPr>
      <w:r>
        <w:t>[33]</w:t>
      </w:r>
      <w:r>
        <w:tab/>
        <w:t>A. S. Teja and P.-Y. Koh, “Synthesis, properties, and applications of magnetic iron oxide nanoparticles,” Prog. Cryst. Growth Charact. Mater., vol. 55, no. 1, pp. 22–45, Mar. 2009, doi: 10.1016/j.pcrysgrow.2008.08.003.</w:t>
      </w:r>
    </w:p>
    <w:p w14:paraId="525006A5" w14:textId="77777777" w:rsidR="00BF68AE" w:rsidRDefault="00BF68AE" w:rsidP="00BF68AE">
      <w:pPr>
        <w:ind w:hanging="567"/>
        <w:jc w:val="both"/>
      </w:pPr>
      <w:r>
        <w:t>[34]</w:t>
      </w:r>
      <w:r>
        <w:tab/>
        <w:t>R. Valenzuela, M. C. Fuentes, C. Parra, J. Baeza, N. Duran, and S. K. Sharma, “Magnetite Nanoparticle Co-precipitation Synthesis, Characterization, and Applications: Mini Review | BioNanoScience,” BioNanoScience, vol. 13, 2023. Accessed: Dec. 10, 2025. [Online]. Available: https://link.springer.com/article/10.1007/s12668-023-01113-1</w:t>
      </w:r>
    </w:p>
    <w:p w14:paraId="631BD110" w14:textId="77777777" w:rsidR="00BF68AE" w:rsidRDefault="00BF68AE" w:rsidP="00BF68AE">
      <w:pPr>
        <w:ind w:hanging="567"/>
        <w:jc w:val="both"/>
      </w:pPr>
      <w:r>
        <w:t>[35]</w:t>
      </w:r>
      <w:r>
        <w:tab/>
        <w:t>M. D. Nguyen et al., “Fe3O4 Nanoparticles: Structures, Synthesis, Magnetic Properties, Surface Functionalization, and Emerging Applications,” Appl. Sci., vol. 11, no. 23, Nov. 2021, doi: 10.3390/app112311301.</w:t>
      </w:r>
    </w:p>
    <w:p w14:paraId="3D304CF2" w14:textId="77777777" w:rsidR="00BF68AE" w:rsidRDefault="00BF68AE" w:rsidP="00BF68AE">
      <w:pPr>
        <w:ind w:hanging="567"/>
        <w:jc w:val="both"/>
      </w:pPr>
      <w:r>
        <w:t>[36]</w:t>
      </w:r>
      <w:r>
        <w:tab/>
        <w:t>M. B. Gawande, P. S. Branco, and R. S. Varma, “Synthesis, properties, and applications of Fe3O4 and Fe3O4-based nanocomposites: A review - ScienceDirect,” Chem. Soc. Rev., vol. 42, 2013. Accessed: Dec. 10, 2025. [Online]. Available: https://www.sciencedirect.com/science/article/pii/S2950648425000240</w:t>
      </w:r>
    </w:p>
    <w:p w14:paraId="0104BC9B" w14:textId="77777777" w:rsidR="00BF68AE" w:rsidRDefault="00BF68AE" w:rsidP="00BF68AE">
      <w:pPr>
        <w:ind w:hanging="567"/>
        <w:jc w:val="both"/>
      </w:pPr>
      <w:r>
        <w:lastRenderedPageBreak/>
        <w:t>[37]</w:t>
      </w:r>
      <w:r>
        <w:tab/>
        <w:t>N. N. Nassar, “Rapid removal and recovery of Pb(II) from wastewater by magnetic nanoadsorbents,” J. Hazard. Mater., vol. 184, no. 1, pp. 538–546, Dec. 2010, doi: 10.1016/j.jhazmat.2010.08.069.</w:t>
      </w:r>
    </w:p>
    <w:p w14:paraId="2DC42DDF" w14:textId="77777777" w:rsidR="00BF68AE" w:rsidRDefault="00BF68AE" w:rsidP="00BF68AE">
      <w:pPr>
        <w:ind w:hanging="567"/>
        <w:jc w:val="both"/>
      </w:pPr>
      <w:r>
        <w:t>[38]</w:t>
      </w:r>
      <w:r>
        <w:tab/>
        <w:t>S. D. Ashrafi et al., “Fe3O4 magnetic nanoparticles as adsorbent for removal of safranin O dye from aqueous solution,” vol. vol. 192, pp. 297–308, 2020.</w:t>
      </w:r>
    </w:p>
    <w:p w14:paraId="5A209A41" w14:textId="77777777" w:rsidR="00BF68AE" w:rsidRDefault="00BF68AE" w:rsidP="00BF68AE">
      <w:pPr>
        <w:ind w:hanging="567"/>
        <w:jc w:val="both"/>
      </w:pPr>
      <w:r>
        <w:t>[39]</w:t>
      </w:r>
      <w:r>
        <w:tab/>
        <w:t>N. M. Noor, R. Othman, N. M. Mubarak, and E. C. Abdullah, “Agricultural biomass-derived magnetic adsorbents: Preparation and application for heavy metals removal,” J. Taiwan Inst. Chem. Eng., vol. 78, pp. 168–177, Sept. 2017, doi: 10.1016/j.jtice.2017.05.023.</w:t>
      </w:r>
    </w:p>
    <w:p w14:paraId="2FCA9794" w14:textId="77777777" w:rsidR="00BF68AE" w:rsidRDefault="00BF68AE" w:rsidP="00BF68AE">
      <w:pPr>
        <w:ind w:hanging="567"/>
        <w:jc w:val="both"/>
      </w:pPr>
      <w:r>
        <w:t>[40]</w:t>
      </w:r>
      <w:r>
        <w:tab/>
        <w:t>T. T. T. L. Hoang, F. Unob, S. Suvokhiaw, and N. Sukpirom, “One-pot synthesis of amorphous calcium phosphate/Fe3O4 composites and the application in the removal of cadmium,” J. Environ. Chem. Eng., vol. 8, no. 2, p. 103653, Apr. 2020, doi: 10.1016/j.jece.2020.103653.</w:t>
      </w:r>
    </w:p>
    <w:p w14:paraId="0A25D067" w14:textId="77777777" w:rsidR="00BF68AE" w:rsidRDefault="00BF68AE" w:rsidP="00BF68AE">
      <w:pPr>
        <w:ind w:hanging="567"/>
        <w:jc w:val="both"/>
      </w:pPr>
      <w:r>
        <w:t>[41]</w:t>
      </w:r>
      <w:r>
        <w:tab/>
        <w:t>Y. Yi, G. Tu, G. Ying, Z. Fang, and E. P. Tsang, “Magnetic biochar derived from rice straw and stainless steel pickling waste liquor for highly efficient adsorption of crystal violet,” Bioresour. Technol., vol. 341, p. 125743, Dec. 2021, doi: 10.1016/j.biortech.2021.125743.</w:t>
      </w:r>
    </w:p>
    <w:p w14:paraId="67B8A568" w14:textId="77777777" w:rsidR="00BF68AE" w:rsidRDefault="00BF68AE" w:rsidP="00BF68AE">
      <w:pPr>
        <w:ind w:hanging="567"/>
        <w:jc w:val="both"/>
      </w:pPr>
      <w:r>
        <w:t>[42]</w:t>
      </w:r>
      <w:r>
        <w:tab/>
        <w:t>W. Pang et al., “Novel magnetic graphoxide/biochar composite derived from tea for multiple SAs and QNs antibiotics removal in water,” Environ. Sci. Pollut. Res., vol. 30, no. 15, pp. 43215–43228, Mar. 2023, doi: 10.1007/s11356-023-25298-w.</w:t>
      </w:r>
    </w:p>
    <w:p w14:paraId="31AE6425" w14:textId="77777777" w:rsidR="00BF68AE" w:rsidRDefault="00BF68AE" w:rsidP="00BF68AE">
      <w:pPr>
        <w:ind w:hanging="567"/>
        <w:jc w:val="both"/>
      </w:pPr>
      <w:r>
        <w:t>[43]</w:t>
      </w:r>
      <w:r>
        <w:tab/>
        <w:t>K. Kümmerer, “Antibiotics in the aquatic environment – A review – Part I,” Chemosphere, vol. 75, no. 4, pp. 417–434, Apr. 2009, doi: 10.1016/j.chemosphere.2008.11.086.</w:t>
      </w:r>
    </w:p>
    <w:p w14:paraId="0A449F5C" w14:textId="77777777" w:rsidR="00BF68AE" w:rsidRDefault="00BF68AE" w:rsidP="00BF68AE">
      <w:pPr>
        <w:ind w:hanging="567"/>
        <w:jc w:val="both"/>
      </w:pPr>
      <w:r>
        <w:t>[44]</w:t>
      </w:r>
      <w:r>
        <w:tab/>
        <w:t>E.-R. Mojica and D. S. Aga, “Antibiotics Pollution in Soil and Water: Potential Ecological and Human Health Issues,” in Encyclopedia of Environmental Health, 2011, pp. 97–110. doi: 10.1016/B978-0-444-52272-6.00338-X.</w:t>
      </w:r>
    </w:p>
    <w:p w14:paraId="05A23D94" w14:textId="77777777" w:rsidR="00BF68AE" w:rsidRDefault="00BF68AE" w:rsidP="00BF68AE">
      <w:pPr>
        <w:ind w:hanging="567"/>
        <w:jc w:val="both"/>
      </w:pPr>
      <w:r>
        <w:t>[45]</w:t>
      </w:r>
      <w:r>
        <w:tab/>
        <w:t>A. J. Cowieson and A. M. Kluenter, “Contribution of exogenous enzymes to potentiate the removal of antibiotic growth promoters in poultry production,” Anim. Feed Sci. Technol., vol. 250, pp. 81–92, Apr. 2019, doi: 10.1016/j.anifeedsci.2018.04.026.</w:t>
      </w:r>
    </w:p>
    <w:p w14:paraId="3C21103C" w14:textId="77777777" w:rsidR="00BF68AE" w:rsidRDefault="00BF68AE" w:rsidP="00BF68AE">
      <w:pPr>
        <w:ind w:hanging="567"/>
        <w:jc w:val="both"/>
      </w:pPr>
      <w:r>
        <w:t>[46]</w:t>
      </w:r>
      <w:r>
        <w:tab/>
        <w:t>E. Y. Klein et al., “Global increase and geographic convergence in antibiotic consumption between 2000 and 2015,” Proc. Natl. Acad. Sci., vol. 115, no. 15, pp. E3463–E3470, Apr. 2018, doi: 10.1073/pnas.1717295115.</w:t>
      </w:r>
    </w:p>
    <w:p w14:paraId="5B78B3D9" w14:textId="77777777" w:rsidR="00BF68AE" w:rsidRDefault="00BF68AE" w:rsidP="00BF68AE">
      <w:pPr>
        <w:ind w:hanging="567"/>
        <w:jc w:val="both"/>
      </w:pPr>
      <w:r>
        <w:lastRenderedPageBreak/>
        <w:t>[47]</w:t>
      </w:r>
      <w:r>
        <w:tab/>
        <w:t>A. K. Sarmah, M. T. Meyer, and A. B. A. Boxall, “A global perspective on the use, sales, exposure pathways, occurrence, fate and effects of veterinary antibiotics (VAs) in the environment,” Chemosphere, vol. 65, no. 5, pp. 725–759, Oct. 2006, doi: 10.1016/j.chemosphere.2006.03.026.</w:t>
      </w:r>
    </w:p>
    <w:p w14:paraId="409874CF" w14:textId="77777777" w:rsidR="00BF68AE" w:rsidRDefault="00BF68AE" w:rsidP="00BF68AE">
      <w:pPr>
        <w:ind w:hanging="567"/>
        <w:jc w:val="both"/>
      </w:pPr>
      <w:r>
        <w:t>[48]</w:t>
      </w:r>
      <w:r>
        <w:tab/>
        <w:t>Q. Zheng, R. Zhang, Y. Wang, X. Pan, J. Tang, and G. Zhang, “Occurrence and distribution of antibiotics in the Beibu Gulf, China: Impacts of river discharge and aquaculture activities,” Mar. Environ. Res., vol. 78, pp. 26–33, July 2012, doi: 10.1016/j.marenvres.2012.03.007.</w:t>
      </w:r>
    </w:p>
    <w:p w14:paraId="33C5EF09" w14:textId="77777777" w:rsidR="00BF68AE" w:rsidRDefault="00BF68AE" w:rsidP="00BF68AE">
      <w:pPr>
        <w:ind w:hanging="567"/>
        <w:jc w:val="both"/>
      </w:pPr>
      <w:r>
        <w:t>[49]</w:t>
      </w:r>
      <w:r>
        <w:tab/>
        <w:t>K. N. Agwuh and A. MacGowan, “Pharmacokinetics and pharmacodynamics of the tetracyclines including glycylcyclines,” J. Antimicrob. Chemother., vol. 58, no. 2, pp. 256–265, Aug. 2006, doi: 10.1093/jac/dkl224.</w:t>
      </w:r>
    </w:p>
    <w:p w14:paraId="4B6FEAD6" w14:textId="77777777" w:rsidR="00BF68AE" w:rsidRDefault="00BF68AE" w:rsidP="00BF68AE">
      <w:pPr>
        <w:ind w:hanging="567"/>
        <w:jc w:val="both"/>
      </w:pPr>
      <w:r>
        <w:t>[50]</w:t>
      </w:r>
      <w:r>
        <w:tab/>
        <w:t>X. Xie, Q. Zhou, Z. He, and Y. Bao, “Physiological and potential genetic toxicity of chlortetracycline as an emerging pollutant in wheat (Triticum aestivum L.),” Environ. Toxicol. Chem., vol. 29, no. 4, pp. 922–928, Apr. 2010, doi: 10.1002/etc.79.</w:t>
      </w:r>
    </w:p>
    <w:p w14:paraId="1F90E0EC" w14:textId="77777777" w:rsidR="00BF68AE" w:rsidRDefault="00BF68AE" w:rsidP="00BF68AE">
      <w:pPr>
        <w:ind w:hanging="567"/>
        <w:jc w:val="both"/>
      </w:pPr>
      <w:r>
        <w:t>[51]</w:t>
      </w:r>
      <w:r>
        <w:tab/>
        <w:t>S. Mompelat, B. Le Bot, and O. Thomas, “Occurrence and fate of pharmaceutical products and by-products, from resource to drinking water,” Environ. Int., vol. 35, no. 5, pp. 803–814, July 2009, doi: 10.1016/j.envint.2008.10.008.</w:t>
      </w:r>
    </w:p>
    <w:p w14:paraId="141174A9" w14:textId="77777777" w:rsidR="00BF68AE" w:rsidRDefault="00BF68AE" w:rsidP="00BF68AE">
      <w:pPr>
        <w:ind w:hanging="567"/>
        <w:jc w:val="both"/>
      </w:pPr>
      <w:r>
        <w:t>[52]</w:t>
      </w:r>
      <w:r>
        <w:tab/>
        <w:t>L. Xu, H. Zhang, P. Xiong, Q. Zhu, C. Liao, and G. Jiang, “Occurrence, fate, and risk assessment of typical tetracycline antibiotics in the aquatic environment: A review,” Sci. Total Environ., vol. 753, p. 141975, Jan. 2021, doi: 10.1016/j.scitotenv.2020.141975.</w:t>
      </w:r>
    </w:p>
    <w:p w14:paraId="7CB53056" w14:textId="77777777" w:rsidR="00BF68AE" w:rsidRDefault="00BF68AE" w:rsidP="00BF68AE">
      <w:pPr>
        <w:ind w:hanging="567"/>
        <w:jc w:val="both"/>
      </w:pPr>
      <w:r>
        <w:t>[53]</w:t>
      </w:r>
      <w:r>
        <w:tab/>
        <w:t>P. K. Jjemba, “Excretion and ecotoxicity of pharmaceutical and personal care products in the environment,” Ecotoxicol. Environ. Saf., vol. 63, no. 1, pp. 113–130, Jan. 2006, doi: 10.1016/j.ecoenv.2004.11.011.</w:t>
      </w:r>
    </w:p>
    <w:p w14:paraId="4E0C553E" w14:textId="77777777" w:rsidR="00BF68AE" w:rsidRDefault="00BF68AE" w:rsidP="00BF68AE">
      <w:pPr>
        <w:ind w:hanging="567"/>
        <w:jc w:val="both"/>
      </w:pPr>
      <w:r>
        <w:t>[54]</w:t>
      </w:r>
      <w:r>
        <w:tab/>
        <w:t>A. A. Borghi and M. S. A. Palma, “Tetracycline: production, waste treatment and environmental impact assessment,” Braz. J. Pharm. Sci., vol. 50, pp. 25–40, 2014, doi: https://doi.org/10.1590/S1984-82502011000100003.</w:t>
      </w:r>
    </w:p>
    <w:p w14:paraId="4A2F0B0F" w14:textId="77777777" w:rsidR="00BF68AE" w:rsidRDefault="00BF68AE" w:rsidP="00BF68AE">
      <w:pPr>
        <w:ind w:hanging="567"/>
        <w:jc w:val="both"/>
      </w:pPr>
      <w:r>
        <w:t>[55]</w:t>
      </w:r>
      <w:r>
        <w:tab/>
        <w:t>A. Shimizu et al., “Ubiquitous occurrence of sulfonamides in tropical Asian waters,” Sci. Total Environ., vol. 452–453, pp. 108–115, May 2013, doi: 10.1016/j.scitotenv.2013.02.027.</w:t>
      </w:r>
    </w:p>
    <w:p w14:paraId="09C808A2" w14:textId="77777777" w:rsidR="00BF68AE" w:rsidRDefault="00BF68AE" w:rsidP="00BF68AE">
      <w:pPr>
        <w:ind w:hanging="567"/>
        <w:jc w:val="both"/>
      </w:pPr>
      <w:r>
        <w:lastRenderedPageBreak/>
        <w:t>[56]</w:t>
      </w:r>
      <w:r>
        <w:tab/>
        <w:t>X. Zhang et al., “Contamination distribution and non-biological removal pathways of typical tetracycline antibiotics in the environment: A review,” J. Hazard. Mater., vol. 463, p. 132862, Feb. 2024, doi: 10.1016/j.jhazmat.2023.132862.</w:t>
      </w:r>
    </w:p>
    <w:p w14:paraId="59FFDB95" w14:textId="77777777" w:rsidR="00BF68AE" w:rsidRDefault="00BF68AE" w:rsidP="00BF68AE">
      <w:pPr>
        <w:ind w:hanging="567"/>
        <w:jc w:val="both"/>
      </w:pPr>
      <w:r>
        <w:t>[57]</w:t>
      </w:r>
      <w:r>
        <w:tab/>
        <w:t>V. Homem and L. Santos, “Degradation and removal methods of antibiotics from aqueous matrices – A review,” J. Environ. Manage., vol. 92, no. 10, pp. 2304–2347, Oct. 2011, doi: 10.1016/j.jenvman.2011.05.023.</w:t>
      </w:r>
    </w:p>
    <w:p w14:paraId="4797CDD4" w14:textId="77777777" w:rsidR="00BF68AE" w:rsidRDefault="00BF68AE" w:rsidP="00BF68AE">
      <w:pPr>
        <w:ind w:hanging="567"/>
        <w:jc w:val="both"/>
      </w:pPr>
      <w:r>
        <w:t>[58]</w:t>
      </w:r>
      <w:r>
        <w:tab/>
        <w:t>M. Klavarioti, D. Mantzavinos, and D. Kassinos, “Removal of Pharmaceuticals from Wastewater by Advanced Oxidation Processes: A Review,” Environ. Int., pp. 402–417.</w:t>
      </w:r>
    </w:p>
    <w:p w14:paraId="25C00AAB" w14:textId="77777777" w:rsidR="00BF68AE" w:rsidRDefault="00BF68AE" w:rsidP="00BF68AE">
      <w:pPr>
        <w:ind w:hanging="567"/>
        <w:jc w:val="both"/>
      </w:pPr>
      <w:r>
        <w:t>[59]</w:t>
      </w:r>
      <w:r>
        <w:tab/>
        <w:t>J. Zhou, H. Ngo, and W. Guo, “Adsorptive removal of antibiotics from water and wastewater: Progress and challenges,” Sci. Total Environ., vol. 532, pp. 112–126, Nov. 2015, doi: 10.1016/j.scitotenv.2015.05.130.</w:t>
      </w:r>
    </w:p>
    <w:p w14:paraId="536614FE" w14:textId="77777777" w:rsidR="00BF68AE" w:rsidRDefault="00BF68AE" w:rsidP="00BF68AE">
      <w:pPr>
        <w:ind w:hanging="567"/>
        <w:jc w:val="both"/>
      </w:pPr>
      <w:r>
        <w:t>[60]</w:t>
      </w:r>
      <w:r>
        <w:tab/>
        <w:t>H. N. Tran, S.-J. You, A. Hosseini-Bandegharaei, and H.-P. Chao, “Mistakes and inconsistencies regarding adsorption of contaminants from aqueous solutions: A critical review,” Water Res., vol. 120, pp. 88–116, Sept. 2017, doi: 10.1016/j.watres.2017.04.014.</w:t>
      </w:r>
    </w:p>
    <w:p w14:paraId="0E402A12" w14:textId="77777777" w:rsidR="00BF68AE" w:rsidRDefault="00BF68AE" w:rsidP="00BF68AE">
      <w:pPr>
        <w:ind w:hanging="567"/>
        <w:jc w:val="both"/>
      </w:pPr>
      <w:r>
        <w:t>[61]</w:t>
      </w:r>
      <w:r>
        <w:tab/>
        <w:t>Y. Zhao, J. Geng, X. Wang, X. Gu, and S. Gao, “Tetracycline adsorption on kaolinite: PH, metal cations and humic acid effects,” Ecotoxicol. Lond. Engl., vol. 20, pp. 1141–7, Apr. 2011, doi: 10.1007/s10646-011-0665-6.</w:t>
      </w:r>
    </w:p>
    <w:p w14:paraId="4E9AA731" w14:textId="77777777" w:rsidR="00BF68AE" w:rsidRDefault="00BF68AE" w:rsidP="00BF68AE">
      <w:pPr>
        <w:ind w:hanging="567"/>
        <w:jc w:val="both"/>
      </w:pPr>
      <w:r>
        <w:t>[62]</w:t>
      </w:r>
      <w:r>
        <w:tab/>
        <w:t>C. Peiris, S. R. Gunatilake, T. E. Mlsna, D. Mohan, and M. Vithanage, “Biochar based removal of antibiotic sulfonamides and tetracyclines in aquatic environments: A critical review,” Bioresour. Technol., vol. 246, pp. 150–159, Dec. 2017, doi: 10.1016/j.biortech.2017.07.150.</w:t>
      </w:r>
    </w:p>
    <w:p w14:paraId="1E0CD48D" w14:textId="77777777" w:rsidR="00BF68AE" w:rsidRDefault="00BF68AE" w:rsidP="00BF68AE">
      <w:pPr>
        <w:ind w:hanging="567"/>
        <w:jc w:val="both"/>
      </w:pPr>
      <w:r>
        <w:t>[63]</w:t>
      </w:r>
      <w:r>
        <w:tab/>
        <w:t>H. M. Jang and E. Kan, “Engineered biochar from agricultural waste for removal of tetracycline in water,” Bioresour. Technol., vol. 284, pp. 437–447, July 2019, doi: 10.1016/j.biortech.2019.03.131.</w:t>
      </w:r>
    </w:p>
    <w:p w14:paraId="6D42DF37" w14:textId="77777777" w:rsidR="00BF68AE" w:rsidRDefault="00BF68AE" w:rsidP="00BF68AE">
      <w:pPr>
        <w:ind w:hanging="567"/>
        <w:jc w:val="both"/>
      </w:pPr>
      <w:r>
        <w:t>[64]</w:t>
      </w:r>
      <w:r>
        <w:tab/>
        <w:t>H. Wang et al., “Sorption of tetracycline on biochar derived from rice straw and swine manure,” RSC Adv., vol. 8, pp. 16260–16268, May 2018, doi: 10.1039/C8RA01454J.</w:t>
      </w:r>
    </w:p>
    <w:p w14:paraId="397A3173" w14:textId="77777777" w:rsidR="00BF68AE" w:rsidRDefault="00BF68AE" w:rsidP="00BF68AE">
      <w:pPr>
        <w:ind w:hanging="567"/>
        <w:jc w:val="both"/>
      </w:pPr>
      <w:r>
        <w:t>[65]</w:t>
      </w:r>
      <w:r>
        <w:tab/>
        <w:t>Y. Xiang et al., “Carbon-based materials as adsorbent for antibiotics removal: Mechanisms and influencing factors,” J. Environ. Manage., vol. 237, pp. 128–138, May 2019, doi: 10.1016/j.jenvman.2019.02.068.</w:t>
      </w:r>
    </w:p>
    <w:p w14:paraId="1FC7D4FB" w14:textId="77777777" w:rsidR="00BF68AE" w:rsidRDefault="00BF68AE" w:rsidP="00BF68AE">
      <w:pPr>
        <w:ind w:hanging="567"/>
        <w:jc w:val="both"/>
      </w:pPr>
      <w:r>
        <w:lastRenderedPageBreak/>
        <w:t>[66]</w:t>
      </w:r>
      <w:r>
        <w:tab/>
        <w:t>M. B. Ahmed, J. L. Zhou, H. H. Ngo, W. Guo, N. S. Thomaidis, and J. Xu, “Progress in the biological and chemical treatment technologies for emerging contaminant removal from wastewater: A critical review,” J. Hazard. Mater., vol. 323, pp. 274–298, Feb. 2017, doi: 10.1016/j.jhazmat.2016.04.045.</w:t>
      </w:r>
    </w:p>
    <w:p w14:paraId="5042709B" w14:textId="77777777" w:rsidR="00BF68AE" w:rsidRDefault="00BF68AE" w:rsidP="00BF68AE">
      <w:pPr>
        <w:ind w:hanging="567"/>
        <w:jc w:val="both"/>
      </w:pPr>
      <w:r>
        <w:t>[67]</w:t>
      </w:r>
      <w:r>
        <w:tab/>
        <w:t>C. Gu and K. G. Karthikeyan, “Interaction of Tetracycline with Aluminum and Iron Hydrous Oxides | Environmental Science &amp; Technology,” Environ. Sci. Technol., vol. 39, no. 8, pp. 2660–2667, 2005. Accessed: Dec. 15, 2025. [Online]. Available: https://pubs.acs.org/doi/10.1021/es048603o</w:t>
      </w:r>
    </w:p>
    <w:p w14:paraId="1FE6D8D5" w14:textId="77777777" w:rsidR="00BF68AE" w:rsidRDefault="00BF68AE" w:rsidP="00BF68AE">
      <w:pPr>
        <w:ind w:hanging="567"/>
        <w:jc w:val="both"/>
      </w:pPr>
      <w:r>
        <w:t>[68]</w:t>
      </w:r>
      <w:r>
        <w:tab/>
        <w:t>N. W. Bower, “Principles of Instrumental Analysis. 4th edition (Skoog, D. A.; Leary, J. J.),” J. Chem. Educ., vol. 69, no. 8, p. A224, Aug. 1992, doi: 10.1021/ed069pA224.1.</w:t>
      </w:r>
    </w:p>
    <w:p w14:paraId="761913C8" w14:textId="77777777" w:rsidR="00BF68AE" w:rsidRDefault="00BF68AE" w:rsidP="00BF68AE">
      <w:pPr>
        <w:ind w:hanging="567"/>
        <w:jc w:val="both"/>
      </w:pPr>
      <w:r>
        <w:t>[69]</w:t>
      </w:r>
      <w:r>
        <w:tab/>
        <w:t>S. Thomas, R. Thomas, A. K. Zachariah, and R. K. Mishra, Eds, “Scanning Electron Microscopy, ESEM, and X-ray Microanalysis,” in Microscopy Methods in Nanomaterials Characterization, Elsevier, 2017, pp. 1–30. doi: 10.1016/B978-0-323-46141-2.00001-8.</w:t>
      </w:r>
    </w:p>
    <w:p w14:paraId="3B18C689" w14:textId="77777777" w:rsidR="00BF68AE" w:rsidRDefault="00BF68AE" w:rsidP="00BF68AE">
      <w:pPr>
        <w:ind w:hanging="567"/>
        <w:jc w:val="both"/>
      </w:pPr>
      <w:r>
        <w:t>[70]</w:t>
      </w:r>
      <w:r>
        <w:tab/>
        <w:t>Y. Tian and J. Wu, “A comprehensive analysis of the BET area for nanoporous materials,” AIChE J., vol. 64, no. 1, pp. 286–293, 2018, doi: 10.1002/aic.15880.</w:t>
      </w:r>
    </w:p>
    <w:p w14:paraId="40853862" w14:textId="77777777" w:rsidR="00BF68AE" w:rsidRDefault="00BF68AE" w:rsidP="00BF68AE">
      <w:pPr>
        <w:ind w:hanging="567"/>
        <w:jc w:val="both"/>
      </w:pPr>
      <w:r>
        <w:t>[71]</w:t>
      </w:r>
      <w:r>
        <w:tab/>
        <w:t>J. Zou et al., “A preliminary study on assessing the Brunauer-Emmett-Teller analysis for disordered carbonaceous materials,” Microporous Mesoporous Mater., vol. 327, p. 111411, Nov. 2021, doi: 10.1016/j.micromeso.2021.111411.</w:t>
      </w:r>
    </w:p>
    <w:p w14:paraId="51D0CD6F" w14:textId="77777777" w:rsidR="00BF68AE" w:rsidRDefault="00BF68AE" w:rsidP="00BF68AE">
      <w:pPr>
        <w:ind w:hanging="567"/>
        <w:jc w:val="both"/>
      </w:pPr>
      <w:r>
        <w:t>[72]</w:t>
      </w:r>
      <w:r>
        <w:tab/>
        <w:t>S. Brunauer, P. H. Emmett, and E. Teller, Adsorption of Gases in Multimolecular Layers | Journal of the American Chemical Society, vol. 60, no. 2, pp. 309–319, 1938. J. Am. Chem. Soc. Accessed: Dec. 30, 2025. [Online]. Available: https://pubs.acs.org/doi/10.1021/ja01269a023</w:t>
      </w:r>
    </w:p>
    <w:p w14:paraId="52660040" w14:textId="77777777" w:rsidR="00BF68AE" w:rsidRDefault="00BF68AE" w:rsidP="00BF68AE">
      <w:pPr>
        <w:ind w:hanging="567"/>
        <w:jc w:val="both"/>
      </w:pPr>
      <w:r>
        <w:t>[73]</w:t>
      </w:r>
      <w:r>
        <w:tab/>
        <w:t>E. P. Barrett, L. G. Joyner, and P. P. Halenda, “The Determination of Pore Volume and Area Distributions in Porous Substances. I. Computations from Nitrogen Isotherms | Journal of the American Chemical Society,” J Am Chem Soc, vol. 73, no. 1, pp. 373–380, 1951, Accessed: Dec. 30, 2025. [Online]. Available: https://pubs.acs.org/doi/10.1021/ja01145a126</w:t>
      </w:r>
    </w:p>
    <w:p w14:paraId="2E248ACA" w14:textId="77777777" w:rsidR="00BF68AE" w:rsidRDefault="00BF68AE" w:rsidP="00BF68AE">
      <w:pPr>
        <w:ind w:hanging="567"/>
        <w:jc w:val="both"/>
      </w:pPr>
      <w:r>
        <w:t>[74]</w:t>
      </w:r>
      <w:r>
        <w:tab/>
        <w:t>S. A. Samad, A. Arafat, E. Lester, and I. Ahmed, “Upcycling Glass Waste into Porous Microspheres for Wastewater Treatment Applications: Efficacy of Dye Removal,” Materials, vol. 15, no. 17, Aug. 2022, doi: 10.3390/ma15175809.</w:t>
      </w:r>
    </w:p>
    <w:p w14:paraId="4AED44AB" w14:textId="77777777" w:rsidR="00BF68AE" w:rsidRDefault="00BF68AE" w:rsidP="00BF68AE">
      <w:pPr>
        <w:ind w:hanging="567"/>
        <w:jc w:val="both"/>
      </w:pPr>
      <w:r>
        <w:lastRenderedPageBreak/>
        <w:t>[75]</w:t>
      </w:r>
      <w:r>
        <w:tab/>
        <w:t>S. Foner, “Versatile and Sensitive Vibrating‐Sample Magnetometer,” Rev. Sci. Instrum., vol. 30, no. 7, pp. 548–557, July 1959, doi: 10.1063/1.1716679.</w:t>
      </w:r>
    </w:p>
    <w:p w14:paraId="0B70336F" w14:textId="77777777" w:rsidR="00BF68AE" w:rsidRDefault="00BF68AE" w:rsidP="00BF68AE">
      <w:pPr>
        <w:ind w:hanging="567"/>
        <w:jc w:val="both"/>
      </w:pPr>
      <w:r>
        <w:t>[76]</w:t>
      </w:r>
      <w:r>
        <w:tab/>
        <w:t>K. Khalid, R. Ishak, and Z. Z. Chowdhury, “Chapter 15 - UV–Vis spectroscopy in non-destructive testing,” in Non-Destructive Material Characterization Methods, A. Otsuki, S. Jose, M. Mohan, and S. Thomas, Eds., Elsevier, 2024, pp. 391–416. doi: 10.1016/B978-0-323-91150-4.00021-5.</w:t>
      </w:r>
    </w:p>
    <w:p w14:paraId="6A71DE99" w14:textId="77777777" w:rsidR="00BF68AE" w:rsidRDefault="00BF68AE" w:rsidP="00BF68AE">
      <w:pPr>
        <w:ind w:hanging="567"/>
        <w:jc w:val="both"/>
      </w:pPr>
      <w:r>
        <w:t>[77]</w:t>
      </w:r>
      <w:r>
        <w:tab/>
        <w:t>M. Kiteto and C. Mecha, “Insight into the Bouguer-Beer-Lambert Law: A review,” Sustain. Chem. Eng., pp. 567–587, Sept. 2024, doi: 10.37256/sce.5220245325.</w:t>
      </w:r>
    </w:p>
    <w:p w14:paraId="2D75730B" w14:textId="77777777" w:rsidR="00BF68AE" w:rsidRDefault="00BF68AE" w:rsidP="00BF68AE">
      <w:pPr>
        <w:ind w:hanging="567"/>
        <w:jc w:val="both"/>
      </w:pPr>
      <w:r>
        <w:t>[78]</w:t>
      </w:r>
      <w:r>
        <w:tab/>
        <w:t>S. Y. Lee et al, “Role of zeolite adsorbent in water treatment,” in Handbook of Nanomaterials for Wastewater Treatment, Elsevier, 2021, pp. 417–481. doi: 10.1016/B978-0-12-821496-1.00024-6.</w:t>
      </w:r>
    </w:p>
    <w:p w14:paraId="0DCB3036" w14:textId="77777777" w:rsidR="00BF68AE" w:rsidRDefault="00BF68AE" w:rsidP="00BF68AE">
      <w:pPr>
        <w:ind w:hanging="567"/>
        <w:jc w:val="both"/>
      </w:pPr>
      <w:r>
        <w:t>[79]</w:t>
      </w:r>
      <w:r>
        <w:tab/>
        <w:t>M. Zhang, B. Gao, S. Varnoosfaderani, A. Hebard, Y. Yao, and M. Inyang, “Preparation and characterization of a novel magnetic biochar for arsenic removal,” Bioresour. Technol., vol. 130, pp. 457–462, Feb. 2013, doi: 10.1016/j.biortech.2012.11.132.</w:t>
      </w:r>
    </w:p>
    <w:p w14:paraId="47053878" w14:textId="77777777" w:rsidR="00BF68AE" w:rsidRDefault="00BF68AE" w:rsidP="00BF68AE">
      <w:pPr>
        <w:ind w:hanging="567"/>
        <w:jc w:val="both"/>
      </w:pPr>
      <w:r>
        <w:t>[80]</w:t>
      </w:r>
      <w:r>
        <w:tab/>
        <w:t>U. K. Sahu, S. S. Mahapatra, and R. K. Patel, “Removal of As(III) from Aqueous Solution Using Fe3O4 Nanoparticles: Process Modeling and Optimization Using Statistical Design | Water, Air, &amp; Soil Pollution,” Water Air Soil Pollut., vol. 228, no. 1, p. 30, 2017. Accessed: Dec. 17, 2025. [Online]. Available: https://link.springer.com/article/10.1007/s11270-016-3224-1</w:t>
      </w:r>
    </w:p>
    <w:p w14:paraId="2E543DEB" w14:textId="77777777" w:rsidR="00BF68AE" w:rsidRDefault="00BF68AE" w:rsidP="00BF68AE">
      <w:pPr>
        <w:ind w:hanging="567"/>
        <w:jc w:val="both"/>
      </w:pPr>
      <w:r>
        <w:t>[81]</w:t>
      </w:r>
      <w:r>
        <w:tab/>
        <w:t>M. Keiluweit, P. S. Nico, M. G. Johnson, and M. Kleber, “Dynamic Molecular Structure of Plant Biomass-Derived Black Carbon (Biochar),” Environ. Sci. Technol., vol. 44, no. 4, pp. 1247–1253, Feb. 2010, doi: 10.1021/es9031419.</w:t>
      </w:r>
    </w:p>
    <w:p w14:paraId="70D8308B" w14:textId="77777777" w:rsidR="00BF68AE" w:rsidRDefault="00BF68AE" w:rsidP="00BF68AE">
      <w:pPr>
        <w:ind w:hanging="567"/>
        <w:jc w:val="both"/>
      </w:pPr>
      <w:r>
        <w:t>[82]</w:t>
      </w:r>
      <w:r>
        <w:tab/>
        <w:t>K. B. Cantrell, P. G. Hunt, M. Uchimiya, J. M. Novak, and K. S. Ro, “Impact of pyrolysis temperature and manure source on physicochemical characteristics of biochar,” Bioresour. Technol., vol. 107, pp. 419–428, Mar. 2012, doi: 10.1016/j.biortech.2011.11.084.</w:t>
      </w:r>
    </w:p>
    <w:p w14:paraId="30CB2BF9" w14:textId="77777777" w:rsidR="00BF68AE" w:rsidRDefault="00BF68AE" w:rsidP="00BF68AE">
      <w:pPr>
        <w:ind w:hanging="567"/>
        <w:jc w:val="both"/>
      </w:pPr>
      <w:r>
        <w:t>[83]</w:t>
      </w:r>
      <w:r>
        <w:tab/>
        <w:t>X. Tan et al., “Biochar-based nano-composites for the decontamination of wastewater: A review,” Bioresour. Technol., vol. 212, pp. 318–333, July 2016, doi: 10.1016/j.biortech.2016.04.093.</w:t>
      </w:r>
    </w:p>
    <w:p w14:paraId="7D62C373" w14:textId="77777777" w:rsidR="00BF68AE" w:rsidRDefault="00BF68AE" w:rsidP="00BF68AE">
      <w:pPr>
        <w:ind w:hanging="567"/>
        <w:jc w:val="both"/>
      </w:pPr>
      <w:r>
        <w:lastRenderedPageBreak/>
        <w:t>[84]</w:t>
      </w:r>
      <w:r>
        <w:tab/>
        <w:t>N. Hong Nam and L. Vu, “Physico-chemical properties of macadamia nut shell post-gasification residues and potential agricultural application,” Vietnam J. Sci. Technol., vol. 62, pp. 58–67, Feb. 2024, doi: 10.15625/2525-2518/18001.</w:t>
      </w:r>
    </w:p>
    <w:p w14:paraId="50F1045E" w14:textId="77777777" w:rsidR="00BF68AE" w:rsidRDefault="00BF68AE" w:rsidP="00BF68AE">
      <w:pPr>
        <w:ind w:hanging="567"/>
        <w:jc w:val="both"/>
      </w:pPr>
      <w:r>
        <w:t>[85]</w:t>
      </w:r>
      <w:r>
        <w:tab/>
        <w:t>V. Ranjithkumar, A. N. Hazeen, M. Thamilselvan, and S. Vairam, “Magnetic activated carbon-Fe3O4 nanocomposites--synthesis and applications in the removal of acid yellow dye 17 from water,” J. Nanosci. Nanotechnol., vol. 14, no. 7, pp. 4949–4959, July 2014, doi: 10.1166/jnn.2014.9068.</w:t>
      </w:r>
    </w:p>
    <w:p w14:paraId="49417213" w14:textId="77777777" w:rsidR="00BF68AE" w:rsidRDefault="00BF68AE" w:rsidP="00BF68AE">
      <w:pPr>
        <w:ind w:hanging="567"/>
        <w:jc w:val="both"/>
      </w:pPr>
      <w:r>
        <w:t>[86]</w:t>
      </w:r>
      <w:r>
        <w:tab/>
        <w:t>A.-H. Lu, E. L. Salabas, and F. Schüth, “Magnetic Nanoparticles: Synthesis, Protection, Functionalization, and Application,” Angew. Chem. Int. Ed., vol. vol. 46, no. 8, pp. 1222–1244, 2007.</w:t>
      </w:r>
    </w:p>
    <w:p w14:paraId="6EC21A44" w14:textId="77777777" w:rsidR="00BF68AE" w:rsidRDefault="00BF68AE" w:rsidP="00BF68AE">
      <w:pPr>
        <w:ind w:hanging="567"/>
        <w:jc w:val="both"/>
      </w:pPr>
      <w:r>
        <w:t>[87]</w:t>
      </w:r>
      <w:r>
        <w:tab/>
        <w:t>M. Thommes et al., “Physisorption of gases, with special reference to the evaluation of surface area and pore size distribution (IUPAC Technical Report),” Pure Appl. Chem., vol. 87, no. 9–10, pp. 1051–1069, Oct. 2015, doi: 10.1515/pac-2014-1117.</w:t>
      </w:r>
    </w:p>
    <w:p w14:paraId="27769AF7" w14:textId="77777777" w:rsidR="00BF68AE" w:rsidRDefault="00BF68AE" w:rsidP="00BF68AE">
      <w:pPr>
        <w:ind w:hanging="567"/>
        <w:jc w:val="both"/>
      </w:pPr>
      <w:r>
        <w:t>[88]</w:t>
      </w:r>
      <w:r>
        <w:tab/>
        <w:t>G. Leofanti, M. Padovan, G. Tozzola, and B. Venturelli, “Surface area and pore texture of catalysts,” Catal. Today, vol. 41, no. 1, pp. 207–219, May 1998, doi: 10.1016/S0920-5861(98)00050-9.</w:t>
      </w:r>
    </w:p>
    <w:p w14:paraId="0C23BDBD" w14:textId="77777777" w:rsidR="00BF68AE" w:rsidRDefault="00BF68AE" w:rsidP="00BF68AE">
      <w:pPr>
        <w:ind w:hanging="567"/>
        <w:jc w:val="both"/>
      </w:pPr>
      <w:r>
        <w:t>[89]</w:t>
      </w:r>
      <w:r>
        <w:tab/>
        <w:t>Z. Zheng, B. Zhao, Y. Guo, Y. Guo, T. Pak, and G. Li, “Preparation of mesoporous batatas biochar via soft-template method for high efficiency removal of tetracycline,” Sci. Total Environ., vol. 787, p. 147397, Sept. 2021, doi: 10.1016/j.scitotenv.2021.147397.</w:t>
      </w:r>
    </w:p>
    <w:p w14:paraId="5232C47D" w14:textId="77777777" w:rsidR="00BF68AE" w:rsidRDefault="00BF68AE" w:rsidP="00BF68AE">
      <w:pPr>
        <w:ind w:hanging="567"/>
        <w:jc w:val="both"/>
      </w:pPr>
      <w:r>
        <w:t>[90]</w:t>
      </w:r>
      <w:r>
        <w:tab/>
        <w:t>H. Marsh and F. Rodríguez-Reinoso, Characterization of Activated Carbon. Elsevier, 2006. doi: 10.1016/B978-008044463-5/50018-2.</w:t>
      </w:r>
    </w:p>
    <w:p w14:paraId="00A8DE88" w14:textId="77777777" w:rsidR="00BF68AE" w:rsidRDefault="00BF68AE" w:rsidP="00BF68AE">
      <w:pPr>
        <w:ind w:hanging="567"/>
        <w:jc w:val="both"/>
      </w:pPr>
      <w:r>
        <w:t>[91]</w:t>
      </w:r>
      <w:r>
        <w:tab/>
        <w:t>R. Haul, “S. J. Gregg, K. S. W. Sing: Adsorption, Surface Area and Porosity. 2. Auflage, Academic Press, London 1982. 303 Seiten, Preis: $ 49.50,” Berichte Bunsenges. Für Phys. Chem., vol. 86, no. 10, pp. 957–957, 1982, doi: 10.1002/bbpc.19820861019.</w:t>
      </w:r>
    </w:p>
    <w:p w14:paraId="696DC931" w14:textId="77777777" w:rsidR="00BF68AE" w:rsidRDefault="00BF68AE" w:rsidP="00BF68AE">
      <w:pPr>
        <w:ind w:hanging="567"/>
        <w:jc w:val="both"/>
      </w:pPr>
      <w:r>
        <w:t>[92]</w:t>
      </w:r>
      <w:r>
        <w:tab/>
        <w:t>X. Tan et al., “Biochar-based nano-composites for the decontamination of wastewater: A review,” Bioresour. Technol., vol. 212, pp. 318–333, July 2016, doi: 10.1016/j.biortech.2016.04.093.</w:t>
      </w:r>
    </w:p>
    <w:p w14:paraId="33CC4913" w14:textId="77777777" w:rsidR="00BF68AE" w:rsidRDefault="00BF68AE" w:rsidP="00BF68AE">
      <w:pPr>
        <w:ind w:hanging="567"/>
        <w:jc w:val="both"/>
      </w:pPr>
      <w:r>
        <w:t>[93]</w:t>
      </w:r>
      <w:r>
        <w:tab/>
        <w:t xml:space="preserve">L. Shao, Z. Ren, G. Zhang, and L. Chen, “Facile synthesis, characterization of a MnFe2O4/activated carbon magnetic composite and its effectiveness in tetracycline </w:t>
      </w:r>
      <w:r>
        <w:lastRenderedPageBreak/>
        <w:t>removal,” Mater. Chem. Phys., vol. 135, no. 1, pp. 16–24, July 2012, doi: 10.1016/j.matchemphys.2012.03.035.</w:t>
      </w:r>
    </w:p>
    <w:p w14:paraId="3F1C2EE6" w14:textId="77777777" w:rsidR="00BF68AE" w:rsidRDefault="00BF68AE" w:rsidP="00BF68AE">
      <w:pPr>
        <w:ind w:hanging="567"/>
        <w:jc w:val="both"/>
      </w:pPr>
      <w:r>
        <w:t>[94]</w:t>
      </w:r>
      <w:r>
        <w:tab/>
        <w:t>S. Luo, J. Qin, Y. Wu, and F. Feng, “Tetracycline adsorption on magnetic sludge biochar: size effect of the Fe3O4 nanoparticles,” R. Soc. Open Sci., vol. 9, no. 1, p. 210805, Jan. 2022, doi: 10.1098/rsos.210805.</w:t>
      </w:r>
    </w:p>
    <w:p w14:paraId="374014F5" w14:textId="77777777" w:rsidR="00BF68AE" w:rsidRDefault="00BF68AE" w:rsidP="00BF68AE">
      <w:pPr>
        <w:ind w:hanging="567"/>
        <w:jc w:val="both"/>
      </w:pPr>
      <w:r>
        <w:t>[95]</w:t>
      </w:r>
      <w:r>
        <w:tab/>
        <w:t>X. Zhao et al., “Efficient Removal of Tetracycline from Water by One-Step Pyrolytic Porous Biochar Derived from Antibiotic Fermentation Residue,” Nanomaterials, vol. 14, no. 17, Aug. 2024, doi: 10.3390/nano14171377.</w:t>
      </w:r>
    </w:p>
    <w:p w14:paraId="3070C7F5" w14:textId="77777777" w:rsidR="00BF68AE" w:rsidRDefault="00BF68AE" w:rsidP="00BF68AE">
      <w:pPr>
        <w:ind w:hanging="567"/>
        <w:jc w:val="both"/>
      </w:pPr>
      <w:r>
        <w:t>[96]</w:t>
      </w:r>
      <w:r>
        <w:tab/>
        <w:t>V.-T. Nguyen, T.-B. Nguyen, C. P. Huang, C.-W. Chen, X.-T. Bui, and C.-D. Dong, “Alkaline modified biochar derived from spent coffee ground for removal of tetracycline from aqueous solutions,” J. Water Process Eng., vol. 40, p. 101908, Apr. 2021, doi: 10.1016/j.jwpe.2020.101908.</w:t>
      </w:r>
    </w:p>
    <w:p w14:paraId="71B3CA62" w14:textId="77777777" w:rsidR="00BF68AE" w:rsidRDefault="00BF68AE" w:rsidP="00BF68AE">
      <w:pPr>
        <w:ind w:hanging="567"/>
        <w:jc w:val="both"/>
      </w:pPr>
      <w:r>
        <w:t>[97]</w:t>
      </w:r>
      <w:r>
        <w:tab/>
        <w:t>Z. Shi et al., “The Removal of Tetracycline from Aqueous Solutions Using Peanut Shell Biochars Prepared at Different Pyrolysis Temperatures,” Sustainability, vol. 15, no. 1, Jan. 2023, doi: 10.3390/su15010874.</w:t>
      </w:r>
    </w:p>
    <w:p w14:paraId="1967FD47" w14:textId="77777777" w:rsidR="00BF68AE" w:rsidRDefault="00BF68AE" w:rsidP="00BF68AE">
      <w:pPr>
        <w:ind w:hanging="567"/>
        <w:jc w:val="both"/>
      </w:pPr>
      <w:r>
        <w:t>[98]</w:t>
      </w:r>
      <w:r>
        <w:tab/>
        <w:t>S. Zeng and E. Kan, “Sustainable use of Ca(OH)2 modified biochar for phosphorus recovery and tetracycline removal from water,” Sci. Total Environ., vol. 839, p. 156159, Sept. 2022, doi: 10.1016/j.scitotenv.2022.156159.</w:t>
      </w:r>
    </w:p>
    <w:p w14:paraId="456C4105" w14:textId="77777777" w:rsidR="00BF68AE" w:rsidRDefault="00BF68AE" w:rsidP="00BF68AE">
      <w:pPr>
        <w:ind w:hanging="567"/>
        <w:jc w:val="both"/>
      </w:pPr>
      <w:r>
        <w:t>[99]</w:t>
      </w:r>
      <w:r>
        <w:tab/>
        <w:t>Y. Dai et al., “Adsorption characteristics of tetracycline on biochar from agricultural wastes,” Desalination Water Treat., vol. 151, pp. 384–391, May 2019, doi: 10.5004/dwt.2019.23829.</w:t>
      </w:r>
    </w:p>
    <w:p w14:paraId="65072771" w14:textId="77777777" w:rsidR="00BF68AE" w:rsidRDefault="00BF68AE" w:rsidP="00BF68AE">
      <w:pPr>
        <w:ind w:hanging="567"/>
        <w:jc w:val="both"/>
      </w:pPr>
      <w:r>
        <w:t>[100]</w:t>
      </w:r>
      <w:r>
        <w:tab/>
        <w:t>A. C. Martins et al., “Removal of tetracycline by NaOH-activated carbon produced from macadamia nut shells: Kinetic and equilibrium studies,” Chem. Eng. J., vol. 260, pp. 291–299, Jan. 2015, doi: 10.1016/j.cej.2014.09.017.</w:t>
      </w:r>
    </w:p>
    <w:p w14:paraId="5E8116F4" w14:textId="77777777" w:rsidR="00BF68AE" w:rsidRDefault="00BF68AE" w:rsidP="00BF68AE">
      <w:pPr>
        <w:ind w:hanging="567"/>
        <w:jc w:val="both"/>
      </w:pPr>
      <w:r>
        <w:t>[101]</w:t>
      </w:r>
      <w:r>
        <w:tab/>
        <w:t>F. Gao, Z. Xu, and Y. Dai, “Removal of tetracycline from wastewater using magnetic biochar: A comparative study of performance based on the preparation method,” Environ. Technol. Innov., vol. 24, p. 101916, Nov. 2021, doi: 10.1016/j.eti.2021.101916.</w:t>
      </w:r>
    </w:p>
    <w:p w14:paraId="6655DAEE" w14:textId="77777777" w:rsidR="00796AA6" w:rsidRPr="007419F8" w:rsidRDefault="00796AA6" w:rsidP="007419F8">
      <w:pPr>
        <w:ind w:hanging="567"/>
        <w:jc w:val="both"/>
      </w:pPr>
    </w:p>
    <w:sectPr w:rsidR="00796AA6" w:rsidRPr="007419F8" w:rsidSect="005E6DF4">
      <w:pgSz w:w="11906" w:h="16838" w:code="9"/>
      <w:pgMar w:top="1418" w:right="1134"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568C" w14:textId="77777777" w:rsidR="00CF0C31" w:rsidRDefault="00CF0C31" w:rsidP="00837E32">
      <w:pPr>
        <w:spacing w:after="0" w:line="240" w:lineRule="auto"/>
      </w:pPr>
      <w:r>
        <w:separator/>
      </w:r>
    </w:p>
  </w:endnote>
  <w:endnote w:type="continuationSeparator" w:id="0">
    <w:p w14:paraId="31B2F6A9" w14:textId="77777777" w:rsidR="00CF0C31" w:rsidRDefault="00CF0C31" w:rsidP="0083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Josefin Sans">
    <w:charset w:val="00"/>
    <w:family w:val="auto"/>
    <w:pitch w:val="variable"/>
    <w:sig w:usb0="A00000FF" w:usb1="4000204B" w:usb2="00000000" w:usb3="00000000" w:csb0="00000193" w:csb1="00000000"/>
  </w:font>
  <w:font w:name="League Spart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43041"/>
      <w:docPartObj>
        <w:docPartGallery w:val="Page Numbers (Bottom of Page)"/>
        <w:docPartUnique/>
      </w:docPartObj>
    </w:sdtPr>
    <w:sdtEndPr>
      <w:rPr>
        <w:noProof/>
      </w:rPr>
    </w:sdtEndPr>
    <w:sdtContent>
      <w:p w14:paraId="1FDB1562" w14:textId="73194F56" w:rsidR="00D94AFD" w:rsidRDefault="00D94AFD">
        <w:pPr>
          <w:pStyle w:val="Footer"/>
          <w:jc w:val="center"/>
        </w:pPr>
        <w:r>
          <w:fldChar w:fldCharType="begin"/>
        </w:r>
        <w:r>
          <w:instrText xml:space="preserve"> PAGE   \* MERGEFORMAT </w:instrText>
        </w:r>
        <w:r>
          <w:fldChar w:fldCharType="separate"/>
        </w:r>
        <w:r w:rsidR="00C41FBB">
          <w:rPr>
            <w:noProof/>
          </w:rPr>
          <w:t>33</w:t>
        </w:r>
        <w:r>
          <w:rPr>
            <w:noProof/>
          </w:rPr>
          <w:fldChar w:fldCharType="end"/>
        </w:r>
      </w:p>
    </w:sdtContent>
  </w:sdt>
  <w:p w14:paraId="2EEAB3FE" w14:textId="77777777" w:rsidR="00D94AFD" w:rsidRDefault="00D94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5BDF" w14:textId="77777777" w:rsidR="00CF0C31" w:rsidRDefault="00CF0C31" w:rsidP="00837E32">
      <w:pPr>
        <w:spacing w:after="0" w:line="240" w:lineRule="auto"/>
      </w:pPr>
      <w:r>
        <w:separator/>
      </w:r>
    </w:p>
  </w:footnote>
  <w:footnote w:type="continuationSeparator" w:id="0">
    <w:p w14:paraId="07B1C92C" w14:textId="77777777" w:rsidR="00CF0C31" w:rsidRDefault="00CF0C31" w:rsidP="00837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FA55" w14:textId="77777777" w:rsidR="00D94AFD" w:rsidRDefault="00D94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5A5"/>
    <w:multiLevelType w:val="hybridMultilevel"/>
    <w:tmpl w:val="08364476"/>
    <w:lvl w:ilvl="0" w:tplc="62605DE2">
      <w:start w:val="3"/>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548587D"/>
    <w:multiLevelType w:val="hybridMultilevel"/>
    <w:tmpl w:val="AFE4295A"/>
    <w:lvl w:ilvl="0" w:tplc="082A95DC">
      <w:numFmt w:val="bullet"/>
      <w:lvlText w:val="-"/>
      <w:lvlJc w:val="left"/>
      <w:pPr>
        <w:ind w:left="1866" w:hanging="360"/>
      </w:pPr>
      <w:rPr>
        <w:rFonts w:ascii="Times New Roman" w:eastAsiaTheme="minorEastAsia" w:hAnsi="Times New Roman" w:cs="Times New Roman"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 w15:restartNumberingAfterBreak="0">
    <w:nsid w:val="07382FC1"/>
    <w:multiLevelType w:val="multilevel"/>
    <w:tmpl w:val="8CB0BB5E"/>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4EDE"/>
    <w:multiLevelType w:val="hybridMultilevel"/>
    <w:tmpl w:val="D3DC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4451"/>
    <w:multiLevelType w:val="hybridMultilevel"/>
    <w:tmpl w:val="43569A28"/>
    <w:lvl w:ilvl="0" w:tplc="62605DE2">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70DF1"/>
    <w:multiLevelType w:val="multilevel"/>
    <w:tmpl w:val="58AC0FD6"/>
    <w:lvl w:ilvl="0">
      <w:start w:val="1"/>
      <w:numFmt w:val="decimal"/>
      <w:pStyle w:val="Heading1"/>
      <w:suff w:val="space"/>
      <w:lvlText w:val="CHƯƠNG %1:"/>
      <w:lvlJc w:val="left"/>
      <w:pPr>
        <w:ind w:left="567" w:hanging="567"/>
      </w:pPr>
      <w:rPr>
        <w:rFonts w:hint="default"/>
      </w:rPr>
    </w:lvl>
    <w:lvl w:ilvl="1">
      <w:start w:val="1"/>
      <w:numFmt w:val="decimal"/>
      <w:pStyle w:val="Heading2"/>
      <w:isLgl/>
      <w:suff w:val="space"/>
      <w:lvlText w:val="%1.%2."/>
      <w:lvlJc w:val="left"/>
      <w:pPr>
        <w:ind w:left="567" w:hanging="567"/>
      </w:pPr>
      <w:rPr>
        <w:rFonts w:hint="default"/>
      </w:rPr>
    </w:lvl>
    <w:lvl w:ilvl="2">
      <w:start w:val="1"/>
      <w:numFmt w:val="decimal"/>
      <w:pStyle w:val="Heading3"/>
      <w:isLgl/>
      <w:suff w:val="space"/>
      <w:lvlText w:val="%1.%2.%3."/>
      <w:lvlJc w:val="left"/>
      <w:pPr>
        <w:ind w:left="1135" w:hanging="567"/>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D81B27"/>
    <w:multiLevelType w:val="multilevel"/>
    <w:tmpl w:val="A8C052D0"/>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D6A31"/>
    <w:multiLevelType w:val="hybridMultilevel"/>
    <w:tmpl w:val="3188A85E"/>
    <w:lvl w:ilvl="0" w:tplc="62605DE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93662"/>
    <w:multiLevelType w:val="hybridMultilevel"/>
    <w:tmpl w:val="F58A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26122"/>
    <w:multiLevelType w:val="multilevel"/>
    <w:tmpl w:val="667AF06E"/>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93994"/>
    <w:multiLevelType w:val="hybridMultilevel"/>
    <w:tmpl w:val="4B98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C78D1"/>
    <w:multiLevelType w:val="hybridMultilevel"/>
    <w:tmpl w:val="A852CBAC"/>
    <w:lvl w:ilvl="0" w:tplc="62605DE2">
      <w:start w:val="3"/>
      <w:numFmt w:val="bullet"/>
      <w:lvlText w:val="-"/>
      <w:lvlJc w:val="left"/>
      <w:pPr>
        <w:ind w:left="1146" w:hanging="360"/>
      </w:pPr>
      <w:rPr>
        <w:rFonts w:ascii="Times New Roman" w:eastAsiaTheme="minorEastAsia" w:hAnsi="Times New Roman" w:cs="Times New Roman" w:hint="default"/>
      </w:rPr>
    </w:lvl>
    <w:lvl w:ilvl="1" w:tplc="62605DE2">
      <w:start w:val="3"/>
      <w:numFmt w:val="bullet"/>
      <w:lvlText w:val="-"/>
      <w:lvlJc w:val="left"/>
      <w:pPr>
        <w:ind w:left="1866" w:hanging="360"/>
      </w:pPr>
      <w:rPr>
        <w:rFonts w:ascii="Times New Roman" w:eastAsiaTheme="minorEastAsia"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1606A39"/>
    <w:multiLevelType w:val="multilevel"/>
    <w:tmpl w:val="DABCD7E2"/>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72C4B"/>
    <w:multiLevelType w:val="multilevel"/>
    <w:tmpl w:val="E1CA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B747A"/>
    <w:multiLevelType w:val="multilevel"/>
    <w:tmpl w:val="6C56969C"/>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004C2"/>
    <w:multiLevelType w:val="hybridMultilevel"/>
    <w:tmpl w:val="8E26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B4B09"/>
    <w:multiLevelType w:val="hybridMultilevel"/>
    <w:tmpl w:val="AF480194"/>
    <w:lvl w:ilvl="0" w:tplc="082A95DC">
      <w:numFmt w:val="bullet"/>
      <w:lvlText w:val="-"/>
      <w:lvlJc w:val="left"/>
      <w:pPr>
        <w:ind w:left="1146" w:hanging="360"/>
      </w:pPr>
      <w:rPr>
        <w:rFonts w:ascii="Times New Roman" w:eastAsiaTheme="minorEastAsia"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5"/>
  </w:num>
  <w:num w:numId="2">
    <w:abstractNumId w:val="1"/>
  </w:num>
  <w:num w:numId="3">
    <w:abstractNumId w:val="16"/>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4"/>
  </w:num>
  <w:num w:numId="10">
    <w:abstractNumId w:val="6"/>
  </w:num>
  <w:num w:numId="11">
    <w:abstractNumId w:val="11"/>
  </w:num>
  <w:num w:numId="12">
    <w:abstractNumId w:val="0"/>
  </w:num>
  <w:num w:numId="13">
    <w:abstractNumId w:val="7"/>
  </w:num>
  <w:num w:numId="14">
    <w:abstractNumId w:val="10"/>
  </w:num>
  <w:num w:numId="15">
    <w:abstractNumId w:val="15"/>
  </w:num>
  <w:num w:numId="16">
    <w:abstractNumId w:val="3"/>
  </w:num>
  <w:num w:numId="17">
    <w:abstractNumId w:val="8"/>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1EF"/>
    <w:rsid w:val="000012C2"/>
    <w:rsid w:val="000016F6"/>
    <w:rsid w:val="00001B6D"/>
    <w:rsid w:val="00001EBC"/>
    <w:rsid w:val="0000264D"/>
    <w:rsid w:val="00002A14"/>
    <w:rsid w:val="00002C58"/>
    <w:rsid w:val="00003BB9"/>
    <w:rsid w:val="00003C28"/>
    <w:rsid w:val="00004006"/>
    <w:rsid w:val="0000459B"/>
    <w:rsid w:val="000050EA"/>
    <w:rsid w:val="00005123"/>
    <w:rsid w:val="00005C72"/>
    <w:rsid w:val="00006287"/>
    <w:rsid w:val="00006D2B"/>
    <w:rsid w:val="00006F61"/>
    <w:rsid w:val="00007666"/>
    <w:rsid w:val="00007C4A"/>
    <w:rsid w:val="00007C72"/>
    <w:rsid w:val="000115CA"/>
    <w:rsid w:val="000116D3"/>
    <w:rsid w:val="000119FE"/>
    <w:rsid w:val="00011A52"/>
    <w:rsid w:val="00011E6F"/>
    <w:rsid w:val="00011EF2"/>
    <w:rsid w:val="00012F77"/>
    <w:rsid w:val="0001333B"/>
    <w:rsid w:val="00013BF6"/>
    <w:rsid w:val="0001469C"/>
    <w:rsid w:val="00014729"/>
    <w:rsid w:val="00014753"/>
    <w:rsid w:val="00014E84"/>
    <w:rsid w:val="0001549D"/>
    <w:rsid w:val="00015EA0"/>
    <w:rsid w:val="00016036"/>
    <w:rsid w:val="000171EF"/>
    <w:rsid w:val="00017AAD"/>
    <w:rsid w:val="00017B63"/>
    <w:rsid w:val="0002025A"/>
    <w:rsid w:val="00020464"/>
    <w:rsid w:val="00020949"/>
    <w:rsid w:val="0002112E"/>
    <w:rsid w:val="00021CDE"/>
    <w:rsid w:val="000228C0"/>
    <w:rsid w:val="00023015"/>
    <w:rsid w:val="00023021"/>
    <w:rsid w:val="0002479D"/>
    <w:rsid w:val="0002481C"/>
    <w:rsid w:val="00024FC3"/>
    <w:rsid w:val="000250C1"/>
    <w:rsid w:val="000251B6"/>
    <w:rsid w:val="000270E4"/>
    <w:rsid w:val="000273F2"/>
    <w:rsid w:val="00027A3C"/>
    <w:rsid w:val="00027B19"/>
    <w:rsid w:val="00027FA7"/>
    <w:rsid w:val="0003035F"/>
    <w:rsid w:val="00030B3B"/>
    <w:rsid w:val="00030D47"/>
    <w:rsid w:val="0003112F"/>
    <w:rsid w:val="00032167"/>
    <w:rsid w:val="000323C9"/>
    <w:rsid w:val="000328FF"/>
    <w:rsid w:val="00032B80"/>
    <w:rsid w:val="00033673"/>
    <w:rsid w:val="0003368F"/>
    <w:rsid w:val="00034248"/>
    <w:rsid w:val="000344CD"/>
    <w:rsid w:val="000348CD"/>
    <w:rsid w:val="00034F76"/>
    <w:rsid w:val="00035051"/>
    <w:rsid w:val="00036889"/>
    <w:rsid w:val="000368B3"/>
    <w:rsid w:val="00036D70"/>
    <w:rsid w:val="000370D6"/>
    <w:rsid w:val="00037182"/>
    <w:rsid w:val="00042118"/>
    <w:rsid w:val="000422B3"/>
    <w:rsid w:val="00042444"/>
    <w:rsid w:val="000426E3"/>
    <w:rsid w:val="00043154"/>
    <w:rsid w:val="00043C43"/>
    <w:rsid w:val="000441FC"/>
    <w:rsid w:val="0004495B"/>
    <w:rsid w:val="0004497A"/>
    <w:rsid w:val="00044A79"/>
    <w:rsid w:val="00046355"/>
    <w:rsid w:val="00047025"/>
    <w:rsid w:val="00047246"/>
    <w:rsid w:val="00047D57"/>
    <w:rsid w:val="00051378"/>
    <w:rsid w:val="000516FF"/>
    <w:rsid w:val="00051C5E"/>
    <w:rsid w:val="00051CDB"/>
    <w:rsid w:val="00051F32"/>
    <w:rsid w:val="000540EB"/>
    <w:rsid w:val="00054132"/>
    <w:rsid w:val="00055559"/>
    <w:rsid w:val="00055D25"/>
    <w:rsid w:val="000572AB"/>
    <w:rsid w:val="000574C6"/>
    <w:rsid w:val="00057692"/>
    <w:rsid w:val="00057982"/>
    <w:rsid w:val="00057BC8"/>
    <w:rsid w:val="00061967"/>
    <w:rsid w:val="00061A32"/>
    <w:rsid w:val="0006271B"/>
    <w:rsid w:val="000631A7"/>
    <w:rsid w:val="00064B7A"/>
    <w:rsid w:val="000654C1"/>
    <w:rsid w:val="0006558E"/>
    <w:rsid w:val="0006608E"/>
    <w:rsid w:val="000665E3"/>
    <w:rsid w:val="00067568"/>
    <w:rsid w:val="00067E37"/>
    <w:rsid w:val="000709C5"/>
    <w:rsid w:val="00071A4B"/>
    <w:rsid w:val="00072140"/>
    <w:rsid w:val="00072A45"/>
    <w:rsid w:val="00072C20"/>
    <w:rsid w:val="00073C95"/>
    <w:rsid w:val="00074DF2"/>
    <w:rsid w:val="00074FD8"/>
    <w:rsid w:val="0007520F"/>
    <w:rsid w:val="00075229"/>
    <w:rsid w:val="000757DC"/>
    <w:rsid w:val="00075C6D"/>
    <w:rsid w:val="000762F4"/>
    <w:rsid w:val="00076646"/>
    <w:rsid w:val="000766A1"/>
    <w:rsid w:val="00076A53"/>
    <w:rsid w:val="0008066B"/>
    <w:rsid w:val="000812B8"/>
    <w:rsid w:val="00081C40"/>
    <w:rsid w:val="00081D84"/>
    <w:rsid w:val="0008200E"/>
    <w:rsid w:val="00082927"/>
    <w:rsid w:val="000830EC"/>
    <w:rsid w:val="000832D4"/>
    <w:rsid w:val="000835CB"/>
    <w:rsid w:val="00084732"/>
    <w:rsid w:val="00084A4D"/>
    <w:rsid w:val="0008693A"/>
    <w:rsid w:val="00086B8B"/>
    <w:rsid w:val="00086E9F"/>
    <w:rsid w:val="00086F61"/>
    <w:rsid w:val="00087F10"/>
    <w:rsid w:val="00090083"/>
    <w:rsid w:val="00091786"/>
    <w:rsid w:val="0009197E"/>
    <w:rsid w:val="00091CBF"/>
    <w:rsid w:val="00092127"/>
    <w:rsid w:val="0009265D"/>
    <w:rsid w:val="00092FB5"/>
    <w:rsid w:val="00093D45"/>
    <w:rsid w:val="00093F1E"/>
    <w:rsid w:val="00094551"/>
    <w:rsid w:val="00095A97"/>
    <w:rsid w:val="00095E9F"/>
    <w:rsid w:val="00095F5D"/>
    <w:rsid w:val="00096C34"/>
    <w:rsid w:val="00097001"/>
    <w:rsid w:val="0009761A"/>
    <w:rsid w:val="00097831"/>
    <w:rsid w:val="000978FA"/>
    <w:rsid w:val="000A12D4"/>
    <w:rsid w:val="000A1D5C"/>
    <w:rsid w:val="000A2002"/>
    <w:rsid w:val="000A31F6"/>
    <w:rsid w:val="000A3899"/>
    <w:rsid w:val="000A3E9F"/>
    <w:rsid w:val="000A4341"/>
    <w:rsid w:val="000A445F"/>
    <w:rsid w:val="000A458C"/>
    <w:rsid w:val="000A53B8"/>
    <w:rsid w:val="000A5E17"/>
    <w:rsid w:val="000A6D7C"/>
    <w:rsid w:val="000A6F26"/>
    <w:rsid w:val="000A7065"/>
    <w:rsid w:val="000B0F37"/>
    <w:rsid w:val="000B11BC"/>
    <w:rsid w:val="000B122E"/>
    <w:rsid w:val="000B1579"/>
    <w:rsid w:val="000B30EF"/>
    <w:rsid w:val="000B3A19"/>
    <w:rsid w:val="000B43EB"/>
    <w:rsid w:val="000B4826"/>
    <w:rsid w:val="000B4C0E"/>
    <w:rsid w:val="000B5D6C"/>
    <w:rsid w:val="000B618F"/>
    <w:rsid w:val="000B62C7"/>
    <w:rsid w:val="000B6504"/>
    <w:rsid w:val="000B7466"/>
    <w:rsid w:val="000B79D3"/>
    <w:rsid w:val="000C18C1"/>
    <w:rsid w:val="000C1F91"/>
    <w:rsid w:val="000C1F9D"/>
    <w:rsid w:val="000C295F"/>
    <w:rsid w:val="000C3439"/>
    <w:rsid w:val="000C395E"/>
    <w:rsid w:val="000C43D9"/>
    <w:rsid w:val="000C4FA1"/>
    <w:rsid w:val="000D1948"/>
    <w:rsid w:val="000D1992"/>
    <w:rsid w:val="000D22FE"/>
    <w:rsid w:val="000D244D"/>
    <w:rsid w:val="000D2ABD"/>
    <w:rsid w:val="000D36BD"/>
    <w:rsid w:val="000D37C7"/>
    <w:rsid w:val="000D3E6D"/>
    <w:rsid w:val="000D44B9"/>
    <w:rsid w:val="000D4642"/>
    <w:rsid w:val="000D52EA"/>
    <w:rsid w:val="000D5DF2"/>
    <w:rsid w:val="000D6660"/>
    <w:rsid w:val="000D6978"/>
    <w:rsid w:val="000D6DA9"/>
    <w:rsid w:val="000D749A"/>
    <w:rsid w:val="000D7CE2"/>
    <w:rsid w:val="000D7FEF"/>
    <w:rsid w:val="000E1B22"/>
    <w:rsid w:val="000E1FF2"/>
    <w:rsid w:val="000E3278"/>
    <w:rsid w:val="000E3D8E"/>
    <w:rsid w:val="000E4F16"/>
    <w:rsid w:val="000E535F"/>
    <w:rsid w:val="000E5417"/>
    <w:rsid w:val="000E6BD1"/>
    <w:rsid w:val="000E6C1B"/>
    <w:rsid w:val="000E7129"/>
    <w:rsid w:val="000E7D5D"/>
    <w:rsid w:val="000F01C1"/>
    <w:rsid w:val="000F0969"/>
    <w:rsid w:val="000F0A6B"/>
    <w:rsid w:val="000F0FD2"/>
    <w:rsid w:val="000F1154"/>
    <w:rsid w:val="000F1A87"/>
    <w:rsid w:val="000F1B85"/>
    <w:rsid w:val="000F29D6"/>
    <w:rsid w:val="000F3091"/>
    <w:rsid w:val="000F4023"/>
    <w:rsid w:val="000F43EE"/>
    <w:rsid w:val="000F7363"/>
    <w:rsid w:val="000F7E0F"/>
    <w:rsid w:val="001012E7"/>
    <w:rsid w:val="00101B85"/>
    <w:rsid w:val="00101EB5"/>
    <w:rsid w:val="001031A0"/>
    <w:rsid w:val="001034D0"/>
    <w:rsid w:val="001035CB"/>
    <w:rsid w:val="001035E1"/>
    <w:rsid w:val="00103715"/>
    <w:rsid w:val="00103F21"/>
    <w:rsid w:val="0010402D"/>
    <w:rsid w:val="00104581"/>
    <w:rsid w:val="00104A9A"/>
    <w:rsid w:val="0010508F"/>
    <w:rsid w:val="00106E10"/>
    <w:rsid w:val="00107FB7"/>
    <w:rsid w:val="001102CA"/>
    <w:rsid w:val="00110690"/>
    <w:rsid w:val="001107C5"/>
    <w:rsid w:val="00110EA9"/>
    <w:rsid w:val="001127BF"/>
    <w:rsid w:val="001170BF"/>
    <w:rsid w:val="00117A71"/>
    <w:rsid w:val="001205EC"/>
    <w:rsid w:val="00120720"/>
    <w:rsid w:val="00120A2B"/>
    <w:rsid w:val="0012164C"/>
    <w:rsid w:val="00121816"/>
    <w:rsid w:val="00121E7B"/>
    <w:rsid w:val="00122381"/>
    <w:rsid w:val="00123AEC"/>
    <w:rsid w:val="0012407B"/>
    <w:rsid w:val="00124630"/>
    <w:rsid w:val="0012584D"/>
    <w:rsid w:val="00126E37"/>
    <w:rsid w:val="00127409"/>
    <w:rsid w:val="001278C2"/>
    <w:rsid w:val="00127C62"/>
    <w:rsid w:val="00130D35"/>
    <w:rsid w:val="00131D68"/>
    <w:rsid w:val="00132972"/>
    <w:rsid w:val="00132DAE"/>
    <w:rsid w:val="00132F4C"/>
    <w:rsid w:val="001341CB"/>
    <w:rsid w:val="001351FD"/>
    <w:rsid w:val="00135DFA"/>
    <w:rsid w:val="00136101"/>
    <w:rsid w:val="001363C5"/>
    <w:rsid w:val="00136B76"/>
    <w:rsid w:val="001370F2"/>
    <w:rsid w:val="00137E9C"/>
    <w:rsid w:val="00140E01"/>
    <w:rsid w:val="00141F30"/>
    <w:rsid w:val="0014306E"/>
    <w:rsid w:val="001438C3"/>
    <w:rsid w:val="0014416E"/>
    <w:rsid w:val="001447A9"/>
    <w:rsid w:val="00144812"/>
    <w:rsid w:val="00145266"/>
    <w:rsid w:val="00145B8B"/>
    <w:rsid w:val="00145D1F"/>
    <w:rsid w:val="0014665C"/>
    <w:rsid w:val="0014694A"/>
    <w:rsid w:val="00146C28"/>
    <w:rsid w:val="001472D5"/>
    <w:rsid w:val="00150403"/>
    <w:rsid w:val="00150A6F"/>
    <w:rsid w:val="00150F13"/>
    <w:rsid w:val="00151389"/>
    <w:rsid w:val="00152B72"/>
    <w:rsid w:val="00152EE6"/>
    <w:rsid w:val="001531F0"/>
    <w:rsid w:val="0015343F"/>
    <w:rsid w:val="0015368F"/>
    <w:rsid w:val="00153DFA"/>
    <w:rsid w:val="00153F96"/>
    <w:rsid w:val="00154519"/>
    <w:rsid w:val="00154B60"/>
    <w:rsid w:val="0015657C"/>
    <w:rsid w:val="0016002F"/>
    <w:rsid w:val="00161CDD"/>
    <w:rsid w:val="001628A4"/>
    <w:rsid w:val="0016369F"/>
    <w:rsid w:val="0016371D"/>
    <w:rsid w:val="00163ACD"/>
    <w:rsid w:val="00164321"/>
    <w:rsid w:val="001643F3"/>
    <w:rsid w:val="001644B4"/>
    <w:rsid w:val="00164838"/>
    <w:rsid w:val="0016504F"/>
    <w:rsid w:val="0016585F"/>
    <w:rsid w:val="00166593"/>
    <w:rsid w:val="00166B86"/>
    <w:rsid w:val="00166F88"/>
    <w:rsid w:val="00167509"/>
    <w:rsid w:val="00167C9B"/>
    <w:rsid w:val="001708A7"/>
    <w:rsid w:val="00170A9F"/>
    <w:rsid w:val="001719D7"/>
    <w:rsid w:val="00171BE7"/>
    <w:rsid w:val="001720E4"/>
    <w:rsid w:val="00172651"/>
    <w:rsid w:val="00172B15"/>
    <w:rsid w:val="00173303"/>
    <w:rsid w:val="001733D4"/>
    <w:rsid w:val="00173A01"/>
    <w:rsid w:val="00175256"/>
    <w:rsid w:val="0017685E"/>
    <w:rsid w:val="00176F3F"/>
    <w:rsid w:val="00177E94"/>
    <w:rsid w:val="00181EB9"/>
    <w:rsid w:val="00182559"/>
    <w:rsid w:val="001835D0"/>
    <w:rsid w:val="001837AB"/>
    <w:rsid w:val="001837F5"/>
    <w:rsid w:val="00183ADC"/>
    <w:rsid w:val="00183C68"/>
    <w:rsid w:val="001847E3"/>
    <w:rsid w:val="00184E1E"/>
    <w:rsid w:val="001850AB"/>
    <w:rsid w:val="00185ECF"/>
    <w:rsid w:val="00186788"/>
    <w:rsid w:val="00186A22"/>
    <w:rsid w:val="00186E73"/>
    <w:rsid w:val="00187272"/>
    <w:rsid w:val="0018727D"/>
    <w:rsid w:val="00190397"/>
    <w:rsid w:val="00190D88"/>
    <w:rsid w:val="00190D8A"/>
    <w:rsid w:val="00190EDD"/>
    <w:rsid w:val="00191351"/>
    <w:rsid w:val="001916FE"/>
    <w:rsid w:val="00191A98"/>
    <w:rsid w:val="00191B58"/>
    <w:rsid w:val="00191E4E"/>
    <w:rsid w:val="00191F4A"/>
    <w:rsid w:val="00192144"/>
    <w:rsid w:val="00192196"/>
    <w:rsid w:val="00192200"/>
    <w:rsid w:val="00193167"/>
    <w:rsid w:val="00195AA7"/>
    <w:rsid w:val="00195BAA"/>
    <w:rsid w:val="001962D6"/>
    <w:rsid w:val="00196AD9"/>
    <w:rsid w:val="00196D2B"/>
    <w:rsid w:val="001A02FD"/>
    <w:rsid w:val="001A03AB"/>
    <w:rsid w:val="001A1003"/>
    <w:rsid w:val="001A3F01"/>
    <w:rsid w:val="001A454A"/>
    <w:rsid w:val="001A47AC"/>
    <w:rsid w:val="001A4EB9"/>
    <w:rsid w:val="001A5CA5"/>
    <w:rsid w:val="001A5F19"/>
    <w:rsid w:val="001A65CA"/>
    <w:rsid w:val="001A6D03"/>
    <w:rsid w:val="001B03FE"/>
    <w:rsid w:val="001B076D"/>
    <w:rsid w:val="001B0F4F"/>
    <w:rsid w:val="001B1208"/>
    <w:rsid w:val="001B1B6F"/>
    <w:rsid w:val="001B1C62"/>
    <w:rsid w:val="001B20FD"/>
    <w:rsid w:val="001B235E"/>
    <w:rsid w:val="001B3C0B"/>
    <w:rsid w:val="001B4F8E"/>
    <w:rsid w:val="001B5639"/>
    <w:rsid w:val="001B5A94"/>
    <w:rsid w:val="001B6506"/>
    <w:rsid w:val="001B65D8"/>
    <w:rsid w:val="001B6A8B"/>
    <w:rsid w:val="001B776E"/>
    <w:rsid w:val="001B78A3"/>
    <w:rsid w:val="001C1361"/>
    <w:rsid w:val="001C1902"/>
    <w:rsid w:val="001C1E0E"/>
    <w:rsid w:val="001C2FB4"/>
    <w:rsid w:val="001C35AA"/>
    <w:rsid w:val="001C3E8A"/>
    <w:rsid w:val="001C46B7"/>
    <w:rsid w:val="001C5312"/>
    <w:rsid w:val="001C5573"/>
    <w:rsid w:val="001C5B37"/>
    <w:rsid w:val="001C616F"/>
    <w:rsid w:val="001C691F"/>
    <w:rsid w:val="001C6C80"/>
    <w:rsid w:val="001C7619"/>
    <w:rsid w:val="001C7D07"/>
    <w:rsid w:val="001D009F"/>
    <w:rsid w:val="001D01A2"/>
    <w:rsid w:val="001D0717"/>
    <w:rsid w:val="001D154E"/>
    <w:rsid w:val="001D1566"/>
    <w:rsid w:val="001D190B"/>
    <w:rsid w:val="001D1B43"/>
    <w:rsid w:val="001D20F1"/>
    <w:rsid w:val="001D2397"/>
    <w:rsid w:val="001D2478"/>
    <w:rsid w:val="001D3439"/>
    <w:rsid w:val="001D3A19"/>
    <w:rsid w:val="001D4523"/>
    <w:rsid w:val="001D4BA8"/>
    <w:rsid w:val="001D4F19"/>
    <w:rsid w:val="001D528A"/>
    <w:rsid w:val="001D6218"/>
    <w:rsid w:val="001D626C"/>
    <w:rsid w:val="001D695B"/>
    <w:rsid w:val="001D7877"/>
    <w:rsid w:val="001E090D"/>
    <w:rsid w:val="001E1CC6"/>
    <w:rsid w:val="001E2015"/>
    <w:rsid w:val="001E23E3"/>
    <w:rsid w:val="001E415F"/>
    <w:rsid w:val="001E44B5"/>
    <w:rsid w:val="001E4FBA"/>
    <w:rsid w:val="001E5CFB"/>
    <w:rsid w:val="001E71DE"/>
    <w:rsid w:val="001E7CE3"/>
    <w:rsid w:val="001E7E61"/>
    <w:rsid w:val="001F04E7"/>
    <w:rsid w:val="001F0F2C"/>
    <w:rsid w:val="001F10F9"/>
    <w:rsid w:val="001F3BA5"/>
    <w:rsid w:val="001F3E09"/>
    <w:rsid w:val="001F4BC7"/>
    <w:rsid w:val="001F5F7F"/>
    <w:rsid w:val="001F7B78"/>
    <w:rsid w:val="002003CB"/>
    <w:rsid w:val="002009FC"/>
    <w:rsid w:val="002015A0"/>
    <w:rsid w:val="0020249C"/>
    <w:rsid w:val="00202547"/>
    <w:rsid w:val="002028A9"/>
    <w:rsid w:val="00202A01"/>
    <w:rsid w:val="0020359A"/>
    <w:rsid w:val="0020441E"/>
    <w:rsid w:val="00204BB9"/>
    <w:rsid w:val="00204C23"/>
    <w:rsid w:val="00205E48"/>
    <w:rsid w:val="0020616C"/>
    <w:rsid w:val="002064CE"/>
    <w:rsid w:val="002068ED"/>
    <w:rsid w:val="00206B20"/>
    <w:rsid w:val="002070C6"/>
    <w:rsid w:val="00210127"/>
    <w:rsid w:val="002135DC"/>
    <w:rsid w:val="00214106"/>
    <w:rsid w:val="00214A22"/>
    <w:rsid w:val="00214DD9"/>
    <w:rsid w:val="00215C4D"/>
    <w:rsid w:val="00215EAD"/>
    <w:rsid w:val="002160EB"/>
    <w:rsid w:val="002177B2"/>
    <w:rsid w:val="0022134A"/>
    <w:rsid w:val="00221668"/>
    <w:rsid w:val="0022184D"/>
    <w:rsid w:val="00221D11"/>
    <w:rsid w:val="002231B1"/>
    <w:rsid w:val="0022337C"/>
    <w:rsid w:val="0022435C"/>
    <w:rsid w:val="0022535C"/>
    <w:rsid w:val="0022734B"/>
    <w:rsid w:val="00227A60"/>
    <w:rsid w:val="002306E4"/>
    <w:rsid w:val="00230A4E"/>
    <w:rsid w:val="00232645"/>
    <w:rsid w:val="002327FF"/>
    <w:rsid w:val="00232D83"/>
    <w:rsid w:val="00233F44"/>
    <w:rsid w:val="00234C44"/>
    <w:rsid w:val="00235805"/>
    <w:rsid w:val="0023639C"/>
    <w:rsid w:val="0023692D"/>
    <w:rsid w:val="00236AF5"/>
    <w:rsid w:val="00236B2E"/>
    <w:rsid w:val="0023762B"/>
    <w:rsid w:val="00240000"/>
    <w:rsid w:val="002404E4"/>
    <w:rsid w:val="0024140F"/>
    <w:rsid w:val="00241500"/>
    <w:rsid w:val="002417A6"/>
    <w:rsid w:val="00242F8E"/>
    <w:rsid w:val="0024334B"/>
    <w:rsid w:val="002439DF"/>
    <w:rsid w:val="00243D22"/>
    <w:rsid w:val="0024456B"/>
    <w:rsid w:val="002451E2"/>
    <w:rsid w:val="002456CA"/>
    <w:rsid w:val="0024605A"/>
    <w:rsid w:val="002470DC"/>
    <w:rsid w:val="00247FC3"/>
    <w:rsid w:val="00250193"/>
    <w:rsid w:val="002517A4"/>
    <w:rsid w:val="00251E27"/>
    <w:rsid w:val="00253623"/>
    <w:rsid w:val="0025388B"/>
    <w:rsid w:val="00254947"/>
    <w:rsid w:val="00254C38"/>
    <w:rsid w:val="00257617"/>
    <w:rsid w:val="00257E70"/>
    <w:rsid w:val="002601D5"/>
    <w:rsid w:val="00260735"/>
    <w:rsid w:val="00260AC4"/>
    <w:rsid w:val="00260B89"/>
    <w:rsid w:val="00260B91"/>
    <w:rsid w:val="00261980"/>
    <w:rsid w:val="00261FF1"/>
    <w:rsid w:val="0026234F"/>
    <w:rsid w:val="0026273A"/>
    <w:rsid w:val="002627E6"/>
    <w:rsid w:val="0026296E"/>
    <w:rsid w:val="002639A1"/>
    <w:rsid w:val="00265797"/>
    <w:rsid w:val="00267766"/>
    <w:rsid w:val="00267817"/>
    <w:rsid w:val="00267BF0"/>
    <w:rsid w:val="002707F8"/>
    <w:rsid w:val="002709FA"/>
    <w:rsid w:val="0027170E"/>
    <w:rsid w:val="0027211D"/>
    <w:rsid w:val="00274A51"/>
    <w:rsid w:val="00275007"/>
    <w:rsid w:val="0027613F"/>
    <w:rsid w:val="00276683"/>
    <w:rsid w:val="00277690"/>
    <w:rsid w:val="00280C70"/>
    <w:rsid w:val="00281091"/>
    <w:rsid w:val="00281BA6"/>
    <w:rsid w:val="00282010"/>
    <w:rsid w:val="002827FE"/>
    <w:rsid w:val="0028511C"/>
    <w:rsid w:val="002855BD"/>
    <w:rsid w:val="0028597C"/>
    <w:rsid w:val="00285EFA"/>
    <w:rsid w:val="0028712F"/>
    <w:rsid w:val="002874BC"/>
    <w:rsid w:val="002905AB"/>
    <w:rsid w:val="00291DA6"/>
    <w:rsid w:val="002920DE"/>
    <w:rsid w:val="00292D29"/>
    <w:rsid w:val="0029349B"/>
    <w:rsid w:val="00293678"/>
    <w:rsid w:val="00293A44"/>
    <w:rsid w:val="002940FB"/>
    <w:rsid w:val="00294882"/>
    <w:rsid w:val="002948AB"/>
    <w:rsid w:val="00295451"/>
    <w:rsid w:val="00295C5B"/>
    <w:rsid w:val="002967F5"/>
    <w:rsid w:val="00296E00"/>
    <w:rsid w:val="00296E40"/>
    <w:rsid w:val="00297579"/>
    <w:rsid w:val="002A058A"/>
    <w:rsid w:val="002A06D3"/>
    <w:rsid w:val="002A0E52"/>
    <w:rsid w:val="002A1288"/>
    <w:rsid w:val="002A20C4"/>
    <w:rsid w:val="002A2145"/>
    <w:rsid w:val="002A3195"/>
    <w:rsid w:val="002A327B"/>
    <w:rsid w:val="002A444D"/>
    <w:rsid w:val="002A4AC1"/>
    <w:rsid w:val="002A7B74"/>
    <w:rsid w:val="002B000A"/>
    <w:rsid w:val="002B1A61"/>
    <w:rsid w:val="002B218C"/>
    <w:rsid w:val="002B2701"/>
    <w:rsid w:val="002B293A"/>
    <w:rsid w:val="002B33F8"/>
    <w:rsid w:val="002B382C"/>
    <w:rsid w:val="002B57F8"/>
    <w:rsid w:val="002B62B4"/>
    <w:rsid w:val="002B75FE"/>
    <w:rsid w:val="002B79BA"/>
    <w:rsid w:val="002B7C88"/>
    <w:rsid w:val="002C003B"/>
    <w:rsid w:val="002C0CFD"/>
    <w:rsid w:val="002C0D39"/>
    <w:rsid w:val="002C0E56"/>
    <w:rsid w:val="002C1404"/>
    <w:rsid w:val="002C16B3"/>
    <w:rsid w:val="002C3D13"/>
    <w:rsid w:val="002C42D5"/>
    <w:rsid w:val="002C464C"/>
    <w:rsid w:val="002C4C41"/>
    <w:rsid w:val="002C51B3"/>
    <w:rsid w:val="002C61A9"/>
    <w:rsid w:val="002C654E"/>
    <w:rsid w:val="002C7526"/>
    <w:rsid w:val="002C7A53"/>
    <w:rsid w:val="002C7CBB"/>
    <w:rsid w:val="002D20EB"/>
    <w:rsid w:val="002D22FE"/>
    <w:rsid w:val="002D2EDB"/>
    <w:rsid w:val="002D30CA"/>
    <w:rsid w:val="002D33E9"/>
    <w:rsid w:val="002D549E"/>
    <w:rsid w:val="002D7168"/>
    <w:rsid w:val="002D7794"/>
    <w:rsid w:val="002D7A5E"/>
    <w:rsid w:val="002E0B80"/>
    <w:rsid w:val="002E2433"/>
    <w:rsid w:val="002E3DDC"/>
    <w:rsid w:val="002E42BD"/>
    <w:rsid w:val="002E48D2"/>
    <w:rsid w:val="002E4C0A"/>
    <w:rsid w:val="002E4F7D"/>
    <w:rsid w:val="002E519A"/>
    <w:rsid w:val="002E5567"/>
    <w:rsid w:val="002E6311"/>
    <w:rsid w:val="002E70A6"/>
    <w:rsid w:val="002E772B"/>
    <w:rsid w:val="002F044F"/>
    <w:rsid w:val="002F15B0"/>
    <w:rsid w:val="002F2887"/>
    <w:rsid w:val="002F2894"/>
    <w:rsid w:val="002F39E4"/>
    <w:rsid w:val="002F4269"/>
    <w:rsid w:val="002F4AD3"/>
    <w:rsid w:val="002F539C"/>
    <w:rsid w:val="002F5CD8"/>
    <w:rsid w:val="002F5D23"/>
    <w:rsid w:val="002F602D"/>
    <w:rsid w:val="002F6C73"/>
    <w:rsid w:val="002F6CE0"/>
    <w:rsid w:val="002F77F9"/>
    <w:rsid w:val="00300169"/>
    <w:rsid w:val="003002C5"/>
    <w:rsid w:val="00300302"/>
    <w:rsid w:val="00300766"/>
    <w:rsid w:val="00300A3E"/>
    <w:rsid w:val="00300EB8"/>
    <w:rsid w:val="00301E57"/>
    <w:rsid w:val="0030211F"/>
    <w:rsid w:val="0030379B"/>
    <w:rsid w:val="0030479B"/>
    <w:rsid w:val="00304A42"/>
    <w:rsid w:val="003053A8"/>
    <w:rsid w:val="003059A0"/>
    <w:rsid w:val="00305D8E"/>
    <w:rsid w:val="00306D39"/>
    <w:rsid w:val="0030720C"/>
    <w:rsid w:val="00307D07"/>
    <w:rsid w:val="00307EA4"/>
    <w:rsid w:val="00311CE7"/>
    <w:rsid w:val="0031331E"/>
    <w:rsid w:val="003136E3"/>
    <w:rsid w:val="00313BCE"/>
    <w:rsid w:val="00314D03"/>
    <w:rsid w:val="003157DF"/>
    <w:rsid w:val="00316044"/>
    <w:rsid w:val="00316047"/>
    <w:rsid w:val="0031641B"/>
    <w:rsid w:val="003169B6"/>
    <w:rsid w:val="00320588"/>
    <w:rsid w:val="003205A4"/>
    <w:rsid w:val="00320A05"/>
    <w:rsid w:val="00320F11"/>
    <w:rsid w:val="00321677"/>
    <w:rsid w:val="00322CCA"/>
    <w:rsid w:val="003235DB"/>
    <w:rsid w:val="00323AA4"/>
    <w:rsid w:val="00323B61"/>
    <w:rsid w:val="0032445E"/>
    <w:rsid w:val="003249B1"/>
    <w:rsid w:val="0032518D"/>
    <w:rsid w:val="00325948"/>
    <w:rsid w:val="00326AC0"/>
    <w:rsid w:val="00326B21"/>
    <w:rsid w:val="00326E18"/>
    <w:rsid w:val="003273CB"/>
    <w:rsid w:val="00330534"/>
    <w:rsid w:val="0033056B"/>
    <w:rsid w:val="003309F8"/>
    <w:rsid w:val="003320F3"/>
    <w:rsid w:val="003339A1"/>
    <w:rsid w:val="00333D25"/>
    <w:rsid w:val="00333ECD"/>
    <w:rsid w:val="00336178"/>
    <w:rsid w:val="00336E9E"/>
    <w:rsid w:val="0033768F"/>
    <w:rsid w:val="00341A39"/>
    <w:rsid w:val="003421DD"/>
    <w:rsid w:val="003429BF"/>
    <w:rsid w:val="00343010"/>
    <w:rsid w:val="003434B6"/>
    <w:rsid w:val="003439A9"/>
    <w:rsid w:val="00344218"/>
    <w:rsid w:val="00344900"/>
    <w:rsid w:val="00344A0F"/>
    <w:rsid w:val="00345550"/>
    <w:rsid w:val="003458D7"/>
    <w:rsid w:val="00345CED"/>
    <w:rsid w:val="0034626E"/>
    <w:rsid w:val="00347295"/>
    <w:rsid w:val="003500A7"/>
    <w:rsid w:val="00350B81"/>
    <w:rsid w:val="00351CE9"/>
    <w:rsid w:val="003523B0"/>
    <w:rsid w:val="003523C1"/>
    <w:rsid w:val="00353777"/>
    <w:rsid w:val="0035403F"/>
    <w:rsid w:val="0035450B"/>
    <w:rsid w:val="00354BAF"/>
    <w:rsid w:val="00354D55"/>
    <w:rsid w:val="00355489"/>
    <w:rsid w:val="00355502"/>
    <w:rsid w:val="00356301"/>
    <w:rsid w:val="0035672F"/>
    <w:rsid w:val="00356E41"/>
    <w:rsid w:val="0035711B"/>
    <w:rsid w:val="00357B11"/>
    <w:rsid w:val="00357B58"/>
    <w:rsid w:val="003601FD"/>
    <w:rsid w:val="0036067C"/>
    <w:rsid w:val="00360E8D"/>
    <w:rsid w:val="003613A5"/>
    <w:rsid w:val="003624FF"/>
    <w:rsid w:val="00362515"/>
    <w:rsid w:val="00362619"/>
    <w:rsid w:val="003626CD"/>
    <w:rsid w:val="00362CA5"/>
    <w:rsid w:val="00363500"/>
    <w:rsid w:val="00363E0D"/>
    <w:rsid w:val="00363FC4"/>
    <w:rsid w:val="0036401C"/>
    <w:rsid w:val="00364385"/>
    <w:rsid w:val="0036476E"/>
    <w:rsid w:val="00365229"/>
    <w:rsid w:val="00365782"/>
    <w:rsid w:val="00365E32"/>
    <w:rsid w:val="00366491"/>
    <w:rsid w:val="00366E8F"/>
    <w:rsid w:val="00370E6E"/>
    <w:rsid w:val="0037139F"/>
    <w:rsid w:val="003715B3"/>
    <w:rsid w:val="0037267A"/>
    <w:rsid w:val="00372E7A"/>
    <w:rsid w:val="00373085"/>
    <w:rsid w:val="00373503"/>
    <w:rsid w:val="003741A6"/>
    <w:rsid w:val="0037605E"/>
    <w:rsid w:val="0037669D"/>
    <w:rsid w:val="00376751"/>
    <w:rsid w:val="0037681F"/>
    <w:rsid w:val="003770BF"/>
    <w:rsid w:val="00377AE9"/>
    <w:rsid w:val="00377E45"/>
    <w:rsid w:val="00377E55"/>
    <w:rsid w:val="00380F1D"/>
    <w:rsid w:val="003810AF"/>
    <w:rsid w:val="00381590"/>
    <w:rsid w:val="003819C8"/>
    <w:rsid w:val="003819CE"/>
    <w:rsid w:val="00381E8A"/>
    <w:rsid w:val="00382272"/>
    <w:rsid w:val="00382545"/>
    <w:rsid w:val="00383AF1"/>
    <w:rsid w:val="00384719"/>
    <w:rsid w:val="00384EF0"/>
    <w:rsid w:val="0038540C"/>
    <w:rsid w:val="00385DDD"/>
    <w:rsid w:val="0038708D"/>
    <w:rsid w:val="00387F6F"/>
    <w:rsid w:val="003902AF"/>
    <w:rsid w:val="00390551"/>
    <w:rsid w:val="00390747"/>
    <w:rsid w:val="00390EC1"/>
    <w:rsid w:val="003911DC"/>
    <w:rsid w:val="00391F2D"/>
    <w:rsid w:val="003923C2"/>
    <w:rsid w:val="00392641"/>
    <w:rsid w:val="00392707"/>
    <w:rsid w:val="0039275F"/>
    <w:rsid w:val="00392CF4"/>
    <w:rsid w:val="00392EC4"/>
    <w:rsid w:val="0039331E"/>
    <w:rsid w:val="0039372A"/>
    <w:rsid w:val="00394C1C"/>
    <w:rsid w:val="00394F7A"/>
    <w:rsid w:val="00395B9E"/>
    <w:rsid w:val="00395F88"/>
    <w:rsid w:val="003977F9"/>
    <w:rsid w:val="003A01CF"/>
    <w:rsid w:val="003A0223"/>
    <w:rsid w:val="003A15F1"/>
    <w:rsid w:val="003A257E"/>
    <w:rsid w:val="003A2585"/>
    <w:rsid w:val="003A2860"/>
    <w:rsid w:val="003A4511"/>
    <w:rsid w:val="003A61BD"/>
    <w:rsid w:val="003A6523"/>
    <w:rsid w:val="003A652F"/>
    <w:rsid w:val="003A6690"/>
    <w:rsid w:val="003A709B"/>
    <w:rsid w:val="003A759B"/>
    <w:rsid w:val="003A7F22"/>
    <w:rsid w:val="003B01E2"/>
    <w:rsid w:val="003B0291"/>
    <w:rsid w:val="003B0A0E"/>
    <w:rsid w:val="003B1A45"/>
    <w:rsid w:val="003B1AFA"/>
    <w:rsid w:val="003B2146"/>
    <w:rsid w:val="003B2CEE"/>
    <w:rsid w:val="003B46AD"/>
    <w:rsid w:val="003B4BC4"/>
    <w:rsid w:val="003B4CC0"/>
    <w:rsid w:val="003B5331"/>
    <w:rsid w:val="003B56B3"/>
    <w:rsid w:val="003B56F3"/>
    <w:rsid w:val="003B65D9"/>
    <w:rsid w:val="003B734D"/>
    <w:rsid w:val="003B74B5"/>
    <w:rsid w:val="003C0766"/>
    <w:rsid w:val="003C07EC"/>
    <w:rsid w:val="003C1164"/>
    <w:rsid w:val="003C11CC"/>
    <w:rsid w:val="003C1678"/>
    <w:rsid w:val="003C2A47"/>
    <w:rsid w:val="003C3088"/>
    <w:rsid w:val="003C311A"/>
    <w:rsid w:val="003C3C22"/>
    <w:rsid w:val="003C3F04"/>
    <w:rsid w:val="003C4DBC"/>
    <w:rsid w:val="003C6480"/>
    <w:rsid w:val="003C64D1"/>
    <w:rsid w:val="003C6E6D"/>
    <w:rsid w:val="003C7010"/>
    <w:rsid w:val="003C7150"/>
    <w:rsid w:val="003D02F1"/>
    <w:rsid w:val="003D0F50"/>
    <w:rsid w:val="003D133D"/>
    <w:rsid w:val="003D1CD1"/>
    <w:rsid w:val="003D2E2B"/>
    <w:rsid w:val="003D347C"/>
    <w:rsid w:val="003D3AA3"/>
    <w:rsid w:val="003D4D66"/>
    <w:rsid w:val="003D5272"/>
    <w:rsid w:val="003D62A1"/>
    <w:rsid w:val="003D6741"/>
    <w:rsid w:val="003D68C7"/>
    <w:rsid w:val="003D6AF6"/>
    <w:rsid w:val="003D716B"/>
    <w:rsid w:val="003D7DDE"/>
    <w:rsid w:val="003D7F9A"/>
    <w:rsid w:val="003E0419"/>
    <w:rsid w:val="003E0C31"/>
    <w:rsid w:val="003E1850"/>
    <w:rsid w:val="003E227E"/>
    <w:rsid w:val="003E32E7"/>
    <w:rsid w:val="003E3753"/>
    <w:rsid w:val="003E3BBB"/>
    <w:rsid w:val="003E4A76"/>
    <w:rsid w:val="003E5E08"/>
    <w:rsid w:val="003E7372"/>
    <w:rsid w:val="003F1158"/>
    <w:rsid w:val="003F3101"/>
    <w:rsid w:val="003F3545"/>
    <w:rsid w:val="003F4B1B"/>
    <w:rsid w:val="003F53A7"/>
    <w:rsid w:val="003F5715"/>
    <w:rsid w:val="003F6380"/>
    <w:rsid w:val="003F6413"/>
    <w:rsid w:val="003F65B5"/>
    <w:rsid w:val="003F6719"/>
    <w:rsid w:val="003F7816"/>
    <w:rsid w:val="004007DC"/>
    <w:rsid w:val="00400EFD"/>
    <w:rsid w:val="004013D6"/>
    <w:rsid w:val="004017C7"/>
    <w:rsid w:val="004038BD"/>
    <w:rsid w:val="00403A49"/>
    <w:rsid w:val="00404A9A"/>
    <w:rsid w:val="004064DA"/>
    <w:rsid w:val="00406BCE"/>
    <w:rsid w:val="00407F98"/>
    <w:rsid w:val="00410260"/>
    <w:rsid w:val="00410389"/>
    <w:rsid w:val="00410E9C"/>
    <w:rsid w:val="00410F96"/>
    <w:rsid w:val="004112E6"/>
    <w:rsid w:val="00412167"/>
    <w:rsid w:val="004123E2"/>
    <w:rsid w:val="0041257D"/>
    <w:rsid w:val="00412BD0"/>
    <w:rsid w:val="00413485"/>
    <w:rsid w:val="00414168"/>
    <w:rsid w:val="00414660"/>
    <w:rsid w:val="00414B0A"/>
    <w:rsid w:val="00414F9B"/>
    <w:rsid w:val="00415996"/>
    <w:rsid w:val="004159D7"/>
    <w:rsid w:val="00415D1B"/>
    <w:rsid w:val="00415EF7"/>
    <w:rsid w:val="00416939"/>
    <w:rsid w:val="00420AFF"/>
    <w:rsid w:val="00423A5B"/>
    <w:rsid w:val="00423B99"/>
    <w:rsid w:val="00423D85"/>
    <w:rsid w:val="00425194"/>
    <w:rsid w:val="0042661F"/>
    <w:rsid w:val="00426D48"/>
    <w:rsid w:val="00431303"/>
    <w:rsid w:val="004314F9"/>
    <w:rsid w:val="00432A41"/>
    <w:rsid w:val="00433072"/>
    <w:rsid w:val="0043335C"/>
    <w:rsid w:val="004334A7"/>
    <w:rsid w:val="00433E0B"/>
    <w:rsid w:val="00434C54"/>
    <w:rsid w:val="00435922"/>
    <w:rsid w:val="00436ECE"/>
    <w:rsid w:val="0043753F"/>
    <w:rsid w:val="004379E8"/>
    <w:rsid w:val="00437E51"/>
    <w:rsid w:val="00440CFA"/>
    <w:rsid w:val="0044101D"/>
    <w:rsid w:val="004412B9"/>
    <w:rsid w:val="00441B7F"/>
    <w:rsid w:val="00441BC1"/>
    <w:rsid w:val="004421D3"/>
    <w:rsid w:val="0044311E"/>
    <w:rsid w:val="00443308"/>
    <w:rsid w:val="00443389"/>
    <w:rsid w:val="0044363A"/>
    <w:rsid w:val="00443C42"/>
    <w:rsid w:val="004463E8"/>
    <w:rsid w:val="00446B0A"/>
    <w:rsid w:val="00446E50"/>
    <w:rsid w:val="00447726"/>
    <w:rsid w:val="00447B85"/>
    <w:rsid w:val="004518F0"/>
    <w:rsid w:val="0045195B"/>
    <w:rsid w:val="004522C5"/>
    <w:rsid w:val="00452929"/>
    <w:rsid w:val="00452D8C"/>
    <w:rsid w:val="00453460"/>
    <w:rsid w:val="004538A1"/>
    <w:rsid w:val="00453C40"/>
    <w:rsid w:val="0045409B"/>
    <w:rsid w:val="00454D27"/>
    <w:rsid w:val="00454D82"/>
    <w:rsid w:val="00455A41"/>
    <w:rsid w:val="004563EF"/>
    <w:rsid w:val="00456435"/>
    <w:rsid w:val="00456C9E"/>
    <w:rsid w:val="004570AB"/>
    <w:rsid w:val="00457446"/>
    <w:rsid w:val="00460134"/>
    <w:rsid w:val="00460307"/>
    <w:rsid w:val="0046202B"/>
    <w:rsid w:val="004626BA"/>
    <w:rsid w:val="004631E6"/>
    <w:rsid w:val="0046355F"/>
    <w:rsid w:val="00463A97"/>
    <w:rsid w:val="00463CA0"/>
    <w:rsid w:val="00465138"/>
    <w:rsid w:val="00465D79"/>
    <w:rsid w:val="00465FFA"/>
    <w:rsid w:val="00467034"/>
    <w:rsid w:val="00467F4E"/>
    <w:rsid w:val="00471DE8"/>
    <w:rsid w:val="00472221"/>
    <w:rsid w:val="0047257F"/>
    <w:rsid w:val="004728E0"/>
    <w:rsid w:val="004738E8"/>
    <w:rsid w:val="00473F01"/>
    <w:rsid w:val="004746AD"/>
    <w:rsid w:val="0047485C"/>
    <w:rsid w:val="0047501F"/>
    <w:rsid w:val="004758A5"/>
    <w:rsid w:val="004758FD"/>
    <w:rsid w:val="004760CD"/>
    <w:rsid w:val="0047652F"/>
    <w:rsid w:val="00476D48"/>
    <w:rsid w:val="00477CD9"/>
    <w:rsid w:val="004803A8"/>
    <w:rsid w:val="004805BE"/>
    <w:rsid w:val="00481519"/>
    <w:rsid w:val="004816BD"/>
    <w:rsid w:val="00481A53"/>
    <w:rsid w:val="00481DC7"/>
    <w:rsid w:val="00481F2C"/>
    <w:rsid w:val="0048216D"/>
    <w:rsid w:val="004832CB"/>
    <w:rsid w:val="00483645"/>
    <w:rsid w:val="004837C2"/>
    <w:rsid w:val="004838F4"/>
    <w:rsid w:val="00483B09"/>
    <w:rsid w:val="00483E43"/>
    <w:rsid w:val="00483E4D"/>
    <w:rsid w:val="004845F8"/>
    <w:rsid w:val="00485AB6"/>
    <w:rsid w:val="00485FCE"/>
    <w:rsid w:val="004867CA"/>
    <w:rsid w:val="004870E8"/>
    <w:rsid w:val="00487168"/>
    <w:rsid w:val="004906C9"/>
    <w:rsid w:val="0049077A"/>
    <w:rsid w:val="004907E0"/>
    <w:rsid w:val="00491281"/>
    <w:rsid w:val="004916BE"/>
    <w:rsid w:val="00491E35"/>
    <w:rsid w:val="00492AE8"/>
    <w:rsid w:val="00492E37"/>
    <w:rsid w:val="004942B0"/>
    <w:rsid w:val="004945E4"/>
    <w:rsid w:val="004946DA"/>
    <w:rsid w:val="00494755"/>
    <w:rsid w:val="00494E93"/>
    <w:rsid w:val="00495AEE"/>
    <w:rsid w:val="00496CCB"/>
    <w:rsid w:val="0049752A"/>
    <w:rsid w:val="004979C9"/>
    <w:rsid w:val="00497E9F"/>
    <w:rsid w:val="00497F44"/>
    <w:rsid w:val="004A0333"/>
    <w:rsid w:val="004A0C1B"/>
    <w:rsid w:val="004A1CB7"/>
    <w:rsid w:val="004A1DA9"/>
    <w:rsid w:val="004A31B6"/>
    <w:rsid w:val="004A3BE4"/>
    <w:rsid w:val="004A4155"/>
    <w:rsid w:val="004A45AB"/>
    <w:rsid w:val="004A4676"/>
    <w:rsid w:val="004A5694"/>
    <w:rsid w:val="004A575B"/>
    <w:rsid w:val="004A7447"/>
    <w:rsid w:val="004A7C1F"/>
    <w:rsid w:val="004B03C9"/>
    <w:rsid w:val="004B0533"/>
    <w:rsid w:val="004B0A11"/>
    <w:rsid w:val="004B0E64"/>
    <w:rsid w:val="004B1708"/>
    <w:rsid w:val="004B1B71"/>
    <w:rsid w:val="004B1C28"/>
    <w:rsid w:val="004B2D0F"/>
    <w:rsid w:val="004B3409"/>
    <w:rsid w:val="004B359A"/>
    <w:rsid w:val="004B36F1"/>
    <w:rsid w:val="004B41D7"/>
    <w:rsid w:val="004B422B"/>
    <w:rsid w:val="004B4AC7"/>
    <w:rsid w:val="004B599F"/>
    <w:rsid w:val="004B6340"/>
    <w:rsid w:val="004B6360"/>
    <w:rsid w:val="004B66E1"/>
    <w:rsid w:val="004B7561"/>
    <w:rsid w:val="004C08F6"/>
    <w:rsid w:val="004C0FE7"/>
    <w:rsid w:val="004C35E5"/>
    <w:rsid w:val="004C44A6"/>
    <w:rsid w:val="004C5FF6"/>
    <w:rsid w:val="004C665C"/>
    <w:rsid w:val="004C671A"/>
    <w:rsid w:val="004C69F0"/>
    <w:rsid w:val="004C7C77"/>
    <w:rsid w:val="004D023C"/>
    <w:rsid w:val="004D0669"/>
    <w:rsid w:val="004D0DB3"/>
    <w:rsid w:val="004D2434"/>
    <w:rsid w:val="004D2743"/>
    <w:rsid w:val="004D46D7"/>
    <w:rsid w:val="004D4732"/>
    <w:rsid w:val="004D4B44"/>
    <w:rsid w:val="004D4C22"/>
    <w:rsid w:val="004D5312"/>
    <w:rsid w:val="004D5597"/>
    <w:rsid w:val="004D5B43"/>
    <w:rsid w:val="004D6A30"/>
    <w:rsid w:val="004D6B59"/>
    <w:rsid w:val="004D736F"/>
    <w:rsid w:val="004D7C2C"/>
    <w:rsid w:val="004D7F24"/>
    <w:rsid w:val="004E141B"/>
    <w:rsid w:val="004E14EB"/>
    <w:rsid w:val="004E27EB"/>
    <w:rsid w:val="004E28C0"/>
    <w:rsid w:val="004E310C"/>
    <w:rsid w:val="004E31F0"/>
    <w:rsid w:val="004E31FA"/>
    <w:rsid w:val="004E38D5"/>
    <w:rsid w:val="004E394C"/>
    <w:rsid w:val="004E4160"/>
    <w:rsid w:val="004E4AC9"/>
    <w:rsid w:val="004E53AC"/>
    <w:rsid w:val="004E6653"/>
    <w:rsid w:val="004E6F0B"/>
    <w:rsid w:val="004E7E59"/>
    <w:rsid w:val="004F0485"/>
    <w:rsid w:val="004F1BC0"/>
    <w:rsid w:val="004F1C1A"/>
    <w:rsid w:val="004F22F8"/>
    <w:rsid w:val="004F2C16"/>
    <w:rsid w:val="004F34B8"/>
    <w:rsid w:val="004F4654"/>
    <w:rsid w:val="004F4AC3"/>
    <w:rsid w:val="004F4B05"/>
    <w:rsid w:val="004F54FE"/>
    <w:rsid w:val="004F555C"/>
    <w:rsid w:val="004F5AD4"/>
    <w:rsid w:val="004F5FD1"/>
    <w:rsid w:val="004F628A"/>
    <w:rsid w:val="004F6678"/>
    <w:rsid w:val="004F687C"/>
    <w:rsid w:val="004F6D17"/>
    <w:rsid w:val="004F7E20"/>
    <w:rsid w:val="00500160"/>
    <w:rsid w:val="005007F3"/>
    <w:rsid w:val="00500C16"/>
    <w:rsid w:val="00500DFB"/>
    <w:rsid w:val="00501F5B"/>
    <w:rsid w:val="005029C8"/>
    <w:rsid w:val="00502DC7"/>
    <w:rsid w:val="00504974"/>
    <w:rsid w:val="00504C35"/>
    <w:rsid w:val="005062F0"/>
    <w:rsid w:val="00506541"/>
    <w:rsid w:val="0050791B"/>
    <w:rsid w:val="0051017C"/>
    <w:rsid w:val="005110C1"/>
    <w:rsid w:val="00511755"/>
    <w:rsid w:val="005119F0"/>
    <w:rsid w:val="005124E3"/>
    <w:rsid w:val="005148E1"/>
    <w:rsid w:val="00514A76"/>
    <w:rsid w:val="00514F85"/>
    <w:rsid w:val="005156D8"/>
    <w:rsid w:val="00515E64"/>
    <w:rsid w:val="00516D30"/>
    <w:rsid w:val="00517220"/>
    <w:rsid w:val="00522BA9"/>
    <w:rsid w:val="00523236"/>
    <w:rsid w:val="005232C5"/>
    <w:rsid w:val="00523385"/>
    <w:rsid w:val="00523AFA"/>
    <w:rsid w:val="005242D7"/>
    <w:rsid w:val="00525107"/>
    <w:rsid w:val="00525F1E"/>
    <w:rsid w:val="00526336"/>
    <w:rsid w:val="0052646A"/>
    <w:rsid w:val="00526752"/>
    <w:rsid w:val="0053023D"/>
    <w:rsid w:val="005309DF"/>
    <w:rsid w:val="00531669"/>
    <w:rsid w:val="0053246D"/>
    <w:rsid w:val="00533084"/>
    <w:rsid w:val="005338E0"/>
    <w:rsid w:val="005348FC"/>
    <w:rsid w:val="00534B66"/>
    <w:rsid w:val="00535026"/>
    <w:rsid w:val="00535439"/>
    <w:rsid w:val="00535462"/>
    <w:rsid w:val="0053622A"/>
    <w:rsid w:val="00537FD5"/>
    <w:rsid w:val="005406F6"/>
    <w:rsid w:val="00540BD0"/>
    <w:rsid w:val="00541545"/>
    <w:rsid w:val="005418F5"/>
    <w:rsid w:val="00542812"/>
    <w:rsid w:val="00542998"/>
    <w:rsid w:val="00542D36"/>
    <w:rsid w:val="00543780"/>
    <w:rsid w:val="00544ED6"/>
    <w:rsid w:val="00545435"/>
    <w:rsid w:val="00545674"/>
    <w:rsid w:val="00545AC4"/>
    <w:rsid w:val="00545E56"/>
    <w:rsid w:val="00546A6B"/>
    <w:rsid w:val="005475B8"/>
    <w:rsid w:val="00552059"/>
    <w:rsid w:val="00552461"/>
    <w:rsid w:val="0055344D"/>
    <w:rsid w:val="005542C6"/>
    <w:rsid w:val="00556327"/>
    <w:rsid w:val="0055645C"/>
    <w:rsid w:val="0055738A"/>
    <w:rsid w:val="005576C2"/>
    <w:rsid w:val="00557CE1"/>
    <w:rsid w:val="0056101B"/>
    <w:rsid w:val="00561170"/>
    <w:rsid w:val="005611D9"/>
    <w:rsid w:val="00561853"/>
    <w:rsid w:val="00561BF8"/>
    <w:rsid w:val="00561C76"/>
    <w:rsid w:val="0056237E"/>
    <w:rsid w:val="005635D4"/>
    <w:rsid w:val="005650E7"/>
    <w:rsid w:val="00565AAA"/>
    <w:rsid w:val="00566CFD"/>
    <w:rsid w:val="00567847"/>
    <w:rsid w:val="005705A5"/>
    <w:rsid w:val="005707C0"/>
    <w:rsid w:val="00570999"/>
    <w:rsid w:val="005710A5"/>
    <w:rsid w:val="00571D28"/>
    <w:rsid w:val="00572753"/>
    <w:rsid w:val="00572FF1"/>
    <w:rsid w:val="00573E46"/>
    <w:rsid w:val="00573F6D"/>
    <w:rsid w:val="005745E9"/>
    <w:rsid w:val="00575518"/>
    <w:rsid w:val="00575757"/>
    <w:rsid w:val="005768B0"/>
    <w:rsid w:val="00577650"/>
    <w:rsid w:val="005778CA"/>
    <w:rsid w:val="00577CEF"/>
    <w:rsid w:val="00577EF3"/>
    <w:rsid w:val="0058049B"/>
    <w:rsid w:val="005805AD"/>
    <w:rsid w:val="005806E0"/>
    <w:rsid w:val="0058181B"/>
    <w:rsid w:val="00581E2F"/>
    <w:rsid w:val="005824B9"/>
    <w:rsid w:val="00582888"/>
    <w:rsid w:val="00583022"/>
    <w:rsid w:val="005842F5"/>
    <w:rsid w:val="00584BE5"/>
    <w:rsid w:val="00585B02"/>
    <w:rsid w:val="00585E6D"/>
    <w:rsid w:val="00586D50"/>
    <w:rsid w:val="005873AE"/>
    <w:rsid w:val="00587D83"/>
    <w:rsid w:val="0059051D"/>
    <w:rsid w:val="00590CDE"/>
    <w:rsid w:val="00590F02"/>
    <w:rsid w:val="0059194D"/>
    <w:rsid w:val="00592A43"/>
    <w:rsid w:val="00593163"/>
    <w:rsid w:val="005936CB"/>
    <w:rsid w:val="0059385B"/>
    <w:rsid w:val="00594674"/>
    <w:rsid w:val="005957AF"/>
    <w:rsid w:val="00596887"/>
    <w:rsid w:val="00596950"/>
    <w:rsid w:val="00596B0F"/>
    <w:rsid w:val="005975B5"/>
    <w:rsid w:val="00597AEF"/>
    <w:rsid w:val="005A172A"/>
    <w:rsid w:val="005A1A86"/>
    <w:rsid w:val="005A2249"/>
    <w:rsid w:val="005A2485"/>
    <w:rsid w:val="005A2F2A"/>
    <w:rsid w:val="005A3717"/>
    <w:rsid w:val="005A3DAF"/>
    <w:rsid w:val="005A48BC"/>
    <w:rsid w:val="005A5117"/>
    <w:rsid w:val="005A5472"/>
    <w:rsid w:val="005A58C2"/>
    <w:rsid w:val="005A5DC3"/>
    <w:rsid w:val="005A6A54"/>
    <w:rsid w:val="005A7B9C"/>
    <w:rsid w:val="005A7D65"/>
    <w:rsid w:val="005B0206"/>
    <w:rsid w:val="005B0480"/>
    <w:rsid w:val="005B0603"/>
    <w:rsid w:val="005B3668"/>
    <w:rsid w:val="005B48A1"/>
    <w:rsid w:val="005B5AC4"/>
    <w:rsid w:val="005B6681"/>
    <w:rsid w:val="005B6911"/>
    <w:rsid w:val="005B6B8F"/>
    <w:rsid w:val="005B6F64"/>
    <w:rsid w:val="005B76F1"/>
    <w:rsid w:val="005B7788"/>
    <w:rsid w:val="005B7A02"/>
    <w:rsid w:val="005B7CF6"/>
    <w:rsid w:val="005C033F"/>
    <w:rsid w:val="005C05E3"/>
    <w:rsid w:val="005C0745"/>
    <w:rsid w:val="005C07C4"/>
    <w:rsid w:val="005C08D5"/>
    <w:rsid w:val="005C0915"/>
    <w:rsid w:val="005C0D17"/>
    <w:rsid w:val="005C0F4E"/>
    <w:rsid w:val="005C14A0"/>
    <w:rsid w:val="005C270A"/>
    <w:rsid w:val="005C2ADB"/>
    <w:rsid w:val="005C3396"/>
    <w:rsid w:val="005C3775"/>
    <w:rsid w:val="005C41E5"/>
    <w:rsid w:val="005C4B4F"/>
    <w:rsid w:val="005C4E9B"/>
    <w:rsid w:val="005C550A"/>
    <w:rsid w:val="005C7F29"/>
    <w:rsid w:val="005D037A"/>
    <w:rsid w:val="005D046A"/>
    <w:rsid w:val="005D07A8"/>
    <w:rsid w:val="005D0DD6"/>
    <w:rsid w:val="005D133E"/>
    <w:rsid w:val="005D16B9"/>
    <w:rsid w:val="005D337C"/>
    <w:rsid w:val="005D41C5"/>
    <w:rsid w:val="005D4922"/>
    <w:rsid w:val="005D53C2"/>
    <w:rsid w:val="005D5550"/>
    <w:rsid w:val="005D608B"/>
    <w:rsid w:val="005D63A0"/>
    <w:rsid w:val="005D7039"/>
    <w:rsid w:val="005D7971"/>
    <w:rsid w:val="005E002A"/>
    <w:rsid w:val="005E1B9F"/>
    <w:rsid w:val="005E1F11"/>
    <w:rsid w:val="005E2369"/>
    <w:rsid w:val="005E2B1C"/>
    <w:rsid w:val="005E3E5E"/>
    <w:rsid w:val="005E421E"/>
    <w:rsid w:val="005E4852"/>
    <w:rsid w:val="005E4A7E"/>
    <w:rsid w:val="005E4CD7"/>
    <w:rsid w:val="005E5047"/>
    <w:rsid w:val="005E5528"/>
    <w:rsid w:val="005E5AC3"/>
    <w:rsid w:val="005E5FDB"/>
    <w:rsid w:val="005E6DF4"/>
    <w:rsid w:val="005E73A4"/>
    <w:rsid w:val="005E7907"/>
    <w:rsid w:val="005F0152"/>
    <w:rsid w:val="005F09E2"/>
    <w:rsid w:val="005F0BCB"/>
    <w:rsid w:val="005F0D78"/>
    <w:rsid w:val="005F1816"/>
    <w:rsid w:val="005F2FC8"/>
    <w:rsid w:val="005F368E"/>
    <w:rsid w:val="005F3BAE"/>
    <w:rsid w:val="005F4B2C"/>
    <w:rsid w:val="005F4E3C"/>
    <w:rsid w:val="005F5D0C"/>
    <w:rsid w:val="005F716E"/>
    <w:rsid w:val="005F7B93"/>
    <w:rsid w:val="00600977"/>
    <w:rsid w:val="00600C1B"/>
    <w:rsid w:val="00602218"/>
    <w:rsid w:val="006025E4"/>
    <w:rsid w:val="0060322C"/>
    <w:rsid w:val="00603991"/>
    <w:rsid w:val="00603ED5"/>
    <w:rsid w:val="00605022"/>
    <w:rsid w:val="006051E2"/>
    <w:rsid w:val="00605AF0"/>
    <w:rsid w:val="00605D83"/>
    <w:rsid w:val="00606916"/>
    <w:rsid w:val="0060733F"/>
    <w:rsid w:val="006077F9"/>
    <w:rsid w:val="00610302"/>
    <w:rsid w:val="006103F7"/>
    <w:rsid w:val="00610537"/>
    <w:rsid w:val="00611032"/>
    <w:rsid w:val="006113C2"/>
    <w:rsid w:val="00611714"/>
    <w:rsid w:val="00612E34"/>
    <w:rsid w:val="006146C0"/>
    <w:rsid w:val="00614B1A"/>
    <w:rsid w:val="00616032"/>
    <w:rsid w:val="0061684A"/>
    <w:rsid w:val="00617933"/>
    <w:rsid w:val="00620105"/>
    <w:rsid w:val="006203ED"/>
    <w:rsid w:val="00620425"/>
    <w:rsid w:val="0062166D"/>
    <w:rsid w:val="00622841"/>
    <w:rsid w:val="00622C8D"/>
    <w:rsid w:val="00622FBF"/>
    <w:rsid w:val="006239AD"/>
    <w:rsid w:val="00623AD3"/>
    <w:rsid w:val="00624CC1"/>
    <w:rsid w:val="00625344"/>
    <w:rsid w:val="00626199"/>
    <w:rsid w:val="0062619A"/>
    <w:rsid w:val="00626C06"/>
    <w:rsid w:val="0062724E"/>
    <w:rsid w:val="006274C0"/>
    <w:rsid w:val="006279FE"/>
    <w:rsid w:val="00630597"/>
    <w:rsid w:val="00630D5B"/>
    <w:rsid w:val="006317C8"/>
    <w:rsid w:val="00631CA2"/>
    <w:rsid w:val="00632D2E"/>
    <w:rsid w:val="00633738"/>
    <w:rsid w:val="006361ED"/>
    <w:rsid w:val="00636818"/>
    <w:rsid w:val="00636CC0"/>
    <w:rsid w:val="00636E59"/>
    <w:rsid w:val="006375F7"/>
    <w:rsid w:val="00637BA4"/>
    <w:rsid w:val="0064061B"/>
    <w:rsid w:val="006406C3"/>
    <w:rsid w:val="0064099C"/>
    <w:rsid w:val="006410D6"/>
    <w:rsid w:val="00641940"/>
    <w:rsid w:val="00645047"/>
    <w:rsid w:val="00645338"/>
    <w:rsid w:val="00646486"/>
    <w:rsid w:val="00647FB6"/>
    <w:rsid w:val="00650F75"/>
    <w:rsid w:val="00651FDF"/>
    <w:rsid w:val="00652453"/>
    <w:rsid w:val="00653007"/>
    <w:rsid w:val="006530B3"/>
    <w:rsid w:val="00653333"/>
    <w:rsid w:val="006542E3"/>
    <w:rsid w:val="00654A02"/>
    <w:rsid w:val="00654D24"/>
    <w:rsid w:val="00655724"/>
    <w:rsid w:val="00655F7A"/>
    <w:rsid w:val="0065702F"/>
    <w:rsid w:val="00657242"/>
    <w:rsid w:val="00657E79"/>
    <w:rsid w:val="00660A34"/>
    <w:rsid w:val="006612D2"/>
    <w:rsid w:val="00661383"/>
    <w:rsid w:val="006620C2"/>
    <w:rsid w:val="0066270F"/>
    <w:rsid w:val="00663732"/>
    <w:rsid w:val="00663C39"/>
    <w:rsid w:val="00663CF0"/>
    <w:rsid w:val="00664498"/>
    <w:rsid w:val="00664C4C"/>
    <w:rsid w:val="00664E5D"/>
    <w:rsid w:val="00665002"/>
    <w:rsid w:val="006653C6"/>
    <w:rsid w:val="00665533"/>
    <w:rsid w:val="0066688C"/>
    <w:rsid w:val="00666C81"/>
    <w:rsid w:val="00667110"/>
    <w:rsid w:val="00667775"/>
    <w:rsid w:val="00670AEF"/>
    <w:rsid w:val="00670C7A"/>
    <w:rsid w:val="00670DA5"/>
    <w:rsid w:val="006713CE"/>
    <w:rsid w:val="0067215C"/>
    <w:rsid w:val="00672603"/>
    <w:rsid w:val="00673F6F"/>
    <w:rsid w:val="00674655"/>
    <w:rsid w:val="00674E70"/>
    <w:rsid w:val="006760C6"/>
    <w:rsid w:val="00676F5F"/>
    <w:rsid w:val="00677FB7"/>
    <w:rsid w:val="006813E8"/>
    <w:rsid w:val="006815EA"/>
    <w:rsid w:val="006819D2"/>
    <w:rsid w:val="006821F1"/>
    <w:rsid w:val="00682FEC"/>
    <w:rsid w:val="00683249"/>
    <w:rsid w:val="00685D84"/>
    <w:rsid w:val="00686534"/>
    <w:rsid w:val="006866A4"/>
    <w:rsid w:val="0068708E"/>
    <w:rsid w:val="006902AD"/>
    <w:rsid w:val="0069097B"/>
    <w:rsid w:val="00691295"/>
    <w:rsid w:val="00692473"/>
    <w:rsid w:val="00695811"/>
    <w:rsid w:val="006962BB"/>
    <w:rsid w:val="006A07B7"/>
    <w:rsid w:val="006A152F"/>
    <w:rsid w:val="006A1EE7"/>
    <w:rsid w:val="006A213C"/>
    <w:rsid w:val="006A2567"/>
    <w:rsid w:val="006A35D2"/>
    <w:rsid w:val="006A557C"/>
    <w:rsid w:val="006A76CD"/>
    <w:rsid w:val="006A77E4"/>
    <w:rsid w:val="006A7E40"/>
    <w:rsid w:val="006B0F33"/>
    <w:rsid w:val="006B1867"/>
    <w:rsid w:val="006B30FF"/>
    <w:rsid w:val="006B4E8D"/>
    <w:rsid w:val="006B57A2"/>
    <w:rsid w:val="006B61DA"/>
    <w:rsid w:val="006B66EB"/>
    <w:rsid w:val="006B6D05"/>
    <w:rsid w:val="006B703F"/>
    <w:rsid w:val="006B723A"/>
    <w:rsid w:val="006C04A8"/>
    <w:rsid w:val="006C129D"/>
    <w:rsid w:val="006C137A"/>
    <w:rsid w:val="006C14B7"/>
    <w:rsid w:val="006C1A9C"/>
    <w:rsid w:val="006C1B44"/>
    <w:rsid w:val="006C1F04"/>
    <w:rsid w:val="006C3A65"/>
    <w:rsid w:val="006C40C2"/>
    <w:rsid w:val="006C4C8B"/>
    <w:rsid w:val="006C4E3C"/>
    <w:rsid w:val="006C66BF"/>
    <w:rsid w:val="006C7728"/>
    <w:rsid w:val="006D0114"/>
    <w:rsid w:val="006D0FB0"/>
    <w:rsid w:val="006D10D3"/>
    <w:rsid w:val="006D17E2"/>
    <w:rsid w:val="006D1942"/>
    <w:rsid w:val="006D39F7"/>
    <w:rsid w:val="006D3F0E"/>
    <w:rsid w:val="006D6286"/>
    <w:rsid w:val="006D795B"/>
    <w:rsid w:val="006E0891"/>
    <w:rsid w:val="006E164F"/>
    <w:rsid w:val="006E18C2"/>
    <w:rsid w:val="006E196F"/>
    <w:rsid w:val="006E21E2"/>
    <w:rsid w:val="006E287D"/>
    <w:rsid w:val="006E2ED5"/>
    <w:rsid w:val="006E3BE3"/>
    <w:rsid w:val="006E4506"/>
    <w:rsid w:val="006E4B87"/>
    <w:rsid w:val="006E5452"/>
    <w:rsid w:val="006E69A6"/>
    <w:rsid w:val="006E6B7F"/>
    <w:rsid w:val="006E7207"/>
    <w:rsid w:val="006E7456"/>
    <w:rsid w:val="006F02A7"/>
    <w:rsid w:val="006F0A1C"/>
    <w:rsid w:val="006F0C1C"/>
    <w:rsid w:val="006F127E"/>
    <w:rsid w:val="006F1525"/>
    <w:rsid w:val="006F1915"/>
    <w:rsid w:val="006F2456"/>
    <w:rsid w:val="006F2807"/>
    <w:rsid w:val="006F35A5"/>
    <w:rsid w:val="006F3619"/>
    <w:rsid w:val="006F45BF"/>
    <w:rsid w:val="006F4BE5"/>
    <w:rsid w:val="006F4C53"/>
    <w:rsid w:val="006F661A"/>
    <w:rsid w:val="006F7AEE"/>
    <w:rsid w:val="00700655"/>
    <w:rsid w:val="00701390"/>
    <w:rsid w:val="0070160B"/>
    <w:rsid w:val="00701BAC"/>
    <w:rsid w:val="00702A8D"/>
    <w:rsid w:val="007052DB"/>
    <w:rsid w:val="007058DF"/>
    <w:rsid w:val="00705BED"/>
    <w:rsid w:val="0070608E"/>
    <w:rsid w:val="007112B8"/>
    <w:rsid w:val="007112F1"/>
    <w:rsid w:val="00711EC0"/>
    <w:rsid w:val="007126D0"/>
    <w:rsid w:val="00713E28"/>
    <w:rsid w:val="007143C9"/>
    <w:rsid w:val="007145BF"/>
    <w:rsid w:val="00714B02"/>
    <w:rsid w:val="00715DE3"/>
    <w:rsid w:val="00716335"/>
    <w:rsid w:val="007175FF"/>
    <w:rsid w:val="0072137B"/>
    <w:rsid w:val="0072189D"/>
    <w:rsid w:val="007218DD"/>
    <w:rsid w:val="007226AD"/>
    <w:rsid w:val="0072293B"/>
    <w:rsid w:val="0072460D"/>
    <w:rsid w:val="0072478C"/>
    <w:rsid w:val="00724BF9"/>
    <w:rsid w:val="0072542D"/>
    <w:rsid w:val="0072625F"/>
    <w:rsid w:val="0072640C"/>
    <w:rsid w:val="00727471"/>
    <w:rsid w:val="00727E5C"/>
    <w:rsid w:val="007301DF"/>
    <w:rsid w:val="007301F1"/>
    <w:rsid w:val="0073079D"/>
    <w:rsid w:val="00731D8F"/>
    <w:rsid w:val="00731E2A"/>
    <w:rsid w:val="007329A5"/>
    <w:rsid w:val="00733FB9"/>
    <w:rsid w:val="007353F8"/>
    <w:rsid w:val="00736333"/>
    <w:rsid w:val="00736395"/>
    <w:rsid w:val="00736E86"/>
    <w:rsid w:val="007403B9"/>
    <w:rsid w:val="00740AAE"/>
    <w:rsid w:val="00740AE5"/>
    <w:rsid w:val="007414E8"/>
    <w:rsid w:val="0074195C"/>
    <w:rsid w:val="007419F8"/>
    <w:rsid w:val="007425F4"/>
    <w:rsid w:val="00743AA9"/>
    <w:rsid w:val="00744424"/>
    <w:rsid w:val="007448EC"/>
    <w:rsid w:val="0074540E"/>
    <w:rsid w:val="00745DA8"/>
    <w:rsid w:val="00747DB7"/>
    <w:rsid w:val="00750244"/>
    <w:rsid w:val="00750E3C"/>
    <w:rsid w:val="007511FD"/>
    <w:rsid w:val="007513F4"/>
    <w:rsid w:val="00751739"/>
    <w:rsid w:val="00751FBC"/>
    <w:rsid w:val="00752667"/>
    <w:rsid w:val="00752C1D"/>
    <w:rsid w:val="00753111"/>
    <w:rsid w:val="00753213"/>
    <w:rsid w:val="00753C31"/>
    <w:rsid w:val="00754195"/>
    <w:rsid w:val="007547B9"/>
    <w:rsid w:val="00755E91"/>
    <w:rsid w:val="00756B18"/>
    <w:rsid w:val="00756D0D"/>
    <w:rsid w:val="00757431"/>
    <w:rsid w:val="00757D89"/>
    <w:rsid w:val="00757EF0"/>
    <w:rsid w:val="007618C2"/>
    <w:rsid w:val="00761A4B"/>
    <w:rsid w:val="00762412"/>
    <w:rsid w:val="00762D50"/>
    <w:rsid w:val="00763038"/>
    <w:rsid w:val="0076357F"/>
    <w:rsid w:val="00763CB7"/>
    <w:rsid w:val="00764359"/>
    <w:rsid w:val="00764A79"/>
    <w:rsid w:val="00764D17"/>
    <w:rsid w:val="007653B2"/>
    <w:rsid w:val="007656DD"/>
    <w:rsid w:val="00766303"/>
    <w:rsid w:val="007667B3"/>
    <w:rsid w:val="00767833"/>
    <w:rsid w:val="0077030F"/>
    <w:rsid w:val="007705A8"/>
    <w:rsid w:val="00772159"/>
    <w:rsid w:val="007722FE"/>
    <w:rsid w:val="00772B59"/>
    <w:rsid w:val="00773060"/>
    <w:rsid w:val="007742F3"/>
    <w:rsid w:val="00774A3B"/>
    <w:rsid w:val="00775FA8"/>
    <w:rsid w:val="00777D8C"/>
    <w:rsid w:val="00780C87"/>
    <w:rsid w:val="00781F8D"/>
    <w:rsid w:val="0078407D"/>
    <w:rsid w:val="007842AF"/>
    <w:rsid w:val="00784BCA"/>
    <w:rsid w:val="00785754"/>
    <w:rsid w:val="007861E0"/>
    <w:rsid w:val="00787C02"/>
    <w:rsid w:val="007906AB"/>
    <w:rsid w:val="00790993"/>
    <w:rsid w:val="00790C74"/>
    <w:rsid w:val="00790FAC"/>
    <w:rsid w:val="00791438"/>
    <w:rsid w:val="00791CCC"/>
    <w:rsid w:val="00791F42"/>
    <w:rsid w:val="007922C4"/>
    <w:rsid w:val="00792312"/>
    <w:rsid w:val="007923FA"/>
    <w:rsid w:val="0079325E"/>
    <w:rsid w:val="00793353"/>
    <w:rsid w:val="00794021"/>
    <w:rsid w:val="00794190"/>
    <w:rsid w:val="007947DA"/>
    <w:rsid w:val="00794EFA"/>
    <w:rsid w:val="00795A4F"/>
    <w:rsid w:val="00796164"/>
    <w:rsid w:val="00796AA6"/>
    <w:rsid w:val="00796C30"/>
    <w:rsid w:val="007A0310"/>
    <w:rsid w:val="007A0B58"/>
    <w:rsid w:val="007A1023"/>
    <w:rsid w:val="007A1B96"/>
    <w:rsid w:val="007A2130"/>
    <w:rsid w:val="007A2445"/>
    <w:rsid w:val="007A28F6"/>
    <w:rsid w:val="007A2E3B"/>
    <w:rsid w:val="007A37EF"/>
    <w:rsid w:val="007A448F"/>
    <w:rsid w:val="007A542D"/>
    <w:rsid w:val="007A5DE4"/>
    <w:rsid w:val="007A63AB"/>
    <w:rsid w:val="007A76D0"/>
    <w:rsid w:val="007B0977"/>
    <w:rsid w:val="007B0D57"/>
    <w:rsid w:val="007B137A"/>
    <w:rsid w:val="007B1EE2"/>
    <w:rsid w:val="007B1F7E"/>
    <w:rsid w:val="007B223C"/>
    <w:rsid w:val="007B232A"/>
    <w:rsid w:val="007B28C0"/>
    <w:rsid w:val="007B2F0A"/>
    <w:rsid w:val="007B442B"/>
    <w:rsid w:val="007B4CC6"/>
    <w:rsid w:val="007B4D51"/>
    <w:rsid w:val="007B5C8E"/>
    <w:rsid w:val="007B5D43"/>
    <w:rsid w:val="007B65B2"/>
    <w:rsid w:val="007B6812"/>
    <w:rsid w:val="007B7308"/>
    <w:rsid w:val="007B746C"/>
    <w:rsid w:val="007C04DA"/>
    <w:rsid w:val="007C0788"/>
    <w:rsid w:val="007C0E27"/>
    <w:rsid w:val="007C10E7"/>
    <w:rsid w:val="007C17A4"/>
    <w:rsid w:val="007C1925"/>
    <w:rsid w:val="007C1C95"/>
    <w:rsid w:val="007C232E"/>
    <w:rsid w:val="007C24BA"/>
    <w:rsid w:val="007C2682"/>
    <w:rsid w:val="007C2BBE"/>
    <w:rsid w:val="007C38C6"/>
    <w:rsid w:val="007C4159"/>
    <w:rsid w:val="007C4180"/>
    <w:rsid w:val="007C49FD"/>
    <w:rsid w:val="007C4F4E"/>
    <w:rsid w:val="007C5A33"/>
    <w:rsid w:val="007C6189"/>
    <w:rsid w:val="007C62DC"/>
    <w:rsid w:val="007C6DFE"/>
    <w:rsid w:val="007C7D1E"/>
    <w:rsid w:val="007D11A9"/>
    <w:rsid w:val="007D1302"/>
    <w:rsid w:val="007D194B"/>
    <w:rsid w:val="007D22E1"/>
    <w:rsid w:val="007D2E98"/>
    <w:rsid w:val="007D323C"/>
    <w:rsid w:val="007D33E0"/>
    <w:rsid w:val="007D41BF"/>
    <w:rsid w:val="007D4295"/>
    <w:rsid w:val="007D45EB"/>
    <w:rsid w:val="007D4A4B"/>
    <w:rsid w:val="007D4D78"/>
    <w:rsid w:val="007D4E26"/>
    <w:rsid w:val="007D53F6"/>
    <w:rsid w:val="007D54CF"/>
    <w:rsid w:val="007D5590"/>
    <w:rsid w:val="007D57D3"/>
    <w:rsid w:val="007D5EDB"/>
    <w:rsid w:val="007D77B6"/>
    <w:rsid w:val="007E0596"/>
    <w:rsid w:val="007E0A3E"/>
    <w:rsid w:val="007E1EBF"/>
    <w:rsid w:val="007E20DA"/>
    <w:rsid w:val="007E2773"/>
    <w:rsid w:val="007E278F"/>
    <w:rsid w:val="007E2FCD"/>
    <w:rsid w:val="007E5821"/>
    <w:rsid w:val="007F09C4"/>
    <w:rsid w:val="007F0DEB"/>
    <w:rsid w:val="007F0FC2"/>
    <w:rsid w:val="007F108C"/>
    <w:rsid w:val="007F16E2"/>
    <w:rsid w:val="007F191B"/>
    <w:rsid w:val="007F1CEA"/>
    <w:rsid w:val="007F2383"/>
    <w:rsid w:val="007F274C"/>
    <w:rsid w:val="007F3056"/>
    <w:rsid w:val="007F5880"/>
    <w:rsid w:val="007F5F47"/>
    <w:rsid w:val="007F685F"/>
    <w:rsid w:val="007F76F1"/>
    <w:rsid w:val="007F7BF2"/>
    <w:rsid w:val="00800142"/>
    <w:rsid w:val="008001D4"/>
    <w:rsid w:val="0080056F"/>
    <w:rsid w:val="00800C98"/>
    <w:rsid w:val="008014DB"/>
    <w:rsid w:val="00802275"/>
    <w:rsid w:val="008023B8"/>
    <w:rsid w:val="0080327F"/>
    <w:rsid w:val="00803F44"/>
    <w:rsid w:val="00803FB4"/>
    <w:rsid w:val="00806484"/>
    <w:rsid w:val="00807681"/>
    <w:rsid w:val="008106D4"/>
    <w:rsid w:val="00811011"/>
    <w:rsid w:val="00811FAF"/>
    <w:rsid w:val="00812734"/>
    <w:rsid w:val="00812DFF"/>
    <w:rsid w:val="008144F8"/>
    <w:rsid w:val="00815176"/>
    <w:rsid w:val="008156C1"/>
    <w:rsid w:val="00815DE1"/>
    <w:rsid w:val="008179C1"/>
    <w:rsid w:val="00817DA5"/>
    <w:rsid w:val="00817F49"/>
    <w:rsid w:val="00820F3B"/>
    <w:rsid w:val="00821717"/>
    <w:rsid w:val="00821F98"/>
    <w:rsid w:val="008254F7"/>
    <w:rsid w:val="00826C99"/>
    <w:rsid w:val="00827854"/>
    <w:rsid w:val="00827B92"/>
    <w:rsid w:val="00827FCA"/>
    <w:rsid w:val="00830A0F"/>
    <w:rsid w:val="008313D1"/>
    <w:rsid w:val="0083191A"/>
    <w:rsid w:val="008326C8"/>
    <w:rsid w:val="00833263"/>
    <w:rsid w:val="00834043"/>
    <w:rsid w:val="00834BD3"/>
    <w:rsid w:val="00834E26"/>
    <w:rsid w:val="00834EEA"/>
    <w:rsid w:val="00835F9E"/>
    <w:rsid w:val="00836020"/>
    <w:rsid w:val="008362C1"/>
    <w:rsid w:val="00836959"/>
    <w:rsid w:val="00836AAF"/>
    <w:rsid w:val="008379DB"/>
    <w:rsid w:val="00837BD3"/>
    <w:rsid w:val="00837D4C"/>
    <w:rsid w:val="00837E32"/>
    <w:rsid w:val="00841227"/>
    <w:rsid w:val="00841596"/>
    <w:rsid w:val="008415CE"/>
    <w:rsid w:val="00841C68"/>
    <w:rsid w:val="00841CE3"/>
    <w:rsid w:val="00842E47"/>
    <w:rsid w:val="00842EC4"/>
    <w:rsid w:val="008433A5"/>
    <w:rsid w:val="008434CA"/>
    <w:rsid w:val="008440F6"/>
    <w:rsid w:val="0084523D"/>
    <w:rsid w:val="00846478"/>
    <w:rsid w:val="00850051"/>
    <w:rsid w:val="0085056B"/>
    <w:rsid w:val="0085093F"/>
    <w:rsid w:val="008519E8"/>
    <w:rsid w:val="008529CE"/>
    <w:rsid w:val="00852B4D"/>
    <w:rsid w:val="00853361"/>
    <w:rsid w:val="00853AC9"/>
    <w:rsid w:val="008542CD"/>
    <w:rsid w:val="0085484C"/>
    <w:rsid w:val="00855185"/>
    <w:rsid w:val="008555A6"/>
    <w:rsid w:val="00856CA4"/>
    <w:rsid w:val="008572CD"/>
    <w:rsid w:val="008601AE"/>
    <w:rsid w:val="0086038C"/>
    <w:rsid w:val="00860471"/>
    <w:rsid w:val="008604C7"/>
    <w:rsid w:val="008607FF"/>
    <w:rsid w:val="00860861"/>
    <w:rsid w:val="00860ADE"/>
    <w:rsid w:val="00860ED1"/>
    <w:rsid w:val="00861104"/>
    <w:rsid w:val="00861562"/>
    <w:rsid w:val="00861575"/>
    <w:rsid w:val="00861E35"/>
    <w:rsid w:val="00861E85"/>
    <w:rsid w:val="00862815"/>
    <w:rsid w:val="00862A7F"/>
    <w:rsid w:val="00862B4E"/>
    <w:rsid w:val="0086377F"/>
    <w:rsid w:val="00863A18"/>
    <w:rsid w:val="00863DEB"/>
    <w:rsid w:val="0086404D"/>
    <w:rsid w:val="008659DD"/>
    <w:rsid w:val="00865E27"/>
    <w:rsid w:val="00866572"/>
    <w:rsid w:val="008676C8"/>
    <w:rsid w:val="00867CDD"/>
    <w:rsid w:val="0087043D"/>
    <w:rsid w:val="0087153A"/>
    <w:rsid w:val="00871C6F"/>
    <w:rsid w:val="00871D6C"/>
    <w:rsid w:val="00874CF3"/>
    <w:rsid w:val="00874F64"/>
    <w:rsid w:val="00875963"/>
    <w:rsid w:val="00875CEB"/>
    <w:rsid w:val="00875E62"/>
    <w:rsid w:val="00876150"/>
    <w:rsid w:val="00876236"/>
    <w:rsid w:val="008765A8"/>
    <w:rsid w:val="00877375"/>
    <w:rsid w:val="00877952"/>
    <w:rsid w:val="00877BDC"/>
    <w:rsid w:val="00877EBE"/>
    <w:rsid w:val="008807EA"/>
    <w:rsid w:val="00880EC7"/>
    <w:rsid w:val="00881755"/>
    <w:rsid w:val="008829BC"/>
    <w:rsid w:val="00882FCC"/>
    <w:rsid w:val="008833BB"/>
    <w:rsid w:val="00883CF8"/>
    <w:rsid w:val="00884249"/>
    <w:rsid w:val="00884888"/>
    <w:rsid w:val="00884BB2"/>
    <w:rsid w:val="00885E8A"/>
    <w:rsid w:val="0088650F"/>
    <w:rsid w:val="008906EB"/>
    <w:rsid w:val="00890809"/>
    <w:rsid w:val="00890A52"/>
    <w:rsid w:val="00891F3B"/>
    <w:rsid w:val="0089580B"/>
    <w:rsid w:val="00895971"/>
    <w:rsid w:val="008979AB"/>
    <w:rsid w:val="008A03A1"/>
    <w:rsid w:val="008A0457"/>
    <w:rsid w:val="008A0477"/>
    <w:rsid w:val="008A1203"/>
    <w:rsid w:val="008A215C"/>
    <w:rsid w:val="008A27F0"/>
    <w:rsid w:val="008A4726"/>
    <w:rsid w:val="008A4DD3"/>
    <w:rsid w:val="008A5D38"/>
    <w:rsid w:val="008A6487"/>
    <w:rsid w:val="008A753F"/>
    <w:rsid w:val="008A76D2"/>
    <w:rsid w:val="008B30BE"/>
    <w:rsid w:val="008B3186"/>
    <w:rsid w:val="008B34D7"/>
    <w:rsid w:val="008B440F"/>
    <w:rsid w:val="008B44F6"/>
    <w:rsid w:val="008B461D"/>
    <w:rsid w:val="008B469A"/>
    <w:rsid w:val="008B4882"/>
    <w:rsid w:val="008B6083"/>
    <w:rsid w:val="008B611C"/>
    <w:rsid w:val="008B7303"/>
    <w:rsid w:val="008C004C"/>
    <w:rsid w:val="008C2287"/>
    <w:rsid w:val="008C3114"/>
    <w:rsid w:val="008C3F10"/>
    <w:rsid w:val="008C49BA"/>
    <w:rsid w:val="008C5159"/>
    <w:rsid w:val="008C5993"/>
    <w:rsid w:val="008C5D45"/>
    <w:rsid w:val="008C670B"/>
    <w:rsid w:val="008C6F51"/>
    <w:rsid w:val="008D0402"/>
    <w:rsid w:val="008D0AFB"/>
    <w:rsid w:val="008D12EE"/>
    <w:rsid w:val="008D322F"/>
    <w:rsid w:val="008D39B8"/>
    <w:rsid w:val="008D3BD6"/>
    <w:rsid w:val="008D4294"/>
    <w:rsid w:val="008D469A"/>
    <w:rsid w:val="008D4F30"/>
    <w:rsid w:val="008D514A"/>
    <w:rsid w:val="008D685E"/>
    <w:rsid w:val="008D6F59"/>
    <w:rsid w:val="008D710D"/>
    <w:rsid w:val="008E1A6E"/>
    <w:rsid w:val="008E3D39"/>
    <w:rsid w:val="008E44B9"/>
    <w:rsid w:val="008E5714"/>
    <w:rsid w:val="008E5A2C"/>
    <w:rsid w:val="008F11A3"/>
    <w:rsid w:val="008F12E5"/>
    <w:rsid w:val="008F22D6"/>
    <w:rsid w:val="008F2B17"/>
    <w:rsid w:val="008F3048"/>
    <w:rsid w:val="008F42C3"/>
    <w:rsid w:val="008F4327"/>
    <w:rsid w:val="008F442B"/>
    <w:rsid w:val="008F48BB"/>
    <w:rsid w:val="008F4B5C"/>
    <w:rsid w:val="008F5894"/>
    <w:rsid w:val="008F679F"/>
    <w:rsid w:val="008F6841"/>
    <w:rsid w:val="008F6DEC"/>
    <w:rsid w:val="008F70D0"/>
    <w:rsid w:val="0090071A"/>
    <w:rsid w:val="00901E9F"/>
    <w:rsid w:val="0090234F"/>
    <w:rsid w:val="0090238B"/>
    <w:rsid w:val="00902C09"/>
    <w:rsid w:val="00902E05"/>
    <w:rsid w:val="00902FFB"/>
    <w:rsid w:val="009042C8"/>
    <w:rsid w:val="009054E0"/>
    <w:rsid w:val="00905AC7"/>
    <w:rsid w:val="00905F17"/>
    <w:rsid w:val="00906597"/>
    <w:rsid w:val="00906942"/>
    <w:rsid w:val="009069CE"/>
    <w:rsid w:val="00907008"/>
    <w:rsid w:val="009075C1"/>
    <w:rsid w:val="009077D2"/>
    <w:rsid w:val="009078E1"/>
    <w:rsid w:val="00910481"/>
    <w:rsid w:val="00910B0E"/>
    <w:rsid w:val="00912388"/>
    <w:rsid w:val="0091259E"/>
    <w:rsid w:val="00912C00"/>
    <w:rsid w:val="00912CC1"/>
    <w:rsid w:val="00913106"/>
    <w:rsid w:val="009131B4"/>
    <w:rsid w:val="009140E2"/>
    <w:rsid w:val="00914834"/>
    <w:rsid w:val="00914D8F"/>
    <w:rsid w:val="0091608B"/>
    <w:rsid w:val="0091644C"/>
    <w:rsid w:val="00916DD6"/>
    <w:rsid w:val="00917244"/>
    <w:rsid w:val="009205C7"/>
    <w:rsid w:val="00921438"/>
    <w:rsid w:val="009217F5"/>
    <w:rsid w:val="0092207B"/>
    <w:rsid w:val="0092217C"/>
    <w:rsid w:val="00922FE6"/>
    <w:rsid w:val="009236DE"/>
    <w:rsid w:val="00923B7D"/>
    <w:rsid w:val="009240E7"/>
    <w:rsid w:val="00924621"/>
    <w:rsid w:val="00924D5F"/>
    <w:rsid w:val="00924F17"/>
    <w:rsid w:val="009255BB"/>
    <w:rsid w:val="00925A52"/>
    <w:rsid w:val="00925E34"/>
    <w:rsid w:val="00926134"/>
    <w:rsid w:val="0092646A"/>
    <w:rsid w:val="009271E4"/>
    <w:rsid w:val="0092738E"/>
    <w:rsid w:val="009273F9"/>
    <w:rsid w:val="009303DF"/>
    <w:rsid w:val="00931186"/>
    <w:rsid w:val="00931626"/>
    <w:rsid w:val="009328FF"/>
    <w:rsid w:val="00932B81"/>
    <w:rsid w:val="009333D6"/>
    <w:rsid w:val="0093355B"/>
    <w:rsid w:val="009350E0"/>
    <w:rsid w:val="009356A5"/>
    <w:rsid w:val="009358A2"/>
    <w:rsid w:val="009358FC"/>
    <w:rsid w:val="00935A7C"/>
    <w:rsid w:val="00935CCE"/>
    <w:rsid w:val="009361E0"/>
    <w:rsid w:val="00936EE1"/>
    <w:rsid w:val="00940142"/>
    <w:rsid w:val="00940312"/>
    <w:rsid w:val="0094275B"/>
    <w:rsid w:val="0094276F"/>
    <w:rsid w:val="00942F92"/>
    <w:rsid w:val="009442D8"/>
    <w:rsid w:val="00944852"/>
    <w:rsid w:val="00944F20"/>
    <w:rsid w:val="00945C77"/>
    <w:rsid w:val="0094691A"/>
    <w:rsid w:val="00946922"/>
    <w:rsid w:val="00947020"/>
    <w:rsid w:val="0095019D"/>
    <w:rsid w:val="00950599"/>
    <w:rsid w:val="00950A4E"/>
    <w:rsid w:val="00952456"/>
    <w:rsid w:val="009524F4"/>
    <w:rsid w:val="0095277F"/>
    <w:rsid w:val="00952B2F"/>
    <w:rsid w:val="00953A07"/>
    <w:rsid w:val="00954058"/>
    <w:rsid w:val="009542F7"/>
    <w:rsid w:val="00955D18"/>
    <w:rsid w:val="00956860"/>
    <w:rsid w:val="009578CC"/>
    <w:rsid w:val="009579F1"/>
    <w:rsid w:val="009601F7"/>
    <w:rsid w:val="00960622"/>
    <w:rsid w:val="00961397"/>
    <w:rsid w:val="00961407"/>
    <w:rsid w:val="0096159B"/>
    <w:rsid w:val="0096342A"/>
    <w:rsid w:val="00963DFB"/>
    <w:rsid w:val="0096408E"/>
    <w:rsid w:val="0096484A"/>
    <w:rsid w:val="0096562B"/>
    <w:rsid w:val="00965F9F"/>
    <w:rsid w:val="00966710"/>
    <w:rsid w:val="009675D6"/>
    <w:rsid w:val="00967C6A"/>
    <w:rsid w:val="009706CA"/>
    <w:rsid w:val="009712A0"/>
    <w:rsid w:val="00971974"/>
    <w:rsid w:val="009719E1"/>
    <w:rsid w:val="00971C5E"/>
    <w:rsid w:val="00971E11"/>
    <w:rsid w:val="00971F3D"/>
    <w:rsid w:val="00972EBA"/>
    <w:rsid w:val="00974089"/>
    <w:rsid w:val="0097474D"/>
    <w:rsid w:val="00976B81"/>
    <w:rsid w:val="00976DEF"/>
    <w:rsid w:val="0097725B"/>
    <w:rsid w:val="00977C4F"/>
    <w:rsid w:val="009801F7"/>
    <w:rsid w:val="0098044D"/>
    <w:rsid w:val="00980925"/>
    <w:rsid w:val="0098368C"/>
    <w:rsid w:val="00983852"/>
    <w:rsid w:val="00984439"/>
    <w:rsid w:val="00984571"/>
    <w:rsid w:val="0098457C"/>
    <w:rsid w:val="00984726"/>
    <w:rsid w:val="00985D66"/>
    <w:rsid w:val="00985EC6"/>
    <w:rsid w:val="00986D8D"/>
    <w:rsid w:val="00987CAF"/>
    <w:rsid w:val="00991698"/>
    <w:rsid w:val="00993595"/>
    <w:rsid w:val="00994639"/>
    <w:rsid w:val="00994DEA"/>
    <w:rsid w:val="0099562A"/>
    <w:rsid w:val="00995D16"/>
    <w:rsid w:val="009961F0"/>
    <w:rsid w:val="00996600"/>
    <w:rsid w:val="00997D31"/>
    <w:rsid w:val="009A1DFE"/>
    <w:rsid w:val="009A2946"/>
    <w:rsid w:val="009A2E4F"/>
    <w:rsid w:val="009A376A"/>
    <w:rsid w:val="009A3A9D"/>
    <w:rsid w:val="009A3FA1"/>
    <w:rsid w:val="009A468F"/>
    <w:rsid w:val="009A5680"/>
    <w:rsid w:val="009A6361"/>
    <w:rsid w:val="009A6789"/>
    <w:rsid w:val="009A6D62"/>
    <w:rsid w:val="009A754F"/>
    <w:rsid w:val="009A7FB6"/>
    <w:rsid w:val="009B2509"/>
    <w:rsid w:val="009B26E0"/>
    <w:rsid w:val="009B28E8"/>
    <w:rsid w:val="009B3077"/>
    <w:rsid w:val="009B4CCC"/>
    <w:rsid w:val="009B544C"/>
    <w:rsid w:val="009B5465"/>
    <w:rsid w:val="009B64FD"/>
    <w:rsid w:val="009B68F2"/>
    <w:rsid w:val="009B6DD0"/>
    <w:rsid w:val="009B73E1"/>
    <w:rsid w:val="009B7582"/>
    <w:rsid w:val="009C2372"/>
    <w:rsid w:val="009C27E6"/>
    <w:rsid w:val="009C375F"/>
    <w:rsid w:val="009C3C63"/>
    <w:rsid w:val="009C41BC"/>
    <w:rsid w:val="009C5CFD"/>
    <w:rsid w:val="009C6513"/>
    <w:rsid w:val="009C776C"/>
    <w:rsid w:val="009C78D5"/>
    <w:rsid w:val="009D06AB"/>
    <w:rsid w:val="009D06FF"/>
    <w:rsid w:val="009D0B5F"/>
    <w:rsid w:val="009D0DBC"/>
    <w:rsid w:val="009D1A23"/>
    <w:rsid w:val="009D2499"/>
    <w:rsid w:val="009D2B4D"/>
    <w:rsid w:val="009D3751"/>
    <w:rsid w:val="009D3E9F"/>
    <w:rsid w:val="009D454D"/>
    <w:rsid w:val="009D4AEA"/>
    <w:rsid w:val="009D5290"/>
    <w:rsid w:val="009D62D1"/>
    <w:rsid w:val="009D75A3"/>
    <w:rsid w:val="009D7656"/>
    <w:rsid w:val="009D7B22"/>
    <w:rsid w:val="009D7F47"/>
    <w:rsid w:val="009E049D"/>
    <w:rsid w:val="009E234D"/>
    <w:rsid w:val="009E27A3"/>
    <w:rsid w:val="009E27AB"/>
    <w:rsid w:val="009E2A29"/>
    <w:rsid w:val="009E2AB2"/>
    <w:rsid w:val="009E2E8C"/>
    <w:rsid w:val="009E388E"/>
    <w:rsid w:val="009E38A3"/>
    <w:rsid w:val="009E391F"/>
    <w:rsid w:val="009E3D3E"/>
    <w:rsid w:val="009E4087"/>
    <w:rsid w:val="009E4116"/>
    <w:rsid w:val="009E4D20"/>
    <w:rsid w:val="009E4E5A"/>
    <w:rsid w:val="009E53A8"/>
    <w:rsid w:val="009E5482"/>
    <w:rsid w:val="009E598F"/>
    <w:rsid w:val="009E6960"/>
    <w:rsid w:val="009E7004"/>
    <w:rsid w:val="009E72EB"/>
    <w:rsid w:val="009F05D6"/>
    <w:rsid w:val="009F081C"/>
    <w:rsid w:val="009F178B"/>
    <w:rsid w:val="009F3BB0"/>
    <w:rsid w:val="009F3E15"/>
    <w:rsid w:val="009F4590"/>
    <w:rsid w:val="009F459D"/>
    <w:rsid w:val="009F502E"/>
    <w:rsid w:val="009F563D"/>
    <w:rsid w:val="009F5B90"/>
    <w:rsid w:val="009F5D10"/>
    <w:rsid w:val="009F7086"/>
    <w:rsid w:val="00A005DB"/>
    <w:rsid w:val="00A00F5C"/>
    <w:rsid w:val="00A025EC"/>
    <w:rsid w:val="00A03763"/>
    <w:rsid w:val="00A042DA"/>
    <w:rsid w:val="00A043BD"/>
    <w:rsid w:val="00A065F1"/>
    <w:rsid w:val="00A06B50"/>
    <w:rsid w:val="00A07389"/>
    <w:rsid w:val="00A10081"/>
    <w:rsid w:val="00A104E2"/>
    <w:rsid w:val="00A1052F"/>
    <w:rsid w:val="00A106D9"/>
    <w:rsid w:val="00A10D31"/>
    <w:rsid w:val="00A11649"/>
    <w:rsid w:val="00A12320"/>
    <w:rsid w:val="00A1252A"/>
    <w:rsid w:val="00A12891"/>
    <w:rsid w:val="00A12AC6"/>
    <w:rsid w:val="00A14CB5"/>
    <w:rsid w:val="00A1504C"/>
    <w:rsid w:val="00A158FA"/>
    <w:rsid w:val="00A15F34"/>
    <w:rsid w:val="00A17120"/>
    <w:rsid w:val="00A176F4"/>
    <w:rsid w:val="00A2093D"/>
    <w:rsid w:val="00A221AB"/>
    <w:rsid w:val="00A22FC3"/>
    <w:rsid w:val="00A232C3"/>
    <w:rsid w:val="00A24386"/>
    <w:rsid w:val="00A245AB"/>
    <w:rsid w:val="00A25188"/>
    <w:rsid w:val="00A2538B"/>
    <w:rsid w:val="00A261D0"/>
    <w:rsid w:val="00A263DD"/>
    <w:rsid w:val="00A26750"/>
    <w:rsid w:val="00A27587"/>
    <w:rsid w:val="00A27C05"/>
    <w:rsid w:val="00A27DA4"/>
    <w:rsid w:val="00A27FC4"/>
    <w:rsid w:val="00A30D6F"/>
    <w:rsid w:val="00A31158"/>
    <w:rsid w:val="00A3250A"/>
    <w:rsid w:val="00A32B23"/>
    <w:rsid w:val="00A32D3A"/>
    <w:rsid w:val="00A332F2"/>
    <w:rsid w:val="00A33608"/>
    <w:rsid w:val="00A33C47"/>
    <w:rsid w:val="00A340C5"/>
    <w:rsid w:val="00A345AA"/>
    <w:rsid w:val="00A34685"/>
    <w:rsid w:val="00A346A8"/>
    <w:rsid w:val="00A35431"/>
    <w:rsid w:val="00A35935"/>
    <w:rsid w:val="00A36209"/>
    <w:rsid w:val="00A36223"/>
    <w:rsid w:val="00A36335"/>
    <w:rsid w:val="00A37E46"/>
    <w:rsid w:val="00A403D1"/>
    <w:rsid w:val="00A40506"/>
    <w:rsid w:val="00A406AB"/>
    <w:rsid w:val="00A420B4"/>
    <w:rsid w:val="00A42351"/>
    <w:rsid w:val="00A434A6"/>
    <w:rsid w:val="00A436C6"/>
    <w:rsid w:val="00A43E62"/>
    <w:rsid w:val="00A43F16"/>
    <w:rsid w:val="00A444D1"/>
    <w:rsid w:val="00A4454B"/>
    <w:rsid w:val="00A44718"/>
    <w:rsid w:val="00A44CF1"/>
    <w:rsid w:val="00A45DA0"/>
    <w:rsid w:val="00A468E8"/>
    <w:rsid w:val="00A46E22"/>
    <w:rsid w:val="00A47A30"/>
    <w:rsid w:val="00A47C1F"/>
    <w:rsid w:val="00A50308"/>
    <w:rsid w:val="00A5412A"/>
    <w:rsid w:val="00A5459E"/>
    <w:rsid w:val="00A54DBD"/>
    <w:rsid w:val="00A54F74"/>
    <w:rsid w:val="00A564D8"/>
    <w:rsid w:val="00A5737A"/>
    <w:rsid w:val="00A57780"/>
    <w:rsid w:val="00A57C3C"/>
    <w:rsid w:val="00A600C6"/>
    <w:rsid w:val="00A60468"/>
    <w:rsid w:val="00A60A22"/>
    <w:rsid w:val="00A61925"/>
    <w:rsid w:val="00A61998"/>
    <w:rsid w:val="00A62B74"/>
    <w:rsid w:val="00A62D77"/>
    <w:rsid w:val="00A63429"/>
    <w:rsid w:val="00A65180"/>
    <w:rsid w:val="00A65289"/>
    <w:rsid w:val="00A674BC"/>
    <w:rsid w:val="00A67556"/>
    <w:rsid w:val="00A70516"/>
    <w:rsid w:val="00A7056C"/>
    <w:rsid w:val="00A72787"/>
    <w:rsid w:val="00A728F1"/>
    <w:rsid w:val="00A73A7A"/>
    <w:rsid w:val="00A7442D"/>
    <w:rsid w:val="00A74643"/>
    <w:rsid w:val="00A76142"/>
    <w:rsid w:val="00A7642B"/>
    <w:rsid w:val="00A76605"/>
    <w:rsid w:val="00A7685F"/>
    <w:rsid w:val="00A76C44"/>
    <w:rsid w:val="00A76CF5"/>
    <w:rsid w:val="00A771D4"/>
    <w:rsid w:val="00A77C5D"/>
    <w:rsid w:val="00A8056B"/>
    <w:rsid w:val="00A81469"/>
    <w:rsid w:val="00A82CEC"/>
    <w:rsid w:val="00A82DF7"/>
    <w:rsid w:val="00A83237"/>
    <w:rsid w:val="00A83DD1"/>
    <w:rsid w:val="00A852C8"/>
    <w:rsid w:val="00A85A7E"/>
    <w:rsid w:val="00A86DA2"/>
    <w:rsid w:val="00A86E46"/>
    <w:rsid w:val="00A90055"/>
    <w:rsid w:val="00A90DE1"/>
    <w:rsid w:val="00A92811"/>
    <w:rsid w:val="00A928A0"/>
    <w:rsid w:val="00A93957"/>
    <w:rsid w:val="00A94088"/>
    <w:rsid w:val="00A94454"/>
    <w:rsid w:val="00A9535F"/>
    <w:rsid w:val="00A95784"/>
    <w:rsid w:val="00A9709F"/>
    <w:rsid w:val="00A97165"/>
    <w:rsid w:val="00A97516"/>
    <w:rsid w:val="00AA1D19"/>
    <w:rsid w:val="00AA27D7"/>
    <w:rsid w:val="00AA287C"/>
    <w:rsid w:val="00AA58FA"/>
    <w:rsid w:val="00AA60C0"/>
    <w:rsid w:val="00AB1035"/>
    <w:rsid w:val="00AB1055"/>
    <w:rsid w:val="00AB13BC"/>
    <w:rsid w:val="00AB19E0"/>
    <w:rsid w:val="00AB2578"/>
    <w:rsid w:val="00AB36CC"/>
    <w:rsid w:val="00AB3CF6"/>
    <w:rsid w:val="00AB49C6"/>
    <w:rsid w:val="00AB532F"/>
    <w:rsid w:val="00AB6CB3"/>
    <w:rsid w:val="00AB7515"/>
    <w:rsid w:val="00AB7ADD"/>
    <w:rsid w:val="00AC015E"/>
    <w:rsid w:val="00AC0C11"/>
    <w:rsid w:val="00AC1F44"/>
    <w:rsid w:val="00AC2065"/>
    <w:rsid w:val="00AC22CB"/>
    <w:rsid w:val="00AC32AF"/>
    <w:rsid w:val="00AC45D9"/>
    <w:rsid w:val="00AC4A38"/>
    <w:rsid w:val="00AC5501"/>
    <w:rsid w:val="00AC6F38"/>
    <w:rsid w:val="00AC74C7"/>
    <w:rsid w:val="00AC7744"/>
    <w:rsid w:val="00AD0500"/>
    <w:rsid w:val="00AD0786"/>
    <w:rsid w:val="00AD0E19"/>
    <w:rsid w:val="00AD17EB"/>
    <w:rsid w:val="00AD1A36"/>
    <w:rsid w:val="00AD20B3"/>
    <w:rsid w:val="00AD2B75"/>
    <w:rsid w:val="00AD2D2D"/>
    <w:rsid w:val="00AD321D"/>
    <w:rsid w:val="00AD3C80"/>
    <w:rsid w:val="00AD457D"/>
    <w:rsid w:val="00AD4E5F"/>
    <w:rsid w:val="00AD5113"/>
    <w:rsid w:val="00AD5A9B"/>
    <w:rsid w:val="00AD5AB7"/>
    <w:rsid w:val="00AD6001"/>
    <w:rsid w:val="00AD6485"/>
    <w:rsid w:val="00AD6EFC"/>
    <w:rsid w:val="00AE0219"/>
    <w:rsid w:val="00AE069F"/>
    <w:rsid w:val="00AE1EB0"/>
    <w:rsid w:val="00AE2B41"/>
    <w:rsid w:val="00AE2BC8"/>
    <w:rsid w:val="00AE3379"/>
    <w:rsid w:val="00AE3754"/>
    <w:rsid w:val="00AE6039"/>
    <w:rsid w:val="00AE7EF7"/>
    <w:rsid w:val="00AF112A"/>
    <w:rsid w:val="00AF1349"/>
    <w:rsid w:val="00AF1B28"/>
    <w:rsid w:val="00AF20D1"/>
    <w:rsid w:val="00AF20E0"/>
    <w:rsid w:val="00AF2880"/>
    <w:rsid w:val="00AF2AA1"/>
    <w:rsid w:val="00AF412D"/>
    <w:rsid w:val="00AF55D1"/>
    <w:rsid w:val="00AF5B7A"/>
    <w:rsid w:val="00AF6405"/>
    <w:rsid w:val="00AF64C4"/>
    <w:rsid w:val="00AF66BA"/>
    <w:rsid w:val="00AF779D"/>
    <w:rsid w:val="00B00385"/>
    <w:rsid w:val="00B01518"/>
    <w:rsid w:val="00B01C7B"/>
    <w:rsid w:val="00B027E2"/>
    <w:rsid w:val="00B0308C"/>
    <w:rsid w:val="00B03191"/>
    <w:rsid w:val="00B03877"/>
    <w:rsid w:val="00B045B1"/>
    <w:rsid w:val="00B04BC3"/>
    <w:rsid w:val="00B05A7E"/>
    <w:rsid w:val="00B05ACB"/>
    <w:rsid w:val="00B0618F"/>
    <w:rsid w:val="00B07141"/>
    <w:rsid w:val="00B108CE"/>
    <w:rsid w:val="00B10B4C"/>
    <w:rsid w:val="00B113E1"/>
    <w:rsid w:val="00B11FFB"/>
    <w:rsid w:val="00B12017"/>
    <w:rsid w:val="00B12027"/>
    <w:rsid w:val="00B144F7"/>
    <w:rsid w:val="00B14AEE"/>
    <w:rsid w:val="00B14B41"/>
    <w:rsid w:val="00B14DFB"/>
    <w:rsid w:val="00B165C3"/>
    <w:rsid w:val="00B16831"/>
    <w:rsid w:val="00B16955"/>
    <w:rsid w:val="00B16EE9"/>
    <w:rsid w:val="00B1728E"/>
    <w:rsid w:val="00B2018E"/>
    <w:rsid w:val="00B20340"/>
    <w:rsid w:val="00B20F1A"/>
    <w:rsid w:val="00B220E3"/>
    <w:rsid w:val="00B223AA"/>
    <w:rsid w:val="00B2351C"/>
    <w:rsid w:val="00B24326"/>
    <w:rsid w:val="00B24442"/>
    <w:rsid w:val="00B24B86"/>
    <w:rsid w:val="00B253B0"/>
    <w:rsid w:val="00B254A0"/>
    <w:rsid w:val="00B2595E"/>
    <w:rsid w:val="00B26E31"/>
    <w:rsid w:val="00B30BB8"/>
    <w:rsid w:val="00B30FC2"/>
    <w:rsid w:val="00B3316E"/>
    <w:rsid w:val="00B35AB1"/>
    <w:rsid w:val="00B369B3"/>
    <w:rsid w:val="00B37FFE"/>
    <w:rsid w:val="00B40098"/>
    <w:rsid w:val="00B4036D"/>
    <w:rsid w:val="00B40E25"/>
    <w:rsid w:val="00B4273E"/>
    <w:rsid w:val="00B44791"/>
    <w:rsid w:val="00B4598D"/>
    <w:rsid w:val="00B45D72"/>
    <w:rsid w:val="00B467DF"/>
    <w:rsid w:val="00B4697C"/>
    <w:rsid w:val="00B50182"/>
    <w:rsid w:val="00B50364"/>
    <w:rsid w:val="00B52942"/>
    <w:rsid w:val="00B52C56"/>
    <w:rsid w:val="00B52D6D"/>
    <w:rsid w:val="00B531B5"/>
    <w:rsid w:val="00B53533"/>
    <w:rsid w:val="00B53746"/>
    <w:rsid w:val="00B538B4"/>
    <w:rsid w:val="00B540C7"/>
    <w:rsid w:val="00B54488"/>
    <w:rsid w:val="00B545E2"/>
    <w:rsid w:val="00B54916"/>
    <w:rsid w:val="00B55407"/>
    <w:rsid w:val="00B5542C"/>
    <w:rsid w:val="00B55DC1"/>
    <w:rsid w:val="00B55F9C"/>
    <w:rsid w:val="00B56824"/>
    <w:rsid w:val="00B569BA"/>
    <w:rsid w:val="00B57443"/>
    <w:rsid w:val="00B57BB5"/>
    <w:rsid w:val="00B57C95"/>
    <w:rsid w:val="00B57F8E"/>
    <w:rsid w:val="00B6033D"/>
    <w:rsid w:val="00B609C7"/>
    <w:rsid w:val="00B60D1B"/>
    <w:rsid w:val="00B62597"/>
    <w:rsid w:val="00B62DA6"/>
    <w:rsid w:val="00B63034"/>
    <w:rsid w:val="00B6336A"/>
    <w:rsid w:val="00B639F3"/>
    <w:rsid w:val="00B63A49"/>
    <w:rsid w:val="00B63DAC"/>
    <w:rsid w:val="00B64E5B"/>
    <w:rsid w:val="00B64EE3"/>
    <w:rsid w:val="00B65003"/>
    <w:rsid w:val="00B654C7"/>
    <w:rsid w:val="00B6635A"/>
    <w:rsid w:val="00B67918"/>
    <w:rsid w:val="00B67BCD"/>
    <w:rsid w:val="00B703AA"/>
    <w:rsid w:val="00B7047D"/>
    <w:rsid w:val="00B70613"/>
    <w:rsid w:val="00B70897"/>
    <w:rsid w:val="00B708BB"/>
    <w:rsid w:val="00B70C49"/>
    <w:rsid w:val="00B70F15"/>
    <w:rsid w:val="00B71C02"/>
    <w:rsid w:val="00B71E5E"/>
    <w:rsid w:val="00B72888"/>
    <w:rsid w:val="00B73448"/>
    <w:rsid w:val="00B7466F"/>
    <w:rsid w:val="00B75332"/>
    <w:rsid w:val="00B75C74"/>
    <w:rsid w:val="00B76EEC"/>
    <w:rsid w:val="00B80AAC"/>
    <w:rsid w:val="00B80B95"/>
    <w:rsid w:val="00B81A24"/>
    <w:rsid w:val="00B81B31"/>
    <w:rsid w:val="00B81EAC"/>
    <w:rsid w:val="00B82668"/>
    <w:rsid w:val="00B82CB6"/>
    <w:rsid w:val="00B83077"/>
    <w:rsid w:val="00B8355E"/>
    <w:rsid w:val="00B83AD5"/>
    <w:rsid w:val="00B84480"/>
    <w:rsid w:val="00B849E1"/>
    <w:rsid w:val="00B8579C"/>
    <w:rsid w:val="00B86A5D"/>
    <w:rsid w:val="00B86BFB"/>
    <w:rsid w:val="00B8705A"/>
    <w:rsid w:val="00B873D3"/>
    <w:rsid w:val="00B87A35"/>
    <w:rsid w:val="00B87B1C"/>
    <w:rsid w:val="00B91CA2"/>
    <w:rsid w:val="00B9212A"/>
    <w:rsid w:val="00B92A6E"/>
    <w:rsid w:val="00B93611"/>
    <w:rsid w:val="00B93A8C"/>
    <w:rsid w:val="00B93AAB"/>
    <w:rsid w:val="00B93E10"/>
    <w:rsid w:val="00B944FC"/>
    <w:rsid w:val="00B9453A"/>
    <w:rsid w:val="00B95F85"/>
    <w:rsid w:val="00B95FFA"/>
    <w:rsid w:val="00B96E43"/>
    <w:rsid w:val="00BA0726"/>
    <w:rsid w:val="00BA1579"/>
    <w:rsid w:val="00BA306F"/>
    <w:rsid w:val="00BA320C"/>
    <w:rsid w:val="00BA3810"/>
    <w:rsid w:val="00BA4142"/>
    <w:rsid w:val="00BA4BE1"/>
    <w:rsid w:val="00BA4C81"/>
    <w:rsid w:val="00BA68E3"/>
    <w:rsid w:val="00BA6E67"/>
    <w:rsid w:val="00BA792B"/>
    <w:rsid w:val="00BB08D4"/>
    <w:rsid w:val="00BB1119"/>
    <w:rsid w:val="00BB141F"/>
    <w:rsid w:val="00BB1A44"/>
    <w:rsid w:val="00BB264A"/>
    <w:rsid w:val="00BB2749"/>
    <w:rsid w:val="00BB3D8E"/>
    <w:rsid w:val="00BB4077"/>
    <w:rsid w:val="00BB43AA"/>
    <w:rsid w:val="00BB4D16"/>
    <w:rsid w:val="00BB7DC4"/>
    <w:rsid w:val="00BC0F0A"/>
    <w:rsid w:val="00BC1546"/>
    <w:rsid w:val="00BC1C1D"/>
    <w:rsid w:val="00BC2590"/>
    <w:rsid w:val="00BC3191"/>
    <w:rsid w:val="00BC43B8"/>
    <w:rsid w:val="00BC4BAF"/>
    <w:rsid w:val="00BC5511"/>
    <w:rsid w:val="00BC737E"/>
    <w:rsid w:val="00BC7DD1"/>
    <w:rsid w:val="00BD019C"/>
    <w:rsid w:val="00BD0C54"/>
    <w:rsid w:val="00BD0CDD"/>
    <w:rsid w:val="00BD0E03"/>
    <w:rsid w:val="00BD12D9"/>
    <w:rsid w:val="00BD1C5F"/>
    <w:rsid w:val="00BD28BC"/>
    <w:rsid w:val="00BD2AF8"/>
    <w:rsid w:val="00BD36A5"/>
    <w:rsid w:val="00BD3794"/>
    <w:rsid w:val="00BD3F64"/>
    <w:rsid w:val="00BD4EB8"/>
    <w:rsid w:val="00BD5C3F"/>
    <w:rsid w:val="00BD6FB3"/>
    <w:rsid w:val="00BD7905"/>
    <w:rsid w:val="00BD7DA6"/>
    <w:rsid w:val="00BE009C"/>
    <w:rsid w:val="00BE025D"/>
    <w:rsid w:val="00BE14DC"/>
    <w:rsid w:val="00BE2611"/>
    <w:rsid w:val="00BE6C76"/>
    <w:rsid w:val="00BE74D4"/>
    <w:rsid w:val="00BF01B2"/>
    <w:rsid w:val="00BF02A9"/>
    <w:rsid w:val="00BF0DE4"/>
    <w:rsid w:val="00BF0E36"/>
    <w:rsid w:val="00BF1203"/>
    <w:rsid w:val="00BF1FDE"/>
    <w:rsid w:val="00BF251A"/>
    <w:rsid w:val="00BF317B"/>
    <w:rsid w:val="00BF3350"/>
    <w:rsid w:val="00BF3EF5"/>
    <w:rsid w:val="00BF4C66"/>
    <w:rsid w:val="00BF4E97"/>
    <w:rsid w:val="00BF5F22"/>
    <w:rsid w:val="00BF6570"/>
    <w:rsid w:val="00BF66F4"/>
    <w:rsid w:val="00BF6891"/>
    <w:rsid w:val="00BF68AE"/>
    <w:rsid w:val="00BF72ED"/>
    <w:rsid w:val="00C00050"/>
    <w:rsid w:val="00C00306"/>
    <w:rsid w:val="00C00AB4"/>
    <w:rsid w:val="00C01318"/>
    <w:rsid w:val="00C019CC"/>
    <w:rsid w:val="00C01BC4"/>
    <w:rsid w:val="00C01DAC"/>
    <w:rsid w:val="00C03232"/>
    <w:rsid w:val="00C066FA"/>
    <w:rsid w:val="00C06C5E"/>
    <w:rsid w:val="00C06DCA"/>
    <w:rsid w:val="00C07468"/>
    <w:rsid w:val="00C07B01"/>
    <w:rsid w:val="00C07F9E"/>
    <w:rsid w:val="00C1106A"/>
    <w:rsid w:val="00C116CF"/>
    <w:rsid w:val="00C1212B"/>
    <w:rsid w:val="00C130EF"/>
    <w:rsid w:val="00C13529"/>
    <w:rsid w:val="00C13FDC"/>
    <w:rsid w:val="00C143E2"/>
    <w:rsid w:val="00C149AF"/>
    <w:rsid w:val="00C158BA"/>
    <w:rsid w:val="00C15EA7"/>
    <w:rsid w:val="00C1607B"/>
    <w:rsid w:val="00C17837"/>
    <w:rsid w:val="00C17A95"/>
    <w:rsid w:val="00C17F24"/>
    <w:rsid w:val="00C17FD2"/>
    <w:rsid w:val="00C20F25"/>
    <w:rsid w:val="00C210BC"/>
    <w:rsid w:val="00C21B3F"/>
    <w:rsid w:val="00C229AD"/>
    <w:rsid w:val="00C23365"/>
    <w:rsid w:val="00C23477"/>
    <w:rsid w:val="00C2413E"/>
    <w:rsid w:val="00C2500D"/>
    <w:rsid w:val="00C250E4"/>
    <w:rsid w:val="00C258F6"/>
    <w:rsid w:val="00C2632A"/>
    <w:rsid w:val="00C27088"/>
    <w:rsid w:val="00C27EBC"/>
    <w:rsid w:val="00C30E2B"/>
    <w:rsid w:val="00C32161"/>
    <w:rsid w:val="00C32A70"/>
    <w:rsid w:val="00C32EB7"/>
    <w:rsid w:val="00C32EEA"/>
    <w:rsid w:val="00C33B63"/>
    <w:rsid w:val="00C34036"/>
    <w:rsid w:val="00C354FD"/>
    <w:rsid w:val="00C35ED3"/>
    <w:rsid w:val="00C35F04"/>
    <w:rsid w:val="00C36077"/>
    <w:rsid w:val="00C36245"/>
    <w:rsid w:val="00C36F09"/>
    <w:rsid w:val="00C3739D"/>
    <w:rsid w:val="00C37780"/>
    <w:rsid w:val="00C37E46"/>
    <w:rsid w:val="00C40034"/>
    <w:rsid w:val="00C40D4B"/>
    <w:rsid w:val="00C41FBB"/>
    <w:rsid w:val="00C42B5F"/>
    <w:rsid w:val="00C43850"/>
    <w:rsid w:val="00C44BB1"/>
    <w:rsid w:val="00C4516B"/>
    <w:rsid w:val="00C4673A"/>
    <w:rsid w:val="00C476C0"/>
    <w:rsid w:val="00C47AB8"/>
    <w:rsid w:val="00C500F6"/>
    <w:rsid w:val="00C5033C"/>
    <w:rsid w:val="00C50761"/>
    <w:rsid w:val="00C50C1F"/>
    <w:rsid w:val="00C516E3"/>
    <w:rsid w:val="00C51E9C"/>
    <w:rsid w:val="00C529BC"/>
    <w:rsid w:val="00C532C9"/>
    <w:rsid w:val="00C54AFD"/>
    <w:rsid w:val="00C54DEC"/>
    <w:rsid w:val="00C55F87"/>
    <w:rsid w:val="00C5696C"/>
    <w:rsid w:val="00C57D2A"/>
    <w:rsid w:val="00C61282"/>
    <w:rsid w:val="00C61F08"/>
    <w:rsid w:val="00C61F2A"/>
    <w:rsid w:val="00C62C75"/>
    <w:rsid w:val="00C640AA"/>
    <w:rsid w:val="00C6631B"/>
    <w:rsid w:val="00C66926"/>
    <w:rsid w:val="00C66FEE"/>
    <w:rsid w:val="00C67F90"/>
    <w:rsid w:val="00C71334"/>
    <w:rsid w:val="00C713A2"/>
    <w:rsid w:val="00C71B64"/>
    <w:rsid w:val="00C71C28"/>
    <w:rsid w:val="00C7353C"/>
    <w:rsid w:val="00C74DAA"/>
    <w:rsid w:val="00C75521"/>
    <w:rsid w:val="00C764D9"/>
    <w:rsid w:val="00C772DE"/>
    <w:rsid w:val="00C7789F"/>
    <w:rsid w:val="00C77B40"/>
    <w:rsid w:val="00C77BC4"/>
    <w:rsid w:val="00C80715"/>
    <w:rsid w:val="00C809CB"/>
    <w:rsid w:val="00C812FC"/>
    <w:rsid w:val="00C8188C"/>
    <w:rsid w:val="00C818A0"/>
    <w:rsid w:val="00C81FF6"/>
    <w:rsid w:val="00C823C0"/>
    <w:rsid w:val="00C823EB"/>
    <w:rsid w:val="00C83DF9"/>
    <w:rsid w:val="00C84C96"/>
    <w:rsid w:val="00C85038"/>
    <w:rsid w:val="00C85F98"/>
    <w:rsid w:val="00C863C5"/>
    <w:rsid w:val="00C87960"/>
    <w:rsid w:val="00C90517"/>
    <w:rsid w:val="00C90B89"/>
    <w:rsid w:val="00C92055"/>
    <w:rsid w:val="00C922C1"/>
    <w:rsid w:val="00C92709"/>
    <w:rsid w:val="00C92A9B"/>
    <w:rsid w:val="00C9325B"/>
    <w:rsid w:val="00C934CC"/>
    <w:rsid w:val="00C93D60"/>
    <w:rsid w:val="00C93DA9"/>
    <w:rsid w:val="00C94160"/>
    <w:rsid w:val="00C94A34"/>
    <w:rsid w:val="00C97345"/>
    <w:rsid w:val="00C97975"/>
    <w:rsid w:val="00CA1AD5"/>
    <w:rsid w:val="00CA2043"/>
    <w:rsid w:val="00CA2BAC"/>
    <w:rsid w:val="00CA394C"/>
    <w:rsid w:val="00CA3D45"/>
    <w:rsid w:val="00CA55DD"/>
    <w:rsid w:val="00CA611C"/>
    <w:rsid w:val="00CA62BC"/>
    <w:rsid w:val="00CA6436"/>
    <w:rsid w:val="00CA65AD"/>
    <w:rsid w:val="00CA6B95"/>
    <w:rsid w:val="00CA7138"/>
    <w:rsid w:val="00CB0576"/>
    <w:rsid w:val="00CB0936"/>
    <w:rsid w:val="00CB0A06"/>
    <w:rsid w:val="00CB0D3C"/>
    <w:rsid w:val="00CB0F79"/>
    <w:rsid w:val="00CB1986"/>
    <w:rsid w:val="00CB2038"/>
    <w:rsid w:val="00CB217F"/>
    <w:rsid w:val="00CB28DC"/>
    <w:rsid w:val="00CB350D"/>
    <w:rsid w:val="00CB481A"/>
    <w:rsid w:val="00CB4C87"/>
    <w:rsid w:val="00CB5294"/>
    <w:rsid w:val="00CB5860"/>
    <w:rsid w:val="00CB6BF5"/>
    <w:rsid w:val="00CB7491"/>
    <w:rsid w:val="00CC1FE1"/>
    <w:rsid w:val="00CC23C4"/>
    <w:rsid w:val="00CC2D99"/>
    <w:rsid w:val="00CC2EC0"/>
    <w:rsid w:val="00CC2F02"/>
    <w:rsid w:val="00CC3726"/>
    <w:rsid w:val="00CC4203"/>
    <w:rsid w:val="00CC44B2"/>
    <w:rsid w:val="00CC4740"/>
    <w:rsid w:val="00CC4B21"/>
    <w:rsid w:val="00CC5071"/>
    <w:rsid w:val="00CC6430"/>
    <w:rsid w:val="00CC6EB0"/>
    <w:rsid w:val="00CC750E"/>
    <w:rsid w:val="00CC7992"/>
    <w:rsid w:val="00CC7D3B"/>
    <w:rsid w:val="00CD0CA8"/>
    <w:rsid w:val="00CD0DEB"/>
    <w:rsid w:val="00CD1929"/>
    <w:rsid w:val="00CD1997"/>
    <w:rsid w:val="00CD1A6D"/>
    <w:rsid w:val="00CD1E46"/>
    <w:rsid w:val="00CD1EEC"/>
    <w:rsid w:val="00CD20E7"/>
    <w:rsid w:val="00CD2DF7"/>
    <w:rsid w:val="00CD37E8"/>
    <w:rsid w:val="00CD4C40"/>
    <w:rsid w:val="00CD4DA7"/>
    <w:rsid w:val="00CD52B7"/>
    <w:rsid w:val="00CD55A1"/>
    <w:rsid w:val="00CD575D"/>
    <w:rsid w:val="00CD77BB"/>
    <w:rsid w:val="00CD7B22"/>
    <w:rsid w:val="00CE0673"/>
    <w:rsid w:val="00CE090C"/>
    <w:rsid w:val="00CE2B5B"/>
    <w:rsid w:val="00CE344E"/>
    <w:rsid w:val="00CE3ECB"/>
    <w:rsid w:val="00CE4BC2"/>
    <w:rsid w:val="00CE535A"/>
    <w:rsid w:val="00CE5BB0"/>
    <w:rsid w:val="00CE5CB0"/>
    <w:rsid w:val="00CE62C2"/>
    <w:rsid w:val="00CE73EE"/>
    <w:rsid w:val="00CF0C31"/>
    <w:rsid w:val="00CF0D34"/>
    <w:rsid w:val="00CF0DDB"/>
    <w:rsid w:val="00CF10A6"/>
    <w:rsid w:val="00CF12C0"/>
    <w:rsid w:val="00CF1E99"/>
    <w:rsid w:val="00CF20A9"/>
    <w:rsid w:val="00CF20E7"/>
    <w:rsid w:val="00CF365E"/>
    <w:rsid w:val="00CF487F"/>
    <w:rsid w:val="00CF5235"/>
    <w:rsid w:val="00CF6E0C"/>
    <w:rsid w:val="00CF73DF"/>
    <w:rsid w:val="00CF78CB"/>
    <w:rsid w:val="00D005E6"/>
    <w:rsid w:val="00D00B7A"/>
    <w:rsid w:val="00D017CF"/>
    <w:rsid w:val="00D018DE"/>
    <w:rsid w:val="00D01F2F"/>
    <w:rsid w:val="00D023AA"/>
    <w:rsid w:val="00D027B2"/>
    <w:rsid w:val="00D02C04"/>
    <w:rsid w:val="00D038F1"/>
    <w:rsid w:val="00D03F5E"/>
    <w:rsid w:val="00D0540F"/>
    <w:rsid w:val="00D05AEF"/>
    <w:rsid w:val="00D07B6A"/>
    <w:rsid w:val="00D07D67"/>
    <w:rsid w:val="00D10912"/>
    <w:rsid w:val="00D10A23"/>
    <w:rsid w:val="00D1143F"/>
    <w:rsid w:val="00D1308A"/>
    <w:rsid w:val="00D13451"/>
    <w:rsid w:val="00D14BD9"/>
    <w:rsid w:val="00D151BF"/>
    <w:rsid w:val="00D15485"/>
    <w:rsid w:val="00D15B85"/>
    <w:rsid w:val="00D163F2"/>
    <w:rsid w:val="00D1647D"/>
    <w:rsid w:val="00D20E05"/>
    <w:rsid w:val="00D21811"/>
    <w:rsid w:val="00D22354"/>
    <w:rsid w:val="00D225D5"/>
    <w:rsid w:val="00D22EA1"/>
    <w:rsid w:val="00D22F92"/>
    <w:rsid w:val="00D2321F"/>
    <w:rsid w:val="00D24244"/>
    <w:rsid w:val="00D248B9"/>
    <w:rsid w:val="00D24D86"/>
    <w:rsid w:val="00D251B5"/>
    <w:rsid w:val="00D252BA"/>
    <w:rsid w:val="00D25D6A"/>
    <w:rsid w:val="00D26C18"/>
    <w:rsid w:val="00D27926"/>
    <w:rsid w:val="00D27B5A"/>
    <w:rsid w:val="00D300BB"/>
    <w:rsid w:val="00D30C65"/>
    <w:rsid w:val="00D3120D"/>
    <w:rsid w:val="00D31460"/>
    <w:rsid w:val="00D31C99"/>
    <w:rsid w:val="00D31D09"/>
    <w:rsid w:val="00D31F95"/>
    <w:rsid w:val="00D3203C"/>
    <w:rsid w:val="00D32904"/>
    <w:rsid w:val="00D32B1C"/>
    <w:rsid w:val="00D331D0"/>
    <w:rsid w:val="00D33C25"/>
    <w:rsid w:val="00D341CF"/>
    <w:rsid w:val="00D34D90"/>
    <w:rsid w:val="00D363D1"/>
    <w:rsid w:val="00D376D3"/>
    <w:rsid w:val="00D40B88"/>
    <w:rsid w:val="00D413C1"/>
    <w:rsid w:val="00D41976"/>
    <w:rsid w:val="00D41A53"/>
    <w:rsid w:val="00D41AE3"/>
    <w:rsid w:val="00D42F64"/>
    <w:rsid w:val="00D436E7"/>
    <w:rsid w:val="00D4482A"/>
    <w:rsid w:val="00D44B89"/>
    <w:rsid w:val="00D450BF"/>
    <w:rsid w:val="00D455F6"/>
    <w:rsid w:val="00D4775E"/>
    <w:rsid w:val="00D4786C"/>
    <w:rsid w:val="00D479BE"/>
    <w:rsid w:val="00D5006B"/>
    <w:rsid w:val="00D50C60"/>
    <w:rsid w:val="00D50F4E"/>
    <w:rsid w:val="00D5184D"/>
    <w:rsid w:val="00D524E9"/>
    <w:rsid w:val="00D52A34"/>
    <w:rsid w:val="00D52FED"/>
    <w:rsid w:val="00D53615"/>
    <w:rsid w:val="00D5551F"/>
    <w:rsid w:val="00D558F1"/>
    <w:rsid w:val="00D55CC7"/>
    <w:rsid w:val="00D55D3B"/>
    <w:rsid w:val="00D5621A"/>
    <w:rsid w:val="00D562BB"/>
    <w:rsid w:val="00D620AD"/>
    <w:rsid w:val="00D622A9"/>
    <w:rsid w:val="00D625FF"/>
    <w:rsid w:val="00D63186"/>
    <w:rsid w:val="00D63564"/>
    <w:rsid w:val="00D63C4C"/>
    <w:rsid w:val="00D64689"/>
    <w:rsid w:val="00D65667"/>
    <w:rsid w:val="00D65973"/>
    <w:rsid w:val="00D66015"/>
    <w:rsid w:val="00D6603F"/>
    <w:rsid w:val="00D66047"/>
    <w:rsid w:val="00D6773C"/>
    <w:rsid w:val="00D70446"/>
    <w:rsid w:val="00D70FD2"/>
    <w:rsid w:val="00D71D81"/>
    <w:rsid w:val="00D7267A"/>
    <w:rsid w:val="00D72BB6"/>
    <w:rsid w:val="00D74E5C"/>
    <w:rsid w:val="00D7502D"/>
    <w:rsid w:val="00D75617"/>
    <w:rsid w:val="00D75F34"/>
    <w:rsid w:val="00D75FB2"/>
    <w:rsid w:val="00D76030"/>
    <w:rsid w:val="00D761A5"/>
    <w:rsid w:val="00D7667D"/>
    <w:rsid w:val="00D767B1"/>
    <w:rsid w:val="00D7682B"/>
    <w:rsid w:val="00D77944"/>
    <w:rsid w:val="00D77A2D"/>
    <w:rsid w:val="00D77A91"/>
    <w:rsid w:val="00D803CA"/>
    <w:rsid w:val="00D81A48"/>
    <w:rsid w:val="00D81F0A"/>
    <w:rsid w:val="00D82F85"/>
    <w:rsid w:val="00D833D4"/>
    <w:rsid w:val="00D839B5"/>
    <w:rsid w:val="00D84FA6"/>
    <w:rsid w:val="00D857E9"/>
    <w:rsid w:val="00D87D01"/>
    <w:rsid w:val="00D90C42"/>
    <w:rsid w:val="00D90F6F"/>
    <w:rsid w:val="00D915C0"/>
    <w:rsid w:val="00D9183F"/>
    <w:rsid w:val="00D91BB2"/>
    <w:rsid w:val="00D92823"/>
    <w:rsid w:val="00D92A63"/>
    <w:rsid w:val="00D92B4D"/>
    <w:rsid w:val="00D9359D"/>
    <w:rsid w:val="00D94AFD"/>
    <w:rsid w:val="00D95615"/>
    <w:rsid w:val="00D957C6"/>
    <w:rsid w:val="00D96B6B"/>
    <w:rsid w:val="00D97980"/>
    <w:rsid w:val="00DA01D9"/>
    <w:rsid w:val="00DA0867"/>
    <w:rsid w:val="00DA0948"/>
    <w:rsid w:val="00DA18A9"/>
    <w:rsid w:val="00DA1F7C"/>
    <w:rsid w:val="00DA2089"/>
    <w:rsid w:val="00DA22BE"/>
    <w:rsid w:val="00DA323F"/>
    <w:rsid w:val="00DA3346"/>
    <w:rsid w:val="00DA38A0"/>
    <w:rsid w:val="00DA4398"/>
    <w:rsid w:val="00DA44DD"/>
    <w:rsid w:val="00DA4CA4"/>
    <w:rsid w:val="00DA5AE5"/>
    <w:rsid w:val="00DA5E42"/>
    <w:rsid w:val="00DA5E57"/>
    <w:rsid w:val="00DA67D8"/>
    <w:rsid w:val="00DA6846"/>
    <w:rsid w:val="00DA6C1C"/>
    <w:rsid w:val="00DA6EFD"/>
    <w:rsid w:val="00DB09C4"/>
    <w:rsid w:val="00DB0C6D"/>
    <w:rsid w:val="00DB1075"/>
    <w:rsid w:val="00DB149C"/>
    <w:rsid w:val="00DB1727"/>
    <w:rsid w:val="00DB4A4D"/>
    <w:rsid w:val="00DB4AC5"/>
    <w:rsid w:val="00DB5608"/>
    <w:rsid w:val="00DB5661"/>
    <w:rsid w:val="00DB599A"/>
    <w:rsid w:val="00DB64B3"/>
    <w:rsid w:val="00DB6F7B"/>
    <w:rsid w:val="00DB75CC"/>
    <w:rsid w:val="00DB7671"/>
    <w:rsid w:val="00DB7BD1"/>
    <w:rsid w:val="00DC049D"/>
    <w:rsid w:val="00DC0951"/>
    <w:rsid w:val="00DC0D3E"/>
    <w:rsid w:val="00DC1F17"/>
    <w:rsid w:val="00DC32D3"/>
    <w:rsid w:val="00DC3A4C"/>
    <w:rsid w:val="00DC4365"/>
    <w:rsid w:val="00DC4A20"/>
    <w:rsid w:val="00DC5A91"/>
    <w:rsid w:val="00DC63AB"/>
    <w:rsid w:val="00DC69CC"/>
    <w:rsid w:val="00DC6F79"/>
    <w:rsid w:val="00DC7222"/>
    <w:rsid w:val="00DD0254"/>
    <w:rsid w:val="00DD0C9A"/>
    <w:rsid w:val="00DD1F1F"/>
    <w:rsid w:val="00DD2938"/>
    <w:rsid w:val="00DD3370"/>
    <w:rsid w:val="00DD346D"/>
    <w:rsid w:val="00DE0084"/>
    <w:rsid w:val="00DE0487"/>
    <w:rsid w:val="00DE0A20"/>
    <w:rsid w:val="00DE0B39"/>
    <w:rsid w:val="00DE0FBE"/>
    <w:rsid w:val="00DE3193"/>
    <w:rsid w:val="00DE50F1"/>
    <w:rsid w:val="00DE54B8"/>
    <w:rsid w:val="00DE5A1D"/>
    <w:rsid w:val="00DE7310"/>
    <w:rsid w:val="00DF037F"/>
    <w:rsid w:val="00DF07AD"/>
    <w:rsid w:val="00DF09F1"/>
    <w:rsid w:val="00DF1404"/>
    <w:rsid w:val="00DF1E76"/>
    <w:rsid w:val="00DF1E9F"/>
    <w:rsid w:val="00DF211F"/>
    <w:rsid w:val="00DF3330"/>
    <w:rsid w:val="00DF36FB"/>
    <w:rsid w:val="00DF4070"/>
    <w:rsid w:val="00DF58C2"/>
    <w:rsid w:val="00E00087"/>
    <w:rsid w:val="00E00587"/>
    <w:rsid w:val="00E00B04"/>
    <w:rsid w:val="00E01819"/>
    <w:rsid w:val="00E02103"/>
    <w:rsid w:val="00E02496"/>
    <w:rsid w:val="00E02521"/>
    <w:rsid w:val="00E02A9B"/>
    <w:rsid w:val="00E02C5C"/>
    <w:rsid w:val="00E0383C"/>
    <w:rsid w:val="00E043D7"/>
    <w:rsid w:val="00E05095"/>
    <w:rsid w:val="00E05F3B"/>
    <w:rsid w:val="00E0677B"/>
    <w:rsid w:val="00E06B81"/>
    <w:rsid w:val="00E06D7C"/>
    <w:rsid w:val="00E07299"/>
    <w:rsid w:val="00E10688"/>
    <w:rsid w:val="00E10881"/>
    <w:rsid w:val="00E10DF3"/>
    <w:rsid w:val="00E1116B"/>
    <w:rsid w:val="00E12A82"/>
    <w:rsid w:val="00E12DB1"/>
    <w:rsid w:val="00E13A5C"/>
    <w:rsid w:val="00E140FB"/>
    <w:rsid w:val="00E142CF"/>
    <w:rsid w:val="00E14C9E"/>
    <w:rsid w:val="00E14DA9"/>
    <w:rsid w:val="00E14E8A"/>
    <w:rsid w:val="00E151B0"/>
    <w:rsid w:val="00E15267"/>
    <w:rsid w:val="00E1543A"/>
    <w:rsid w:val="00E158B8"/>
    <w:rsid w:val="00E15CE2"/>
    <w:rsid w:val="00E15FE7"/>
    <w:rsid w:val="00E17834"/>
    <w:rsid w:val="00E17A39"/>
    <w:rsid w:val="00E17DC3"/>
    <w:rsid w:val="00E20844"/>
    <w:rsid w:val="00E20BC3"/>
    <w:rsid w:val="00E213ED"/>
    <w:rsid w:val="00E24196"/>
    <w:rsid w:val="00E246C3"/>
    <w:rsid w:val="00E253A2"/>
    <w:rsid w:val="00E26119"/>
    <w:rsid w:val="00E308AC"/>
    <w:rsid w:val="00E30AB7"/>
    <w:rsid w:val="00E31B21"/>
    <w:rsid w:val="00E3210F"/>
    <w:rsid w:val="00E3232C"/>
    <w:rsid w:val="00E325DA"/>
    <w:rsid w:val="00E326A8"/>
    <w:rsid w:val="00E32ACA"/>
    <w:rsid w:val="00E33492"/>
    <w:rsid w:val="00E33B0D"/>
    <w:rsid w:val="00E343DC"/>
    <w:rsid w:val="00E3465B"/>
    <w:rsid w:val="00E34D3A"/>
    <w:rsid w:val="00E34DB0"/>
    <w:rsid w:val="00E3502C"/>
    <w:rsid w:val="00E35051"/>
    <w:rsid w:val="00E36F0E"/>
    <w:rsid w:val="00E401AF"/>
    <w:rsid w:val="00E4142A"/>
    <w:rsid w:val="00E424E8"/>
    <w:rsid w:val="00E424F2"/>
    <w:rsid w:val="00E42DC2"/>
    <w:rsid w:val="00E43209"/>
    <w:rsid w:val="00E448EC"/>
    <w:rsid w:val="00E44DEA"/>
    <w:rsid w:val="00E452BE"/>
    <w:rsid w:val="00E45526"/>
    <w:rsid w:val="00E45964"/>
    <w:rsid w:val="00E45F46"/>
    <w:rsid w:val="00E50674"/>
    <w:rsid w:val="00E50962"/>
    <w:rsid w:val="00E50FAC"/>
    <w:rsid w:val="00E51134"/>
    <w:rsid w:val="00E522CF"/>
    <w:rsid w:val="00E53310"/>
    <w:rsid w:val="00E539F5"/>
    <w:rsid w:val="00E543BE"/>
    <w:rsid w:val="00E54BCE"/>
    <w:rsid w:val="00E54E3D"/>
    <w:rsid w:val="00E54E9E"/>
    <w:rsid w:val="00E55A0D"/>
    <w:rsid w:val="00E5680C"/>
    <w:rsid w:val="00E56C47"/>
    <w:rsid w:val="00E60EDE"/>
    <w:rsid w:val="00E610D3"/>
    <w:rsid w:val="00E612AB"/>
    <w:rsid w:val="00E61E76"/>
    <w:rsid w:val="00E624F2"/>
    <w:rsid w:val="00E6366B"/>
    <w:rsid w:val="00E6423C"/>
    <w:rsid w:val="00E644FC"/>
    <w:rsid w:val="00E648C5"/>
    <w:rsid w:val="00E64B94"/>
    <w:rsid w:val="00E64D95"/>
    <w:rsid w:val="00E64E5D"/>
    <w:rsid w:val="00E65773"/>
    <w:rsid w:val="00E666B3"/>
    <w:rsid w:val="00E66AF3"/>
    <w:rsid w:val="00E67960"/>
    <w:rsid w:val="00E67D21"/>
    <w:rsid w:val="00E70053"/>
    <w:rsid w:val="00E70F7D"/>
    <w:rsid w:val="00E71DD3"/>
    <w:rsid w:val="00E723A1"/>
    <w:rsid w:val="00E73F9F"/>
    <w:rsid w:val="00E74231"/>
    <w:rsid w:val="00E74EFA"/>
    <w:rsid w:val="00E74FDE"/>
    <w:rsid w:val="00E752E9"/>
    <w:rsid w:val="00E75DBA"/>
    <w:rsid w:val="00E76B66"/>
    <w:rsid w:val="00E770E6"/>
    <w:rsid w:val="00E7719F"/>
    <w:rsid w:val="00E77460"/>
    <w:rsid w:val="00E7754A"/>
    <w:rsid w:val="00E80728"/>
    <w:rsid w:val="00E82607"/>
    <w:rsid w:val="00E82A72"/>
    <w:rsid w:val="00E83F26"/>
    <w:rsid w:val="00E8440D"/>
    <w:rsid w:val="00E84437"/>
    <w:rsid w:val="00E85C81"/>
    <w:rsid w:val="00E874C5"/>
    <w:rsid w:val="00E875C4"/>
    <w:rsid w:val="00E87D61"/>
    <w:rsid w:val="00E9052E"/>
    <w:rsid w:val="00E91072"/>
    <w:rsid w:val="00E9196B"/>
    <w:rsid w:val="00E9322D"/>
    <w:rsid w:val="00E938A9"/>
    <w:rsid w:val="00E94C1B"/>
    <w:rsid w:val="00E95100"/>
    <w:rsid w:val="00E9518A"/>
    <w:rsid w:val="00E95855"/>
    <w:rsid w:val="00E95D29"/>
    <w:rsid w:val="00E95DA2"/>
    <w:rsid w:val="00E9652E"/>
    <w:rsid w:val="00E96F33"/>
    <w:rsid w:val="00E97045"/>
    <w:rsid w:val="00E97922"/>
    <w:rsid w:val="00EA1616"/>
    <w:rsid w:val="00EA1664"/>
    <w:rsid w:val="00EA26F8"/>
    <w:rsid w:val="00EA2C57"/>
    <w:rsid w:val="00EA36D5"/>
    <w:rsid w:val="00EA4849"/>
    <w:rsid w:val="00EA4C4F"/>
    <w:rsid w:val="00EA4FF3"/>
    <w:rsid w:val="00EA52C8"/>
    <w:rsid w:val="00EA662E"/>
    <w:rsid w:val="00EA66C7"/>
    <w:rsid w:val="00EA7087"/>
    <w:rsid w:val="00EA7A97"/>
    <w:rsid w:val="00EB0267"/>
    <w:rsid w:val="00EB0379"/>
    <w:rsid w:val="00EB090D"/>
    <w:rsid w:val="00EB0E5E"/>
    <w:rsid w:val="00EB13BC"/>
    <w:rsid w:val="00EB172D"/>
    <w:rsid w:val="00EB1795"/>
    <w:rsid w:val="00EB26A6"/>
    <w:rsid w:val="00EB2D7F"/>
    <w:rsid w:val="00EB31EC"/>
    <w:rsid w:val="00EB356F"/>
    <w:rsid w:val="00EB36D8"/>
    <w:rsid w:val="00EB3919"/>
    <w:rsid w:val="00EB45DD"/>
    <w:rsid w:val="00EB4993"/>
    <w:rsid w:val="00EB512F"/>
    <w:rsid w:val="00EB6655"/>
    <w:rsid w:val="00EB6F55"/>
    <w:rsid w:val="00EB7458"/>
    <w:rsid w:val="00EB7A14"/>
    <w:rsid w:val="00EC09E2"/>
    <w:rsid w:val="00EC0ECB"/>
    <w:rsid w:val="00EC13B1"/>
    <w:rsid w:val="00EC1602"/>
    <w:rsid w:val="00EC1F4D"/>
    <w:rsid w:val="00EC23FC"/>
    <w:rsid w:val="00EC2989"/>
    <w:rsid w:val="00EC2B15"/>
    <w:rsid w:val="00EC428A"/>
    <w:rsid w:val="00EC5F92"/>
    <w:rsid w:val="00EC5FA8"/>
    <w:rsid w:val="00EC6739"/>
    <w:rsid w:val="00ED0753"/>
    <w:rsid w:val="00ED2120"/>
    <w:rsid w:val="00ED2CA3"/>
    <w:rsid w:val="00ED2EED"/>
    <w:rsid w:val="00ED6B71"/>
    <w:rsid w:val="00ED7C34"/>
    <w:rsid w:val="00EE00E5"/>
    <w:rsid w:val="00EE0A94"/>
    <w:rsid w:val="00EE0C5F"/>
    <w:rsid w:val="00EE0F45"/>
    <w:rsid w:val="00EE1299"/>
    <w:rsid w:val="00EE16B6"/>
    <w:rsid w:val="00EE23EA"/>
    <w:rsid w:val="00EE2407"/>
    <w:rsid w:val="00EE2E65"/>
    <w:rsid w:val="00EE3405"/>
    <w:rsid w:val="00EE379E"/>
    <w:rsid w:val="00EE4440"/>
    <w:rsid w:val="00EE5017"/>
    <w:rsid w:val="00EE53E0"/>
    <w:rsid w:val="00EE7975"/>
    <w:rsid w:val="00EF01C7"/>
    <w:rsid w:val="00EF084F"/>
    <w:rsid w:val="00EF0C3B"/>
    <w:rsid w:val="00EF0DBD"/>
    <w:rsid w:val="00EF1626"/>
    <w:rsid w:val="00EF1676"/>
    <w:rsid w:val="00EF1DE5"/>
    <w:rsid w:val="00EF20A6"/>
    <w:rsid w:val="00EF23E8"/>
    <w:rsid w:val="00EF25A6"/>
    <w:rsid w:val="00EF2C97"/>
    <w:rsid w:val="00EF302F"/>
    <w:rsid w:val="00EF39F7"/>
    <w:rsid w:val="00EF3DE2"/>
    <w:rsid w:val="00EF3FBF"/>
    <w:rsid w:val="00EF4768"/>
    <w:rsid w:val="00EF6005"/>
    <w:rsid w:val="00EF7736"/>
    <w:rsid w:val="00F022C4"/>
    <w:rsid w:val="00F0253D"/>
    <w:rsid w:val="00F02A16"/>
    <w:rsid w:val="00F02DE6"/>
    <w:rsid w:val="00F02EE9"/>
    <w:rsid w:val="00F034F6"/>
    <w:rsid w:val="00F03C77"/>
    <w:rsid w:val="00F03C9D"/>
    <w:rsid w:val="00F04739"/>
    <w:rsid w:val="00F0498E"/>
    <w:rsid w:val="00F04CCA"/>
    <w:rsid w:val="00F05286"/>
    <w:rsid w:val="00F05749"/>
    <w:rsid w:val="00F05C7C"/>
    <w:rsid w:val="00F0786A"/>
    <w:rsid w:val="00F10F7B"/>
    <w:rsid w:val="00F12B62"/>
    <w:rsid w:val="00F12B8B"/>
    <w:rsid w:val="00F131FA"/>
    <w:rsid w:val="00F158FA"/>
    <w:rsid w:val="00F1689D"/>
    <w:rsid w:val="00F16911"/>
    <w:rsid w:val="00F170CA"/>
    <w:rsid w:val="00F177D9"/>
    <w:rsid w:val="00F1793C"/>
    <w:rsid w:val="00F17AB9"/>
    <w:rsid w:val="00F205DE"/>
    <w:rsid w:val="00F212BB"/>
    <w:rsid w:val="00F21C6D"/>
    <w:rsid w:val="00F2277E"/>
    <w:rsid w:val="00F22A5B"/>
    <w:rsid w:val="00F22EB8"/>
    <w:rsid w:val="00F23370"/>
    <w:rsid w:val="00F23696"/>
    <w:rsid w:val="00F23AA1"/>
    <w:rsid w:val="00F24AE8"/>
    <w:rsid w:val="00F24E42"/>
    <w:rsid w:val="00F25AF1"/>
    <w:rsid w:val="00F26DAF"/>
    <w:rsid w:val="00F30977"/>
    <w:rsid w:val="00F312E2"/>
    <w:rsid w:val="00F31D9D"/>
    <w:rsid w:val="00F33023"/>
    <w:rsid w:val="00F33A61"/>
    <w:rsid w:val="00F33B11"/>
    <w:rsid w:val="00F33F45"/>
    <w:rsid w:val="00F34265"/>
    <w:rsid w:val="00F344ED"/>
    <w:rsid w:val="00F34C61"/>
    <w:rsid w:val="00F3713B"/>
    <w:rsid w:val="00F371C8"/>
    <w:rsid w:val="00F414BB"/>
    <w:rsid w:val="00F41EF9"/>
    <w:rsid w:val="00F42107"/>
    <w:rsid w:val="00F4230E"/>
    <w:rsid w:val="00F426E6"/>
    <w:rsid w:val="00F42A40"/>
    <w:rsid w:val="00F43334"/>
    <w:rsid w:val="00F439E6"/>
    <w:rsid w:val="00F44F96"/>
    <w:rsid w:val="00F46455"/>
    <w:rsid w:val="00F475AB"/>
    <w:rsid w:val="00F47B34"/>
    <w:rsid w:val="00F505B1"/>
    <w:rsid w:val="00F507E9"/>
    <w:rsid w:val="00F50947"/>
    <w:rsid w:val="00F50C70"/>
    <w:rsid w:val="00F51CB3"/>
    <w:rsid w:val="00F5200E"/>
    <w:rsid w:val="00F54F53"/>
    <w:rsid w:val="00F5540C"/>
    <w:rsid w:val="00F559ED"/>
    <w:rsid w:val="00F56353"/>
    <w:rsid w:val="00F57940"/>
    <w:rsid w:val="00F60120"/>
    <w:rsid w:val="00F60ED0"/>
    <w:rsid w:val="00F614FF"/>
    <w:rsid w:val="00F6242D"/>
    <w:rsid w:val="00F627BC"/>
    <w:rsid w:val="00F62B6F"/>
    <w:rsid w:val="00F630EA"/>
    <w:rsid w:val="00F6363E"/>
    <w:rsid w:val="00F63BBE"/>
    <w:rsid w:val="00F640CA"/>
    <w:rsid w:val="00F64176"/>
    <w:rsid w:val="00F649C3"/>
    <w:rsid w:val="00F64D8B"/>
    <w:rsid w:val="00F65253"/>
    <w:rsid w:val="00F653F6"/>
    <w:rsid w:val="00F65DC6"/>
    <w:rsid w:val="00F66363"/>
    <w:rsid w:val="00F66EAC"/>
    <w:rsid w:val="00F67007"/>
    <w:rsid w:val="00F7006D"/>
    <w:rsid w:val="00F7126F"/>
    <w:rsid w:val="00F7204B"/>
    <w:rsid w:val="00F72E6B"/>
    <w:rsid w:val="00F72F89"/>
    <w:rsid w:val="00F74232"/>
    <w:rsid w:val="00F744F2"/>
    <w:rsid w:val="00F7450A"/>
    <w:rsid w:val="00F75630"/>
    <w:rsid w:val="00F75B36"/>
    <w:rsid w:val="00F764D4"/>
    <w:rsid w:val="00F76C45"/>
    <w:rsid w:val="00F76FD2"/>
    <w:rsid w:val="00F77766"/>
    <w:rsid w:val="00F7787C"/>
    <w:rsid w:val="00F77B46"/>
    <w:rsid w:val="00F77DF6"/>
    <w:rsid w:val="00F814E9"/>
    <w:rsid w:val="00F81D0C"/>
    <w:rsid w:val="00F82317"/>
    <w:rsid w:val="00F82C6E"/>
    <w:rsid w:val="00F837CB"/>
    <w:rsid w:val="00F838E7"/>
    <w:rsid w:val="00F83946"/>
    <w:rsid w:val="00F83BE8"/>
    <w:rsid w:val="00F853BD"/>
    <w:rsid w:val="00F85900"/>
    <w:rsid w:val="00F85CAC"/>
    <w:rsid w:val="00F87A32"/>
    <w:rsid w:val="00F87B1F"/>
    <w:rsid w:val="00F91175"/>
    <w:rsid w:val="00F91319"/>
    <w:rsid w:val="00F9160A"/>
    <w:rsid w:val="00F91B1C"/>
    <w:rsid w:val="00F91B9C"/>
    <w:rsid w:val="00F91DE8"/>
    <w:rsid w:val="00F922BF"/>
    <w:rsid w:val="00F93213"/>
    <w:rsid w:val="00F93565"/>
    <w:rsid w:val="00F94296"/>
    <w:rsid w:val="00F94D8D"/>
    <w:rsid w:val="00F96052"/>
    <w:rsid w:val="00F96AFC"/>
    <w:rsid w:val="00FA0FB2"/>
    <w:rsid w:val="00FA19E0"/>
    <w:rsid w:val="00FA23DC"/>
    <w:rsid w:val="00FA26CC"/>
    <w:rsid w:val="00FA299D"/>
    <w:rsid w:val="00FA3BAA"/>
    <w:rsid w:val="00FA4908"/>
    <w:rsid w:val="00FA4C1C"/>
    <w:rsid w:val="00FA5B82"/>
    <w:rsid w:val="00FA6386"/>
    <w:rsid w:val="00FA6C18"/>
    <w:rsid w:val="00FA7699"/>
    <w:rsid w:val="00FB1751"/>
    <w:rsid w:val="00FB2D0E"/>
    <w:rsid w:val="00FB4194"/>
    <w:rsid w:val="00FB4A8A"/>
    <w:rsid w:val="00FB4C60"/>
    <w:rsid w:val="00FB4EE8"/>
    <w:rsid w:val="00FB5275"/>
    <w:rsid w:val="00FB52F9"/>
    <w:rsid w:val="00FB586E"/>
    <w:rsid w:val="00FB7BFF"/>
    <w:rsid w:val="00FC25AD"/>
    <w:rsid w:val="00FC2615"/>
    <w:rsid w:val="00FC2C38"/>
    <w:rsid w:val="00FC35D9"/>
    <w:rsid w:val="00FC3CCD"/>
    <w:rsid w:val="00FC4046"/>
    <w:rsid w:val="00FC41F1"/>
    <w:rsid w:val="00FC4597"/>
    <w:rsid w:val="00FC46CA"/>
    <w:rsid w:val="00FC49B9"/>
    <w:rsid w:val="00FC593D"/>
    <w:rsid w:val="00FC5950"/>
    <w:rsid w:val="00FC6320"/>
    <w:rsid w:val="00FC73EE"/>
    <w:rsid w:val="00FD03FC"/>
    <w:rsid w:val="00FD0666"/>
    <w:rsid w:val="00FD14E2"/>
    <w:rsid w:val="00FD1F3F"/>
    <w:rsid w:val="00FD27A4"/>
    <w:rsid w:val="00FD3C27"/>
    <w:rsid w:val="00FD455A"/>
    <w:rsid w:val="00FD473B"/>
    <w:rsid w:val="00FD52EF"/>
    <w:rsid w:val="00FD77E1"/>
    <w:rsid w:val="00FE01E8"/>
    <w:rsid w:val="00FE1550"/>
    <w:rsid w:val="00FE1DB7"/>
    <w:rsid w:val="00FE2D33"/>
    <w:rsid w:val="00FE4E8A"/>
    <w:rsid w:val="00FE57A3"/>
    <w:rsid w:val="00FE6152"/>
    <w:rsid w:val="00FE650C"/>
    <w:rsid w:val="00FE6665"/>
    <w:rsid w:val="00FE6845"/>
    <w:rsid w:val="00FE707F"/>
    <w:rsid w:val="00FF0235"/>
    <w:rsid w:val="00FF050D"/>
    <w:rsid w:val="00FF1272"/>
    <w:rsid w:val="00FF130D"/>
    <w:rsid w:val="00FF157C"/>
    <w:rsid w:val="00FF16AB"/>
    <w:rsid w:val="00FF16DC"/>
    <w:rsid w:val="00FF1AE7"/>
    <w:rsid w:val="00FF1D8B"/>
    <w:rsid w:val="00FF2178"/>
    <w:rsid w:val="00FF21CB"/>
    <w:rsid w:val="00FF3FB0"/>
    <w:rsid w:val="00FF44D6"/>
    <w:rsid w:val="00FF4576"/>
    <w:rsid w:val="00FF4690"/>
    <w:rsid w:val="00FF5E05"/>
    <w:rsid w:val="00FF6027"/>
    <w:rsid w:val="00FF661A"/>
    <w:rsid w:val="00FF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6B5A"/>
  <w15:docId w15:val="{ACA069C1-B0A9-4F39-A2D4-A9F76D75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BB"/>
    <w:pPr>
      <w:spacing w:after="120" w:line="312" w:lineRule="auto"/>
      <w:ind w:firstLine="567"/>
    </w:pPr>
    <w:rPr>
      <w:rFonts w:ascii="Times New Roman" w:eastAsiaTheme="minorEastAsia" w:hAnsi="Times New Roman"/>
      <w:kern w:val="0"/>
      <w:sz w:val="26"/>
      <w:szCs w:val="22"/>
      <w:lang w:eastAsia="zh-CN"/>
      <w14:ligatures w14:val="none"/>
    </w:rPr>
  </w:style>
  <w:style w:type="paragraph" w:styleId="Heading1">
    <w:name w:val="heading 1"/>
    <w:basedOn w:val="Normal"/>
    <w:next w:val="Normal"/>
    <w:link w:val="Heading1Char"/>
    <w:uiPriority w:val="9"/>
    <w:qFormat/>
    <w:rsid w:val="0095277F"/>
    <w:pPr>
      <w:keepNext/>
      <w:keepLines/>
      <w:numPr>
        <w:numId w:val="1"/>
      </w:numPr>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5277F"/>
    <w:pPr>
      <w:keepNext/>
      <w:keepLines/>
      <w:numPr>
        <w:ilvl w:val="1"/>
        <w:numId w:val="1"/>
      </w:numPr>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5277F"/>
    <w:pPr>
      <w:keepNext/>
      <w:keepLines/>
      <w:numPr>
        <w:ilvl w:val="2"/>
        <w:numId w:val="1"/>
      </w:numPr>
      <w:spacing w:before="160" w:after="80"/>
      <w:ind w:left="567"/>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71A4B"/>
    <w:pPr>
      <w:keepNext/>
      <w:keepLines/>
      <w:spacing w:before="80" w:after="40"/>
      <w:ind w:firstLine="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17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77F"/>
    <w:rPr>
      <w:rFonts w:ascii="Times New Roman" w:eastAsiaTheme="majorEastAsia" w:hAnsi="Times New Roman" w:cstheme="majorBidi"/>
      <w:b/>
      <w:kern w:val="0"/>
      <w:sz w:val="26"/>
      <w:szCs w:val="40"/>
      <w:lang w:eastAsia="zh-CN"/>
      <w14:ligatures w14:val="none"/>
    </w:rPr>
  </w:style>
  <w:style w:type="character" w:customStyle="1" w:styleId="Heading2Char">
    <w:name w:val="Heading 2 Char"/>
    <w:basedOn w:val="DefaultParagraphFont"/>
    <w:link w:val="Heading2"/>
    <w:uiPriority w:val="9"/>
    <w:rsid w:val="0095277F"/>
    <w:rPr>
      <w:rFonts w:ascii="Times New Roman" w:eastAsiaTheme="majorEastAsia" w:hAnsi="Times New Roman" w:cstheme="majorBidi"/>
      <w:b/>
      <w:kern w:val="0"/>
      <w:sz w:val="26"/>
      <w:szCs w:val="32"/>
      <w:lang w:eastAsia="zh-CN"/>
      <w14:ligatures w14:val="none"/>
    </w:rPr>
  </w:style>
  <w:style w:type="character" w:customStyle="1" w:styleId="Heading3Char">
    <w:name w:val="Heading 3 Char"/>
    <w:basedOn w:val="DefaultParagraphFont"/>
    <w:link w:val="Heading3"/>
    <w:uiPriority w:val="9"/>
    <w:rsid w:val="0095277F"/>
    <w:rPr>
      <w:rFonts w:ascii="Times New Roman" w:eastAsiaTheme="majorEastAsia" w:hAnsi="Times New Roman" w:cstheme="majorBidi"/>
      <w:b/>
      <w:kern w:val="0"/>
      <w:sz w:val="26"/>
      <w:szCs w:val="28"/>
      <w:lang w:eastAsia="zh-CN"/>
      <w14:ligatures w14:val="none"/>
    </w:rPr>
  </w:style>
  <w:style w:type="character" w:customStyle="1" w:styleId="Heading4Char">
    <w:name w:val="Heading 4 Char"/>
    <w:basedOn w:val="DefaultParagraphFont"/>
    <w:link w:val="Heading4"/>
    <w:uiPriority w:val="9"/>
    <w:rsid w:val="00071A4B"/>
    <w:rPr>
      <w:rFonts w:ascii="Times New Roman" w:eastAsiaTheme="majorEastAsia" w:hAnsi="Times New Roman" w:cstheme="majorBidi"/>
      <w:b/>
      <w:iCs/>
      <w:kern w:val="0"/>
      <w:sz w:val="26"/>
      <w:szCs w:val="22"/>
      <w:lang w:eastAsia="zh-CN"/>
      <w14:ligatures w14:val="none"/>
    </w:rPr>
  </w:style>
  <w:style w:type="character" w:customStyle="1" w:styleId="Heading5Char">
    <w:name w:val="Heading 5 Char"/>
    <w:basedOn w:val="DefaultParagraphFont"/>
    <w:link w:val="Heading5"/>
    <w:uiPriority w:val="9"/>
    <w:semiHidden/>
    <w:rsid w:val="00017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1EF"/>
    <w:rPr>
      <w:rFonts w:eastAsiaTheme="majorEastAsia" w:cstheme="majorBidi"/>
      <w:color w:val="272727" w:themeColor="text1" w:themeTint="D8"/>
    </w:rPr>
  </w:style>
  <w:style w:type="paragraph" w:styleId="Title">
    <w:name w:val="Title"/>
    <w:basedOn w:val="Normal"/>
    <w:next w:val="Normal"/>
    <w:link w:val="TitleChar"/>
    <w:uiPriority w:val="10"/>
    <w:qFormat/>
    <w:rsid w:val="0095277F"/>
    <w:pPr>
      <w:spacing w:after="8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95277F"/>
    <w:rPr>
      <w:rFonts w:ascii="Times New Roman" w:eastAsiaTheme="majorEastAsia" w:hAnsi="Times New Roman" w:cstheme="majorBidi"/>
      <w:b/>
      <w:spacing w:val="-10"/>
      <w:kern w:val="28"/>
      <w:sz w:val="26"/>
      <w:szCs w:val="56"/>
      <w:lang w:val="en-US" w:eastAsia="zh-CN"/>
      <w14:ligatures w14:val="none"/>
    </w:rPr>
  </w:style>
  <w:style w:type="paragraph" w:styleId="Subtitle">
    <w:name w:val="Subtitle"/>
    <w:basedOn w:val="Normal"/>
    <w:next w:val="Normal"/>
    <w:link w:val="SubtitleChar"/>
    <w:uiPriority w:val="11"/>
    <w:qFormat/>
    <w:rsid w:val="000171EF"/>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1EF"/>
    <w:pPr>
      <w:spacing w:before="160"/>
      <w:jc w:val="center"/>
    </w:pPr>
    <w:rPr>
      <w:i/>
      <w:iCs/>
      <w:color w:val="404040" w:themeColor="text1" w:themeTint="BF"/>
    </w:rPr>
  </w:style>
  <w:style w:type="character" w:customStyle="1" w:styleId="QuoteChar">
    <w:name w:val="Quote Char"/>
    <w:basedOn w:val="DefaultParagraphFont"/>
    <w:link w:val="Quote"/>
    <w:uiPriority w:val="29"/>
    <w:rsid w:val="000171EF"/>
    <w:rPr>
      <w:i/>
      <w:iCs/>
      <w:color w:val="404040" w:themeColor="text1" w:themeTint="BF"/>
    </w:rPr>
  </w:style>
  <w:style w:type="paragraph" w:styleId="ListParagraph">
    <w:name w:val="List Paragraph"/>
    <w:basedOn w:val="Normal"/>
    <w:uiPriority w:val="34"/>
    <w:qFormat/>
    <w:rsid w:val="000171EF"/>
    <w:pPr>
      <w:ind w:left="720"/>
      <w:contextualSpacing/>
    </w:pPr>
  </w:style>
  <w:style w:type="character" w:styleId="IntenseEmphasis">
    <w:name w:val="Intense Emphasis"/>
    <w:basedOn w:val="DefaultParagraphFont"/>
    <w:uiPriority w:val="21"/>
    <w:qFormat/>
    <w:rsid w:val="000171EF"/>
    <w:rPr>
      <w:i/>
      <w:iCs/>
      <w:color w:val="0F4761" w:themeColor="accent1" w:themeShade="BF"/>
    </w:rPr>
  </w:style>
  <w:style w:type="paragraph" w:styleId="IntenseQuote">
    <w:name w:val="Intense Quote"/>
    <w:basedOn w:val="Normal"/>
    <w:next w:val="Normal"/>
    <w:link w:val="IntenseQuoteChar"/>
    <w:uiPriority w:val="30"/>
    <w:qFormat/>
    <w:rsid w:val="00017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1EF"/>
    <w:rPr>
      <w:i/>
      <w:iCs/>
      <w:color w:val="0F4761" w:themeColor="accent1" w:themeShade="BF"/>
    </w:rPr>
  </w:style>
  <w:style w:type="character" w:styleId="IntenseReference">
    <w:name w:val="Intense Reference"/>
    <w:basedOn w:val="DefaultParagraphFont"/>
    <w:uiPriority w:val="32"/>
    <w:qFormat/>
    <w:rsid w:val="000171EF"/>
    <w:rPr>
      <w:b/>
      <w:bCs/>
      <w:smallCaps/>
      <w:color w:val="0F4761" w:themeColor="accent1" w:themeShade="BF"/>
      <w:spacing w:val="5"/>
    </w:rPr>
  </w:style>
  <w:style w:type="character" w:customStyle="1" w:styleId="fontstyle01">
    <w:name w:val="fontstyle01"/>
    <w:basedOn w:val="DefaultParagraphFont"/>
    <w:rsid w:val="000171EF"/>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0171EF"/>
    <w:rPr>
      <w:rFonts w:ascii="TimesNewRomanPS-BoldMT" w:hAnsi="TimesNewRomanPS-BoldMT" w:hint="default"/>
      <w:b/>
      <w:bCs/>
      <w:i w:val="0"/>
      <w:iCs w:val="0"/>
      <w:color w:val="000000"/>
      <w:sz w:val="26"/>
      <w:szCs w:val="26"/>
    </w:rPr>
  </w:style>
  <w:style w:type="character" w:styleId="Strong">
    <w:name w:val="Strong"/>
    <w:basedOn w:val="DefaultParagraphFont"/>
    <w:uiPriority w:val="22"/>
    <w:qFormat/>
    <w:rsid w:val="000171EF"/>
    <w:rPr>
      <w:b/>
      <w:bCs/>
    </w:rPr>
  </w:style>
  <w:style w:type="paragraph" w:styleId="Caption">
    <w:name w:val="caption"/>
    <w:basedOn w:val="Normal"/>
    <w:next w:val="Normal"/>
    <w:link w:val="CaptionChar"/>
    <w:uiPriority w:val="35"/>
    <w:unhideWhenUsed/>
    <w:qFormat/>
    <w:rsid w:val="000171EF"/>
    <w:pPr>
      <w:spacing w:after="0" w:line="240" w:lineRule="auto"/>
      <w:jc w:val="center"/>
    </w:pPr>
    <w:rPr>
      <w:rFonts w:eastAsia="SimSun" w:cs="Times New Roman"/>
      <w:bCs/>
      <w:i/>
      <w:szCs w:val="20"/>
      <w:lang w:eastAsia="en-US"/>
    </w:rPr>
  </w:style>
  <w:style w:type="paragraph" w:styleId="Bibliography">
    <w:name w:val="Bibliography"/>
    <w:basedOn w:val="Normal"/>
    <w:next w:val="Normal"/>
    <w:uiPriority w:val="37"/>
    <w:unhideWhenUsed/>
    <w:rsid w:val="000171EF"/>
    <w:pPr>
      <w:tabs>
        <w:tab w:val="left" w:pos="384"/>
      </w:tabs>
      <w:spacing w:after="0" w:line="240" w:lineRule="auto"/>
      <w:ind w:left="384" w:hanging="384"/>
      <w:jc w:val="center"/>
    </w:pPr>
    <w:rPr>
      <w:rFonts w:eastAsia="SimSun" w:cs="Times New Roman"/>
      <w:sz w:val="20"/>
      <w:szCs w:val="20"/>
      <w:lang w:eastAsia="en-US"/>
    </w:rPr>
  </w:style>
  <w:style w:type="paragraph" w:styleId="Date">
    <w:name w:val="Date"/>
    <w:basedOn w:val="Normal"/>
    <w:next w:val="Normal"/>
    <w:link w:val="DateChar"/>
    <w:uiPriority w:val="99"/>
    <w:semiHidden/>
    <w:unhideWhenUsed/>
    <w:rsid w:val="000171EF"/>
  </w:style>
  <w:style w:type="character" w:customStyle="1" w:styleId="DateChar">
    <w:name w:val="Date Char"/>
    <w:basedOn w:val="DefaultParagraphFont"/>
    <w:link w:val="Date"/>
    <w:uiPriority w:val="99"/>
    <w:semiHidden/>
    <w:rsid w:val="000171EF"/>
    <w:rPr>
      <w:rFonts w:eastAsiaTheme="minorEastAsia"/>
      <w:kern w:val="0"/>
      <w:sz w:val="22"/>
      <w:szCs w:val="22"/>
      <w:lang w:val="en-US" w:eastAsia="zh-CN"/>
      <w14:ligatures w14:val="none"/>
    </w:rPr>
  </w:style>
  <w:style w:type="paragraph" w:styleId="TOCHeading">
    <w:name w:val="TOC Heading"/>
    <w:basedOn w:val="Heading1"/>
    <w:next w:val="Normal"/>
    <w:uiPriority w:val="39"/>
    <w:unhideWhenUsed/>
    <w:qFormat/>
    <w:rsid w:val="000171EF"/>
    <w:pPr>
      <w:spacing w:before="240" w:after="0"/>
      <w:outlineLvl w:val="9"/>
    </w:pPr>
    <w:rPr>
      <w:sz w:val="32"/>
      <w:szCs w:val="32"/>
    </w:rPr>
  </w:style>
  <w:style w:type="paragraph" w:styleId="TOC1">
    <w:name w:val="toc 1"/>
    <w:basedOn w:val="Normal"/>
    <w:next w:val="Normal"/>
    <w:autoRedefine/>
    <w:uiPriority w:val="39"/>
    <w:unhideWhenUsed/>
    <w:rsid w:val="005B0206"/>
    <w:pPr>
      <w:tabs>
        <w:tab w:val="right" w:leader="dot" w:pos="9061"/>
      </w:tabs>
      <w:spacing w:after="100"/>
      <w:ind w:firstLine="0"/>
    </w:pPr>
  </w:style>
  <w:style w:type="paragraph" w:styleId="TOC2">
    <w:name w:val="toc 2"/>
    <w:basedOn w:val="Normal"/>
    <w:next w:val="Normal"/>
    <w:autoRedefine/>
    <w:uiPriority w:val="39"/>
    <w:unhideWhenUsed/>
    <w:rsid w:val="005B0206"/>
    <w:pPr>
      <w:tabs>
        <w:tab w:val="right" w:leader="dot" w:pos="9061"/>
      </w:tabs>
      <w:spacing w:after="100"/>
      <w:ind w:firstLine="142"/>
    </w:pPr>
  </w:style>
  <w:style w:type="paragraph" w:styleId="TOC3">
    <w:name w:val="toc 3"/>
    <w:basedOn w:val="Normal"/>
    <w:next w:val="Normal"/>
    <w:autoRedefine/>
    <w:uiPriority w:val="39"/>
    <w:unhideWhenUsed/>
    <w:rsid w:val="009E6960"/>
    <w:pPr>
      <w:tabs>
        <w:tab w:val="right" w:leader="dot" w:pos="9061"/>
      </w:tabs>
      <w:spacing w:after="100"/>
      <w:ind w:firstLine="284"/>
    </w:pPr>
  </w:style>
  <w:style w:type="character" w:styleId="Hyperlink">
    <w:name w:val="Hyperlink"/>
    <w:basedOn w:val="DefaultParagraphFont"/>
    <w:uiPriority w:val="99"/>
    <w:unhideWhenUsed/>
    <w:rsid w:val="000171EF"/>
    <w:rPr>
      <w:color w:val="467886" w:themeColor="hyperlink"/>
      <w:u w:val="single"/>
    </w:rPr>
  </w:style>
  <w:style w:type="paragraph" w:customStyle="1" w:styleId="Style1">
    <w:name w:val="Style1"/>
    <w:basedOn w:val="Caption"/>
    <w:link w:val="Style1Char"/>
    <w:qFormat/>
    <w:rsid w:val="000171EF"/>
    <w:pPr>
      <w:spacing w:before="120"/>
    </w:pPr>
    <w:rPr>
      <w:bCs w:val="0"/>
      <w:iCs/>
      <w:szCs w:val="26"/>
    </w:rPr>
  </w:style>
  <w:style w:type="paragraph" w:customStyle="1" w:styleId="Style2">
    <w:name w:val="Style2"/>
    <w:basedOn w:val="Normal"/>
    <w:link w:val="Style2Char"/>
    <w:qFormat/>
    <w:rsid w:val="000171EF"/>
    <w:pPr>
      <w:ind w:left="-142"/>
      <w:jc w:val="center"/>
    </w:pPr>
    <w:rPr>
      <w:rFonts w:cs="Times New Roman"/>
      <w:i/>
      <w:szCs w:val="26"/>
      <w:shd w:val="clear" w:color="auto" w:fill="FFFFFF"/>
    </w:rPr>
  </w:style>
  <w:style w:type="character" w:customStyle="1" w:styleId="CaptionChar">
    <w:name w:val="Caption Char"/>
    <w:basedOn w:val="DefaultParagraphFont"/>
    <w:link w:val="Caption"/>
    <w:uiPriority w:val="35"/>
    <w:rsid w:val="000171EF"/>
    <w:rPr>
      <w:rFonts w:ascii="Times New Roman" w:eastAsia="SimSun" w:hAnsi="Times New Roman" w:cs="Times New Roman"/>
      <w:bCs/>
      <w:i/>
      <w:kern w:val="0"/>
      <w:sz w:val="22"/>
      <w:szCs w:val="20"/>
      <w:lang w:val="en-US"/>
      <w14:ligatures w14:val="none"/>
    </w:rPr>
  </w:style>
  <w:style w:type="character" w:customStyle="1" w:styleId="Style1Char">
    <w:name w:val="Style1 Char"/>
    <w:basedOn w:val="CaptionChar"/>
    <w:link w:val="Style1"/>
    <w:rsid w:val="000171EF"/>
    <w:rPr>
      <w:rFonts w:ascii="Times New Roman" w:eastAsia="SimSun" w:hAnsi="Times New Roman" w:cs="Times New Roman"/>
      <w:bCs w:val="0"/>
      <w:i/>
      <w:iCs/>
      <w:kern w:val="0"/>
      <w:sz w:val="26"/>
      <w:szCs w:val="26"/>
      <w:lang w:val="en-US"/>
      <w14:ligatures w14:val="none"/>
    </w:rPr>
  </w:style>
  <w:style w:type="character" w:customStyle="1" w:styleId="Style2Char">
    <w:name w:val="Style2 Char"/>
    <w:basedOn w:val="DefaultParagraphFont"/>
    <w:link w:val="Style2"/>
    <w:rsid w:val="000171EF"/>
    <w:rPr>
      <w:rFonts w:ascii="Times New Roman" w:eastAsiaTheme="minorEastAsia" w:hAnsi="Times New Roman" w:cs="Times New Roman"/>
      <w:i/>
      <w:kern w:val="0"/>
      <w:sz w:val="26"/>
      <w:szCs w:val="26"/>
      <w:lang w:val="en-US" w:eastAsia="zh-CN"/>
      <w14:ligatures w14:val="none"/>
    </w:rPr>
  </w:style>
  <w:style w:type="paragraph" w:customStyle="1" w:styleId="break-words">
    <w:name w:val="break-words"/>
    <w:basedOn w:val="Normal"/>
    <w:rsid w:val="007A2445"/>
    <w:pPr>
      <w:spacing w:before="100" w:beforeAutospacing="1" w:after="100" w:afterAutospacing="1" w:line="240" w:lineRule="auto"/>
    </w:pPr>
    <w:rPr>
      <w:rFonts w:eastAsia="Times New Roman" w:cs="Times New Roman"/>
      <w:sz w:val="24"/>
      <w:szCs w:val="24"/>
    </w:rPr>
  </w:style>
  <w:style w:type="paragraph" w:customStyle="1" w:styleId="ds-markdown-paragraph">
    <w:name w:val="ds-markdown-paragraph"/>
    <w:basedOn w:val="Normal"/>
    <w:rsid w:val="003F65B5"/>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55559"/>
    <w:rPr>
      <w:color w:val="666666"/>
    </w:rPr>
  </w:style>
  <w:style w:type="character" w:styleId="Emphasis">
    <w:name w:val="Emphasis"/>
    <w:basedOn w:val="DefaultParagraphFont"/>
    <w:uiPriority w:val="20"/>
    <w:qFormat/>
    <w:rsid w:val="0058049B"/>
    <w:rPr>
      <w:i/>
      <w:iCs/>
    </w:rPr>
  </w:style>
  <w:style w:type="paragraph" w:styleId="FootnoteText">
    <w:name w:val="footnote text"/>
    <w:basedOn w:val="Normal"/>
    <w:link w:val="FootnoteTextChar"/>
    <w:uiPriority w:val="99"/>
    <w:semiHidden/>
    <w:unhideWhenUsed/>
    <w:rsid w:val="00837E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E32"/>
    <w:rPr>
      <w:rFonts w:ascii="Times New Roman" w:eastAsiaTheme="minorEastAsia" w:hAnsi="Times New Roman"/>
      <w:kern w:val="0"/>
      <w:sz w:val="20"/>
      <w:szCs w:val="20"/>
      <w:lang w:val="en-US" w:eastAsia="zh-CN"/>
      <w14:ligatures w14:val="none"/>
    </w:rPr>
  </w:style>
  <w:style w:type="character" w:styleId="FootnoteReference">
    <w:name w:val="footnote reference"/>
    <w:basedOn w:val="DefaultParagraphFont"/>
    <w:uiPriority w:val="99"/>
    <w:semiHidden/>
    <w:unhideWhenUsed/>
    <w:rsid w:val="00837E32"/>
    <w:rPr>
      <w:vertAlign w:val="superscript"/>
    </w:rPr>
  </w:style>
  <w:style w:type="table" w:styleId="TableGrid">
    <w:name w:val="Table Grid"/>
    <w:basedOn w:val="TableNormal"/>
    <w:uiPriority w:val="39"/>
    <w:rsid w:val="002E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234D"/>
    <w:pPr>
      <w:spacing w:before="100" w:beforeAutospacing="1" w:after="100" w:afterAutospacing="1" w:line="240" w:lineRule="auto"/>
    </w:pPr>
    <w:rPr>
      <w:rFonts w:eastAsia="Times New Roman" w:cs="Times New Roman"/>
      <w:sz w:val="24"/>
      <w:szCs w:val="24"/>
      <w:lang w:eastAsia="en-US"/>
    </w:rPr>
  </w:style>
  <w:style w:type="character" w:customStyle="1" w:styleId="math-inline">
    <w:name w:val="math-inline"/>
    <w:basedOn w:val="DefaultParagraphFont"/>
    <w:rsid w:val="009E234D"/>
  </w:style>
  <w:style w:type="character" w:styleId="CommentReference">
    <w:name w:val="annotation reference"/>
    <w:basedOn w:val="DefaultParagraphFont"/>
    <w:uiPriority w:val="99"/>
    <w:semiHidden/>
    <w:unhideWhenUsed/>
    <w:rsid w:val="00511755"/>
    <w:rPr>
      <w:sz w:val="16"/>
      <w:szCs w:val="16"/>
    </w:rPr>
  </w:style>
  <w:style w:type="paragraph" w:styleId="CommentText">
    <w:name w:val="annotation text"/>
    <w:basedOn w:val="Normal"/>
    <w:link w:val="CommentTextChar"/>
    <w:uiPriority w:val="99"/>
    <w:semiHidden/>
    <w:unhideWhenUsed/>
    <w:rsid w:val="00511755"/>
    <w:pPr>
      <w:spacing w:line="240" w:lineRule="auto"/>
    </w:pPr>
    <w:rPr>
      <w:sz w:val="20"/>
      <w:szCs w:val="20"/>
    </w:rPr>
  </w:style>
  <w:style w:type="character" w:customStyle="1" w:styleId="CommentTextChar">
    <w:name w:val="Comment Text Char"/>
    <w:basedOn w:val="DefaultParagraphFont"/>
    <w:link w:val="CommentText"/>
    <w:uiPriority w:val="99"/>
    <w:semiHidden/>
    <w:rsid w:val="00511755"/>
    <w:rPr>
      <w:rFonts w:ascii="Times New Roman" w:eastAsiaTheme="minorEastAsia" w:hAnsi="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511755"/>
    <w:rPr>
      <w:b/>
      <w:bCs/>
    </w:rPr>
  </w:style>
  <w:style w:type="character" w:customStyle="1" w:styleId="CommentSubjectChar">
    <w:name w:val="Comment Subject Char"/>
    <w:basedOn w:val="CommentTextChar"/>
    <w:link w:val="CommentSubject"/>
    <w:uiPriority w:val="99"/>
    <w:semiHidden/>
    <w:rsid w:val="00511755"/>
    <w:rPr>
      <w:rFonts w:ascii="Times New Roman" w:eastAsiaTheme="minorEastAsia" w:hAnsi="Times New Roman"/>
      <w:b/>
      <w:bCs/>
      <w:kern w:val="0"/>
      <w:sz w:val="20"/>
      <w:szCs w:val="20"/>
      <w:lang w:eastAsia="zh-CN"/>
      <w14:ligatures w14:val="none"/>
    </w:rPr>
  </w:style>
  <w:style w:type="character" w:customStyle="1" w:styleId="citation-431">
    <w:name w:val="citation-431"/>
    <w:basedOn w:val="DefaultParagraphFont"/>
    <w:rsid w:val="007F09C4"/>
  </w:style>
  <w:style w:type="table" w:customStyle="1" w:styleId="LightShading1">
    <w:name w:val="Light Shading1"/>
    <w:basedOn w:val="TableNormal"/>
    <w:next w:val="LightShading"/>
    <w:uiPriority w:val="60"/>
    <w:rsid w:val="00BB3D8E"/>
    <w:pPr>
      <w:spacing w:after="0" w:line="240" w:lineRule="auto"/>
    </w:pPr>
    <w:rPr>
      <w:rFonts w:ascii="Times New Roman" w:hAnsi="Times New Roman"/>
      <w:color w:val="000000"/>
      <w:kern w:val="0"/>
      <w:sz w:val="28"/>
      <w:szCs w:val="22"/>
      <w:lang w:val="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BB3D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abel">
    <w:name w:val="label"/>
    <w:basedOn w:val="DefaultParagraphFont"/>
    <w:rsid w:val="00B57BB5"/>
  </w:style>
  <w:style w:type="paragraph" w:styleId="TOC4">
    <w:name w:val="toc 4"/>
    <w:basedOn w:val="Normal"/>
    <w:next w:val="Normal"/>
    <w:autoRedefine/>
    <w:uiPriority w:val="39"/>
    <w:unhideWhenUsed/>
    <w:rsid w:val="005B0206"/>
    <w:pPr>
      <w:tabs>
        <w:tab w:val="right" w:leader="dot" w:pos="9061"/>
      </w:tabs>
      <w:spacing w:after="100"/>
      <w:ind w:firstLine="426"/>
    </w:pPr>
  </w:style>
  <w:style w:type="paragraph" w:styleId="TableofFigures">
    <w:name w:val="table of figures"/>
    <w:basedOn w:val="Normal"/>
    <w:next w:val="Normal"/>
    <w:uiPriority w:val="99"/>
    <w:unhideWhenUsed/>
    <w:rsid w:val="006410D6"/>
    <w:pPr>
      <w:spacing w:after="0"/>
    </w:pPr>
  </w:style>
  <w:style w:type="paragraph" w:styleId="NoSpacing">
    <w:name w:val="No Spacing"/>
    <w:uiPriority w:val="1"/>
    <w:qFormat/>
    <w:rsid w:val="0018727D"/>
    <w:pPr>
      <w:spacing w:after="0" w:line="240" w:lineRule="auto"/>
      <w:ind w:firstLine="567"/>
    </w:pPr>
    <w:rPr>
      <w:rFonts w:ascii="Times New Roman" w:eastAsiaTheme="minorEastAsia" w:hAnsi="Times New Roman"/>
      <w:kern w:val="0"/>
      <w:sz w:val="26"/>
      <w:szCs w:val="22"/>
      <w:lang w:eastAsia="zh-CN"/>
      <w14:ligatures w14:val="none"/>
    </w:rPr>
  </w:style>
  <w:style w:type="paragraph" w:styleId="Header">
    <w:name w:val="header"/>
    <w:basedOn w:val="Normal"/>
    <w:link w:val="HeaderChar"/>
    <w:uiPriority w:val="99"/>
    <w:unhideWhenUsed/>
    <w:rsid w:val="0067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70"/>
    <w:rPr>
      <w:rFonts w:ascii="Times New Roman" w:eastAsiaTheme="minorEastAsia" w:hAnsi="Times New Roman"/>
      <w:kern w:val="0"/>
      <w:sz w:val="26"/>
      <w:szCs w:val="22"/>
      <w:lang w:eastAsia="zh-CN"/>
      <w14:ligatures w14:val="none"/>
    </w:rPr>
  </w:style>
  <w:style w:type="paragraph" w:styleId="Footer">
    <w:name w:val="footer"/>
    <w:basedOn w:val="Normal"/>
    <w:link w:val="FooterChar"/>
    <w:uiPriority w:val="99"/>
    <w:unhideWhenUsed/>
    <w:rsid w:val="0067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70"/>
    <w:rPr>
      <w:rFonts w:ascii="Times New Roman" w:eastAsiaTheme="minorEastAsia" w:hAnsi="Times New Roman"/>
      <w:kern w:val="0"/>
      <w:sz w:val="26"/>
      <w:szCs w:val="22"/>
      <w:lang w:eastAsia="zh-CN"/>
      <w14:ligatures w14:val="none"/>
    </w:rPr>
  </w:style>
  <w:style w:type="character" w:customStyle="1" w:styleId="citation-71">
    <w:name w:val="citation-71"/>
    <w:basedOn w:val="DefaultParagraphFont"/>
    <w:rsid w:val="00483E43"/>
  </w:style>
  <w:style w:type="paragraph" w:styleId="BalloonText">
    <w:name w:val="Balloon Text"/>
    <w:basedOn w:val="Normal"/>
    <w:link w:val="BalloonTextChar"/>
    <w:uiPriority w:val="99"/>
    <w:semiHidden/>
    <w:unhideWhenUsed/>
    <w:rsid w:val="001B0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FE"/>
    <w:rPr>
      <w:rFonts w:ascii="Tahoma" w:eastAsiaTheme="minorEastAsia" w:hAnsi="Tahoma" w:cs="Tahoma"/>
      <w:kern w:val="0"/>
      <w:sz w:val="16"/>
      <w:szCs w:val="16"/>
      <w:lang w:eastAsia="zh-CN"/>
      <w14:ligatures w14:val="none"/>
    </w:rPr>
  </w:style>
  <w:style w:type="paragraph" w:styleId="BodyText">
    <w:name w:val="Body Text"/>
    <w:basedOn w:val="Normal"/>
    <w:link w:val="BodyTextChar"/>
    <w:uiPriority w:val="1"/>
    <w:qFormat/>
    <w:rsid w:val="001B03FE"/>
    <w:pPr>
      <w:widowControl w:val="0"/>
      <w:autoSpaceDE w:val="0"/>
      <w:autoSpaceDN w:val="0"/>
      <w:spacing w:after="0" w:line="240" w:lineRule="auto"/>
      <w:ind w:firstLine="0"/>
    </w:pPr>
    <w:rPr>
      <w:rFonts w:eastAsia="Times New Roman" w:cs="Times New Roman"/>
      <w:szCs w:val="26"/>
      <w:lang w:val="vi" w:eastAsia="en-US"/>
    </w:rPr>
  </w:style>
  <w:style w:type="character" w:customStyle="1" w:styleId="BodyTextChar">
    <w:name w:val="Body Text Char"/>
    <w:basedOn w:val="DefaultParagraphFont"/>
    <w:link w:val="BodyText"/>
    <w:uiPriority w:val="1"/>
    <w:rsid w:val="001B03FE"/>
    <w:rPr>
      <w:rFonts w:ascii="Times New Roman" w:eastAsia="Times New Roman" w:hAnsi="Times New Roman" w:cs="Times New Roman"/>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06">
      <w:bodyDiv w:val="1"/>
      <w:marLeft w:val="0"/>
      <w:marRight w:val="0"/>
      <w:marTop w:val="0"/>
      <w:marBottom w:val="0"/>
      <w:divBdr>
        <w:top w:val="none" w:sz="0" w:space="0" w:color="auto"/>
        <w:left w:val="none" w:sz="0" w:space="0" w:color="auto"/>
        <w:bottom w:val="none" w:sz="0" w:space="0" w:color="auto"/>
        <w:right w:val="none" w:sz="0" w:space="0" w:color="auto"/>
      </w:divBdr>
    </w:div>
    <w:div w:id="2175395">
      <w:bodyDiv w:val="1"/>
      <w:marLeft w:val="0"/>
      <w:marRight w:val="0"/>
      <w:marTop w:val="0"/>
      <w:marBottom w:val="0"/>
      <w:divBdr>
        <w:top w:val="none" w:sz="0" w:space="0" w:color="auto"/>
        <w:left w:val="none" w:sz="0" w:space="0" w:color="auto"/>
        <w:bottom w:val="none" w:sz="0" w:space="0" w:color="auto"/>
        <w:right w:val="none" w:sz="0" w:space="0" w:color="auto"/>
      </w:divBdr>
    </w:div>
    <w:div w:id="15163178">
      <w:bodyDiv w:val="1"/>
      <w:marLeft w:val="0"/>
      <w:marRight w:val="0"/>
      <w:marTop w:val="0"/>
      <w:marBottom w:val="0"/>
      <w:divBdr>
        <w:top w:val="none" w:sz="0" w:space="0" w:color="auto"/>
        <w:left w:val="none" w:sz="0" w:space="0" w:color="auto"/>
        <w:bottom w:val="none" w:sz="0" w:space="0" w:color="auto"/>
        <w:right w:val="none" w:sz="0" w:space="0" w:color="auto"/>
      </w:divBdr>
    </w:div>
    <w:div w:id="42952563">
      <w:bodyDiv w:val="1"/>
      <w:marLeft w:val="0"/>
      <w:marRight w:val="0"/>
      <w:marTop w:val="0"/>
      <w:marBottom w:val="0"/>
      <w:divBdr>
        <w:top w:val="none" w:sz="0" w:space="0" w:color="auto"/>
        <w:left w:val="none" w:sz="0" w:space="0" w:color="auto"/>
        <w:bottom w:val="none" w:sz="0" w:space="0" w:color="auto"/>
        <w:right w:val="none" w:sz="0" w:space="0" w:color="auto"/>
      </w:divBdr>
    </w:div>
    <w:div w:id="64181839">
      <w:bodyDiv w:val="1"/>
      <w:marLeft w:val="0"/>
      <w:marRight w:val="0"/>
      <w:marTop w:val="0"/>
      <w:marBottom w:val="0"/>
      <w:divBdr>
        <w:top w:val="none" w:sz="0" w:space="0" w:color="auto"/>
        <w:left w:val="none" w:sz="0" w:space="0" w:color="auto"/>
        <w:bottom w:val="none" w:sz="0" w:space="0" w:color="auto"/>
        <w:right w:val="none" w:sz="0" w:space="0" w:color="auto"/>
      </w:divBdr>
    </w:div>
    <w:div w:id="76288005">
      <w:bodyDiv w:val="1"/>
      <w:marLeft w:val="0"/>
      <w:marRight w:val="0"/>
      <w:marTop w:val="0"/>
      <w:marBottom w:val="0"/>
      <w:divBdr>
        <w:top w:val="none" w:sz="0" w:space="0" w:color="auto"/>
        <w:left w:val="none" w:sz="0" w:space="0" w:color="auto"/>
        <w:bottom w:val="none" w:sz="0" w:space="0" w:color="auto"/>
        <w:right w:val="none" w:sz="0" w:space="0" w:color="auto"/>
      </w:divBdr>
    </w:div>
    <w:div w:id="105393141">
      <w:bodyDiv w:val="1"/>
      <w:marLeft w:val="0"/>
      <w:marRight w:val="0"/>
      <w:marTop w:val="0"/>
      <w:marBottom w:val="0"/>
      <w:divBdr>
        <w:top w:val="none" w:sz="0" w:space="0" w:color="auto"/>
        <w:left w:val="none" w:sz="0" w:space="0" w:color="auto"/>
        <w:bottom w:val="none" w:sz="0" w:space="0" w:color="auto"/>
        <w:right w:val="none" w:sz="0" w:space="0" w:color="auto"/>
      </w:divBdr>
    </w:div>
    <w:div w:id="109739310">
      <w:bodyDiv w:val="1"/>
      <w:marLeft w:val="0"/>
      <w:marRight w:val="0"/>
      <w:marTop w:val="0"/>
      <w:marBottom w:val="0"/>
      <w:divBdr>
        <w:top w:val="none" w:sz="0" w:space="0" w:color="auto"/>
        <w:left w:val="none" w:sz="0" w:space="0" w:color="auto"/>
        <w:bottom w:val="none" w:sz="0" w:space="0" w:color="auto"/>
        <w:right w:val="none" w:sz="0" w:space="0" w:color="auto"/>
      </w:divBdr>
    </w:div>
    <w:div w:id="113209480">
      <w:bodyDiv w:val="1"/>
      <w:marLeft w:val="0"/>
      <w:marRight w:val="0"/>
      <w:marTop w:val="0"/>
      <w:marBottom w:val="0"/>
      <w:divBdr>
        <w:top w:val="none" w:sz="0" w:space="0" w:color="auto"/>
        <w:left w:val="none" w:sz="0" w:space="0" w:color="auto"/>
        <w:bottom w:val="none" w:sz="0" w:space="0" w:color="auto"/>
        <w:right w:val="none" w:sz="0" w:space="0" w:color="auto"/>
      </w:divBdr>
    </w:div>
    <w:div w:id="126582001">
      <w:bodyDiv w:val="1"/>
      <w:marLeft w:val="0"/>
      <w:marRight w:val="0"/>
      <w:marTop w:val="0"/>
      <w:marBottom w:val="0"/>
      <w:divBdr>
        <w:top w:val="none" w:sz="0" w:space="0" w:color="auto"/>
        <w:left w:val="none" w:sz="0" w:space="0" w:color="auto"/>
        <w:bottom w:val="none" w:sz="0" w:space="0" w:color="auto"/>
        <w:right w:val="none" w:sz="0" w:space="0" w:color="auto"/>
      </w:divBdr>
    </w:div>
    <w:div w:id="129515207">
      <w:bodyDiv w:val="1"/>
      <w:marLeft w:val="0"/>
      <w:marRight w:val="0"/>
      <w:marTop w:val="0"/>
      <w:marBottom w:val="0"/>
      <w:divBdr>
        <w:top w:val="none" w:sz="0" w:space="0" w:color="auto"/>
        <w:left w:val="none" w:sz="0" w:space="0" w:color="auto"/>
        <w:bottom w:val="none" w:sz="0" w:space="0" w:color="auto"/>
        <w:right w:val="none" w:sz="0" w:space="0" w:color="auto"/>
      </w:divBdr>
    </w:div>
    <w:div w:id="130755558">
      <w:bodyDiv w:val="1"/>
      <w:marLeft w:val="0"/>
      <w:marRight w:val="0"/>
      <w:marTop w:val="0"/>
      <w:marBottom w:val="0"/>
      <w:divBdr>
        <w:top w:val="none" w:sz="0" w:space="0" w:color="auto"/>
        <w:left w:val="none" w:sz="0" w:space="0" w:color="auto"/>
        <w:bottom w:val="none" w:sz="0" w:space="0" w:color="auto"/>
        <w:right w:val="none" w:sz="0" w:space="0" w:color="auto"/>
      </w:divBdr>
    </w:div>
    <w:div w:id="131800341">
      <w:bodyDiv w:val="1"/>
      <w:marLeft w:val="0"/>
      <w:marRight w:val="0"/>
      <w:marTop w:val="0"/>
      <w:marBottom w:val="0"/>
      <w:divBdr>
        <w:top w:val="none" w:sz="0" w:space="0" w:color="auto"/>
        <w:left w:val="none" w:sz="0" w:space="0" w:color="auto"/>
        <w:bottom w:val="none" w:sz="0" w:space="0" w:color="auto"/>
        <w:right w:val="none" w:sz="0" w:space="0" w:color="auto"/>
      </w:divBdr>
    </w:div>
    <w:div w:id="132602902">
      <w:bodyDiv w:val="1"/>
      <w:marLeft w:val="0"/>
      <w:marRight w:val="0"/>
      <w:marTop w:val="0"/>
      <w:marBottom w:val="0"/>
      <w:divBdr>
        <w:top w:val="none" w:sz="0" w:space="0" w:color="auto"/>
        <w:left w:val="none" w:sz="0" w:space="0" w:color="auto"/>
        <w:bottom w:val="none" w:sz="0" w:space="0" w:color="auto"/>
        <w:right w:val="none" w:sz="0" w:space="0" w:color="auto"/>
      </w:divBdr>
    </w:div>
    <w:div w:id="136655723">
      <w:bodyDiv w:val="1"/>
      <w:marLeft w:val="0"/>
      <w:marRight w:val="0"/>
      <w:marTop w:val="0"/>
      <w:marBottom w:val="0"/>
      <w:divBdr>
        <w:top w:val="none" w:sz="0" w:space="0" w:color="auto"/>
        <w:left w:val="none" w:sz="0" w:space="0" w:color="auto"/>
        <w:bottom w:val="none" w:sz="0" w:space="0" w:color="auto"/>
        <w:right w:val="none" w:sz="0" w:space="0" w:color="auto"/>
      </w:divBdr>
    </w:div>
    <w:div w:id="137234900">
      <w:bodyDiv w:val="1"/>
      <w:marLeft w:val="0"/>
      <w:marRight w:val="0"/>
      <w:marTop w:val="0"/>
      <w:marBottom w:val="0"/>
      <w:divBdr>
        <w:top w:val="none" w:sz="0" w:space="0" w:color="auto"/>
        <w:left w:val="none" w:sz="0" w:space="0" w:color="auto"/>
        <w:bottom w:val="none" w:sz="0" w:space="0" w:color="auto"/>
        <w:right w:val="none" w:sz="0" w:space="0" w:color="auto"/>
      </w:divBdr>
    </w:div>
    <w:div w:id="146015555">
      <w:bodyDiv w:val="1"/>
      <w:marLeft w:val="0"/>
      <w:marRight w:val="0"/>
      <w:marTop w:val="0"/>
      <w:marBottom w:val="0"/>
      <w:divBdr>
        <w:top w:val="none" w:sz="0" w:space="0" w:color="auto"/>
        <w:left w:val="none" w:sz="0" w:space="0" w:color="auto"/>
        <w:bottom w:val="none" w:sz="0" w:space="0" w:color="auto"/>
        <w:right w:val="none" w:sz="0" w:space="0" w:color="auto"/>
      </w:divBdr>
    </w:div>
    <w:div w:id="147793049">
      <w:bodyDiv w:val="1"/>
      <w:marLeft w:val="0"/>
      <w:marRight w:val="0"/>
      <w:marTop w:val="0"/>
      <w:marBottom w:val="0"/>
      <w:divBdr>
        <w:top w:val="none" w:sz="0" w:space="0" w:color="auto"/>
        <w:left w:val="none" w:sz="0" w:space="0" w:color="auto"/>
        <w:bottom w:val="none" w:sz="0" w:space="0" w:color="auto"/>
        <w:right w:val="none" w:sz="0" w:space="0" w:color="auto"/>
      </w:divBdr>
    </w:div>
    <w:div w:id="155003131">
      <w:bodyDiv w:val="1"/>
      <w:marLeft w:val="0"/>
      <w:marRight w:val="0"/>
      <w:marTop w:val="0"/>
      <w:marBottom w:val="0"/>
      <w:divBdr>
        <w:top w:val="none" w:sz="0" w:space="0" w:color="auto"/>
        <w:left w:val="none" w:sz="0" w:space="0" w:color="auto"/>
        <w:bottom w:val="none" w:sz="0" w:space="0" w:color="auto"/>
        <w:right w:val="none" w:sz="0" w:space="0" w:color="auto"/>
      </w:divBdr>
    </w:div>
    <w:div w:id="170339209">
      <w:bodyDiv w:val="1"/>
      <w:marLeft w:val="0"/>
      <w:marRight w:val="0"/>
      <w:marTop w:val="0"/>
      <w:marBottom w:val="0"/>
      <w:divBdr>
        <w:top w:val="none" w:sz="0" w:space="0" w:color="auto"/>
        <w:left w:val="none" w:sz="0" w:space="0" w:color="auto"/>
        <w:bottom w:val="none" w:sz="0" w:space="0" w:color="auto"/>
        <w:right w:val="none" w:sz="0" w:space="0" w:color="auto"/>
      </w:divBdr>
      <w:divsChild>
        <w:div w:id="1194146623">
          <w:marLeft w:val="0"/>
          <w:marRight w:val="0"/>
          <w:marTop w:val="0"/>
          <w:marBottom w:val="0"/>
          <w:divBdr>
            <w:top w:val="none" w:sz="0" w:space="0" w:color="auto"/>
            <w:left w:val="none" w:sz="0" w:space="0" w:color="auto"/>
            <w:bottom w:val="none" w:sz="0" w:space="0" w:color="auto"/>
            <w:right w:val="none" w:sz="0" w:space="0" w:color="auto"/>
          </w:divBdr>
        </w:div>
      </w:divsChild>
    </w:div>
    <w:div w:id="171574955">
      <w:bodyDiv w:val="1"/>
      <w:marLeft w:val="0"/>
      <w:marRight w:val="0"/>
      <w:marTop w:val="0"/>
      <w:marBottom w:val="0"/>
      <w:divBdr>
        <w:top w:val="none" w:sz="0" w:space="0" w:color="auto"/>
        <w:left w:val="none" w:sz="0" w:space="0" w:color="auto"/>
        <w:bottom w:val="none" w:sz="0" w:space="0" w:color="auto"/>
        <w:right w:val="none" w:sz="0" w:space="0" w:color="auto"/>
      </w:divBdr>
    </w:div>
    <w:div w:id="176384327">
      <w:bodyDiv w:val="1"/>
      <w:marLeft w:val="0"/>
      <w:marRight w:val="0"/>
      <w:marTop w:val="0"/>
      <w:marBottom w:val="0"/>
      <w:divBdr>
        <w:top w:val="none" w:sz="0" w:space="0" w:color="auto"/>
        <w:left w:val="none" w:sz="0" w:space="0" w:color="auto"/>
        <w:bottom w:val="none" w:sz="0" w:space="0" w:color="auto"/>
        <w:right w:val="none" w:sz="0" w:space="0" w:color="auto"/>
      </w:divBdr>
    </w:div>
    <w:div w:id="183326095">
      <w:bodyDiv w:val="1"/>
      <w:marLeft w:val="0"/>
      <w:marRight w:val="0"/>
      <w:marTop w:val="0"/>
      <w:marBottom w:val="0"/>
      <w:divBdr>
        <w:top w:val="none" w:sz="0" w:space="0" w:color="auto"/>
        <w:left w:val="none" w:sz="0" w:space="0" w:color="auto"/>
        <w:bottom w:val="none" w:sz="0" w:space="0" w:color="auto"/>
        <w:right w:val="none" w:sz="0" w:space="0" w:color="auto"/>
      </w:divBdr>
    </w:div>
    <w:div w:id="200434407">
      <w:bodyDiv w:val="1"/>
      <w:marLeft w:val="0"/>
      <w:marRight w:val="0"/>
      <w:marTop w:val="0"/>
      <w:marBottom w:val="0"/>
      <w:divBdr>
        <w:top w:val="none" w:sz="0" w:space="0" w:color="auto"/>
        <w:left w:val="none" w:sz="0" w:space="0" w:color="auto"/>
        <w:bottom w:val="none" w:sz="0" w:space="0" w:color="auto"/>
        <w:right w:val="none" w:sz="0" w:space="0" w:color="auto"/>
      </w:divBdr>
    </w:div>
    <w:div w:id="208305813">
      <w:bodyDiv w:val="1"/>
      <w:marLeft w:val="0"/>
      <w:marRight w:val="0"/>
      <w:marTop w:val="0"/>
      <w:marBottom w:val="0"/>
      <w:divBdr>
        <w:top w:val="none" w:sz="0" w:space="0" w:color="auto"/>
        <w:left w:val="none" w:sz="0" w:space="0" w:color="auto"/>
        <w:bottom w:val="none" w:sz="0" w:space="0" w:color="auto"/>
        <w:right w:val="none" w:sz="0" w:space="0" w:color="auto"/>
      </w:divBdr>
    </w:div>
    <w:div w:id="224730856">
      <w:bodyDiv w:val="1"/>
      <w:marLeft w:val="0"/>
      <w:marRight w:val="0"/>
      <w:marTop w:val="0"/>
      <w:marBottom w:val="0"/>
      <w:divBdr>
        <w:top w:val="none" w:sz="0" w:space="0" w:color="auto"/>
        <w:left w:val="none" w:sz="0" w:space="0" w:color="auto"/>
        <w:bottom w:val="none" w:sz="0" w:space="0" w:color="auto"/>
        <w:right w:val="none" w:sz="0" w:space="0" w:color="auto"/>
      </w:divBdr>
    </w:div>
    <w:div w:id="232665616">
      <w:bodyDiv w:val="1"/>
      <w:marLeft w:val="0"/>
      <w:marRight w:val="0"/>
      <w:marTop w:val="0"/>
      <w:marBottom w:val="0"/>
      <w:divBdr>
        <w:top w:val="none" w:sz="0" w:space="0" w:color="auto"/>
        <w:left w:val="none" w:sz="0" w:space="0" w:color="auto"/>
        <w:bottom w:val="none" w:sz="0" w:space="0" w:color="auto"/>
        <w:right w:val="none" w:sz="0" w:space="0" w:color="auto"/>
      </w:divBdr>
    </w:div>
    <w:div w:id="242449410">
      <w:bodyDiv w:val="1"/>
      <w:marLeft w:val="0"/>
      <w:marRight w:val="0"/>
      <w:marTop w:val="0"/>
      <w:marBottom w:val="0"/>
      <w:divBdr>
        <w:top w:val="none" w:sz="0" w:space="0" w:color="auto"/>
        <w:left w:val="none" w:sz="0" w:space="0" w:color="auto"/>
        <w:bottom w:val="none" w:sz="0" w:space="0" w:color="auto"/>
        <w:right w:val="none" w:sz="0" w:space="0" w:color="auto"/>
      </w:divBdr>
    </w:div>
    <w:div w:id="244997135">
      <w:bodyDiv w:val="1"/>
      <w:marLeft w:val="0"/>
      <w:marRight w:val="0"/>
      <w:marTop w:val="0"/>
      <w:marBottom w:val="0"/>
      <w:divBdr>
        <w:top w:val="none" w:sz="0" w:space="0" w:color="auto"/>
        <w:left w:val="none" w:sz="0" w:space="0" w:color="auto"/>
        <w:bottom w:val="none" w:sz="0" w:space="0" w:color="auto"/>
        <w:right w:val="none" w:sz="0" w:space="0" w:color="auto"/>
      </w:divBdr>
    </w:div>
    <w:div w:id="247736055">
      <w:bodyDiv w:val="1"/>
      <w:marLeft w:val="0"/>
      <w:marRight w:val="0"/>
      <w:marTop w:val="0"/>
      <w:marBottom w:val="0"/>
      <w:divBdr>
        <w:top w:val="none" w:sz="0" w:space="0" w:color="auto"/>
        <w:left w:val="none" w:sz="0" w:space="0" w:color="auto"/>
        <w:bottom w:val="none" w:sz="0" w:space="0" w:color="auto"/>
        <w:right w:val="none" w:sz="0" w:space="0" w:color="auto"/>
      </w:divBdr>
    </w:div>
    <w:div w:id="253323558">
      <w:bodyDiv w:val="1"/>
      <w:marLeft w:val="0"/>
      <w:marRight w:val="0"/>
      <w:marTop w:val="0"/>
      <w:marBottom w:val="0"/>
      <w:divBdr>
        <w:top w:val="none" w:sz="0" w:space="0" w:color="auto"/>
        <w:left w:val="none" w:sz="0" w:space="0" w:color="auto"/>
        <w:bottom w:val="none" w:sz="0" w:space="0" w:color="auto"/>
        <w:right w:val="none" w:sz="0" w:space="0" w:color="auto"/>
      </w:divBdr>
    </w:div>
    <w:div w:id="267734925">
      <w:bodyDiv w:val="1"/>
      <w:marLeft w:val="0"/>
      <w:marRight w:val="0"/>
      <w:marTop w:val="0"/>
      <w:marBottom w:val="0"/>
      <w:divBdr>
        <w:top w:val="none" w:sz="0" w:space="0" w:color="auto"/>
        <w:left w:val="none" w:sz="0" w:space="0" w:color="auto"/>
        <w:bottom w:val="none" w:sz="0" w:space="0" w:color="auto"/>
        <w:right w:val="none" w:sz="0" w:space="0" w:color="auto"/>
      </w:divBdr>
    </w:div>
    <w:div w:id="273903150">
      <w:bodyDiv w:val="1"/>
      <w:marLeft w:val="0"/>
      <w:marRight w:val="0"/>
      <w:marTop w:val="0"/>
      <w:marBottom w:val="0"/>
      <w:divBdr>
        <w:top w:val="none" w:sz="0" w:space="0" w:color="auto"/>
        <w:left w:val="none" w:sz="0" w:space="0" w:color="auto"/>
        <w:bottom w:val="none" w:sz="0" w:space="0" w:color="auto"/>
        <w:right w:val="none" w:sz="0" w:space="0" w:color="auto"/>
      </w:divBdr>
    </w:div>
    <w:div w:id="276569415">
      <w:bodyDiv w:val="1"/>
      <w:marLeft w:val="0"/>
      <w:marRight w:val="0"/>
      <w:marTop w:val="0"/>
      <w:marBottom w:val="0"/>
      <w:divBdr>
        <w:top w:val="none" w:sz="0" w:space="0" w:color="auto"/>
        <w:left w:val="none" w:sz="0" w:space="0" w:color="auto"/>
        <w:bottom w:val="none" w:sz="0" w:space="0" w:color="auto"/>
        <w:right w:val="none" w:sz="0" w:space="0" w:color="auto"/>
      </w:divBdr>
    </w:div>
    <w:div w:id="307168084">
      <w:bodyDiv w:val="1"/>
      <w:marLeft w:val="0"/>
      <w:marRight w:val="0"/>
      <w:marTop w:val="0"/>
      <w:marBottom w:val="0"/>
      <w:divBdr>
        <w:top w:val="none" w:sz="0" w:space="0" w:color="auto"/>
        <w:left w:val="none" w:sz="0" w:space="0" w:color="auto"/>
        <w:bottom w:val="none" w:sz="0" w:space="0" w:color="auto"/>
        <w:right w:val="none" w:sz="0" w:space="0" w:color="auto"/>
      </w:divBdr>
    </w:div>
    <w:div w:id="308824575">
      <w:bodyDiv w:val="1"/>
      <w:marLeft w:val="0"/>
      <w:marRight w:val="0"/>
      <w:marTop w:val="0"/>
      <w:marBottom w:val="0"/>
      <w:divBdr>
        <w:top w:val="none" w:sz="0" w:space="0" w:color="auto"/>
        <w:left w:val="none" w:sz="0" w:space="0" w:color="auto"/>
        <w:bottom w:val="none" w:sz="0" w:space="0" w:color="auto"/>
        <w:right w:val="none" w:sz="0" w:space="0" w:color="auto"/>
      </w:divBdr>
    </w:div>
    <w:div w:id="310713959">
      <w:bodyDiv w:val="1"/>
      <w:marLeft w:val="0"/>
      <w:marRight w:val="0"/>
      <w:marTop w:val="0"/>
      <w:marBottom w:val="0"/>
      <w:divBdr>
        <w:top w:val="none" w:sz="0" w:space="0" w:color="auto"/>
        <w:left w:val="none" w:sz="0" w:space="0" w:color="auto"/>
        <w:bottom w:val="none" w:sz="0" w:space="0" w:color="auto"/>
        <w:right w:val="none" w:sz="0" w:space="0" w:color="auto"/>
      </w:divBdr>
    </w:div>
    <w:div w:id="324822265">
      <w:bodyDiv w:val="1"/>
      <w:marLeft w:val="0"/>
      <w:marRight w:val="0"/>
      <w:marTop w:val="0"/>
      <w:marBottom w:val="0"/>
      <w:divBdr>
        <w:top w:val="none" w:sz="0" w:space="0" w:color="auto"/>
        <w:left w:val="none" w:sz="0" w:space="0" w:color="auto"/>
        <w:bottom w:val="none" w:sz="0" w:space="0" w:color="auto"/>
        <w:right w:val="none" w:sz="0" w:space="0" w:color="auto"/>
      </w:divBdr>
    </w:div>
    <w:div w:id="328024475">
      <w:bodyDiv w:val="1"/>
      <w:marLeft w:val="0"/>
      <w:marRight w:val="0"/>
      <w:marTop w:val="0"/>
      <w:marBottom w:val="0"/>
      <w:divBdr>
        <w:top w:val="none" w:sz="0" w:space="0" w:color="auto"/>
        <w:left w:val="none" w:sz="0" w:space="0" w:color="auto"/>
        <w:bottom w:val="none" w:sz="0" w:space="0" w:color="auto"/>
        <w:right w:val="none" w:sz="0" w:space="0" w:color="auto"/>
      </w:divBdr>
    </w:div>
    <w:div w:id="330453398">
      <w:bodyDiv w:val="1"/>
      <w:marLeft w:val="0"/>
      <w:marRight w:val="0"/>
      <w:marTop w:val="0"/>
      <w:marBottom w:val="0"/>
      <w:divBdr>
        <w:top w:val="none" w:sz="0" w:space="0" w:color="auto"/>
        <w:left w:val="none" w:sz="0" w:space="0" w:color="auto"/>
        <w:bottom w:val="none" w:sz="0" w:space="0" w:color="auto"/>
        <w:right w:val="none" w:sz="0" w:space="0" w:color="auto"/>
      </w:divBdr>
    </w:div>
    <w:div w:id="336690951">
      <w:bodyDiv w:val="1"/>
      <w:marLeft w:val="0"/>
      <w:marRight w:val="0"/>
      <w:marTop w:val="0"/>
      <w:marBottom w:val="0"/>
      <w:divBdr>
        <w:top w:val="none" w:sz="0" w:space="0" w:color="auto"/>
        <w:left w:val="none" w:sz="0" w:space="0" w:color="auto"/>
        <w:bottom w:val="none" w:sz="0" w:space="0" w:color="auto"/>
        <w:right w:val="none" w:sz="0" w:space="0" w:color="auto"/>
      </w:divBdr>
    </w:div>
    <w:div w:id="359400723">
      <w:bodyDiv w:val="1"/>
      <w:marLeft w:val="0"/>
      <w:marRight w:val="0"/>
      <w:marTop w:val="0"/>
      <w:marBottom w:val="0"/>
      <w:divBdr>
        <w:top w:val="none" w:sz="0" w:space="0" w:color="auto"/>
        <w:left w:val="none" w:sz="0" w:space="0" w:color="auto"/>
        <w:bottom w:val="none" w:sz="0" w:space="0" w:color="auto"/>
        <w:right w:val="none" w:sz="0" w:space="0" w:color="auto"/>
      </w:divBdr>
    </w:div>
    <w:div w:id="381560621">
      <w:bodyDiv w:val="1"/>
      <w:marLeft w:val="0"/>
      <w:marRight w:val="0"/>
      <w:marTop w:val="0"/>
      <w:marBottom w:val="0"/>
      <w:divBdr>
        <w:top w:val="none" w:sz="0" w:space="0" w:color="auto"/>
        <w:left w:val="none" w:sz="0" w:space="0" w:color="auto"/>
        <w:bottom w:val="none" w:sz="0" w:space="0" w:color="auto"/>
        <w:right w:val="none" w:sz="0" w:space="0" w:color="auto"/>
      </w:divBdr>
    </w:div>
    <w:div w:id="395979051">
      <w:bodyDiv w:val="1"/>
      <w:marLeft w:val="0"/>
      <w:marRight w:val="0"/>
      <w:marTop w:val="0"/>
      <w:marBottom w:val="0"/>
      <w:divBdr>
        <w:top w:val="none" w:sz="0" w:space="0" w:color="auto"/>
        <w:left w:val="none" w:sz="0" w:space="0" w:color="auto"/>
        <w:bottom w:val="none" w:sz="0" w:space="0" w:color="auto"/>
        <w:right w:val="none" w:sz="0" w:space="0" w:color="auto"/>
      </w:divBdr>
    </w:div>
    <w:div w:id="398406219">
      <w:bodyDiv w:val="1"/>
      <w:marLeft w:val="0"/>
      <w:marRight w:val="0"/>
      <w:marTop w:val="0"/>
      <w:marBottom w:val="0"/>
      <w:divBdr>
        <w:top w:val="none" w:sz="0" w:space="0" w:color="auto"/>
        <w:left w:val="none" w:sz="0" w:space="0" w:color="auto"/>
        <w:bottom w:val="none" w:sz="0" w:space="0" w:color="auto"/>
        <w:right w:val="none" w:sz="0" w:space="0" w:color="auto"/>
      </w:divBdr>
      <w:divsChild>
        <w:div w:id="1210725879">
          <w:marLeft w:val="0"/>
          <w:marRight w:val="0"/>
          <w:marTop w:val="0"/>
          <w:marBottom w:val="0"/>
          <w:divBdr>
            <w:top w:val="none" w:sz="0" w:space="0" w:color="auto"/>
            <w:left w:val="none" w:sz="0" w:space="0" w:color="auto"/>
            <w:bottom w:val="none" w:sz="0" w:space="0" w:color="auto"/>
            <w:right w:val="none" w:sz="0" w:space="0" w:color="auto"/>
          </w:divBdr>
          <w:divsChild>
            <w:div w:id="1902985990">
              <w:marLeft w:val="0"/>
              <w:marRight w:val="0"/>
              <w:marTop w:val="0"/>
              <w:marBottom w:val="0"/>
              <w:divBdr>
                <w:top w:val="none" w:sz="0" w:space="0" w:color="auto"/>
                <w:left w:val="none" w:sz="0" w:space="0" w:color="auto"/>
                <w:bottom w:val="none" w:sz="0" w:space="0" w:color="auto"/>
                <w:right w:val="none" w:sz="0" w:space="0" w:color="auto"/>
              </w:divBdr>
            </w:div>
          </w:divsChild>
        </w:div>
        <w:div w:id="619730182">
          <w:marLeft w:val="0"/>
          <w:marRight w:val="0"/>
          <w:marTop w:val="0"/>
          <w:marBottom w:val="0"/>
          <w:divBdr>
            <w:top w:val="none" w:sz="0" w:space="0" w:color="auto"/>
            <w:left w:val="none" w:sz="0" w:space="0" w:color="auto"/>
            <w:bottom w:val="none" w:sz="0" w:space="0" w:color="auto"/>
            <w:right w:val="none" w:sz="0" w:space="0" w:color="auto"/>
          </w:divBdr>
          <w:divsChild>
            <w:div w:id="1830445017">
              <w:marLeft w:val="0"/>
              <w:marRight w:val="0"/>
              <w:marTop w:val="0"/>
              <w:marBottom w:val="0"/>
              <w:divBdr>
                <w:top w:val="none" w:sz="0" w:space="0" w:color="auto"/>
                <w:left w:val="none" w:sz="0" w:space="0" w:color="auto"/>
                <w:bottom w:val="none" w:sz="0" w:space="0" w:color="auto"/>
                <w:right w:val="none" w:sz="0" w:space="0" w:color="auto"/>
              </w:divBdr>
            </w:div>
          </w:divsChild>
        </w:div>
        <w:div w:id="989212395">
          <w:marLeft w:val="0"/>
          <w:marRight w:val="0"/>
          <w:marTop w:val="0"/>
          <w:marBottom w:val="0"/>
          <w:divBdr>
            <w:top w:val="none" w:sz="0" w:space="0" w:color="auto"/>
            <w:left w:val="none" w:sz="0" w:space="0" w:color="auto"/>
            <w:bottom w:val="none" w:sz="0" w:space="0" w:color="auto"/>
            <w:right w:val="none" w:sz="0" w:space="0" w:color="auto"/>
          </w:divBdr>
          <w:divsChild>
            <w:div w:id="2056201160">
              <w:marLeft w:val="0"/>
              <w:marRight w:val="0"/>
              <w:marTop w:val="0"/>
              <w:marBottom w:val="0"/>
              <w:divBdr>
                <w:top w:val="none" w:sz="0" w:space="0" w:color="auto"/>
                <w:left w:val="none" w:sz="0" w:space="0" w:color="auto"/>
                <w:bottom w:val="none" w:sz="0" w:space="0" w:color="auto"/>
                <w:right w:val="none" w:sz="0" w:space="0" w:color="auto"/>
              </w:divBdr>
            </w:div>
          </w:divsChild>
        </w:div>
        <w:div w:id="1162698852">
          <w:marLeft w:val="0"/>
          <w:marRight w:val="0"/>
          <w:marTop w:val="0"/>
          <w:marBottom w:val="0"/>
          <w:divBdr>
            <w:top w:val="none" w:sz="0" w:space="0" w:color="auto"/>
            <w:left w:val="none" w:sz="0" w:space="0" w:color="auto"/>
            <w:bottom w:val="none" w:sz="0" w:space="0" w:color="auto"/>
            <w:right w:val="none" w:sz="0" w:space="0" w:color="auto"/>
          </w:divBdr>
          <w:divsChild>
            <w:div w:id="114175007">
              <w:marLeft w:val="0"/>
              <w:marRight w:val="0"/>
              <w:marTop w:val="0"/>
              <w:marBottom w:val="0"/>
              <w:divBdr>
                <w:top w:val="none" w:sz="0" w:space="0" w:color="auto"/>
                <w:left w:val="none" w:sz="0" w:space="0" w:color="auto"/>
                <w:bottom w:val="none" w:sz="0" w:space="0" w:color="auto"/>
                <w:right w:val="none" w:sz="0" w:space="0" w:color="auto"/>
              </w:divBdr>
            </w:div>
          </w:divsChild>
        </w:div>
        <w:div w:id="619842131">
          <w:marLeft w:val="0"/>
          <w:marRight w:val="0"/>
          <w:marTop w:val="0"/>
          <w:marBottom w:val="0"/>
          <w:divBdr>
            <w:top w:val="none" w:sz="0" w:space="0" w:color="auto"/>
            <w:left w:val="none" w:sz="0" w:space="0" w:color="auto"/>
            <w:bottom w:val="none" w:sz="0" w:space="0" w:color="auto"/>
            <w:right w:val="none" w:sz="0" w:space="0" w:color="auto"/>
          </w:divBdr>
          <w:divsChild>
            <w:div w:id="2126002047">
              <w:marLeft w:val="0"/>
              <w:marRight w:val="0"/>
              <w:marTop w:val="0"/>
              <w:marBottom w:val="0"/>
              <w:divBdr>
                <w:top w:val="none" w:sz="0" w:space="0" w:color="auto"/>
                <w:left w:val="none" w:sz="0" w:space="0" w:color="auto"/>
                <w:bottom w:val="none" w:sz="0" w:space="0" w:color="auto"/>
                <w:right w:val="none" w:sz="0" w:space="0" w:color="auto"/>
              </w:divBdr>
            </w:div>
          </w:divsChild>
        </w:div>
        <w:div w:id="782500707">
          <w:marLeft w:val="0"/>
          <w:marRight w:val="0"/>
          <w:marTop w:val="0"/>
          <w:marBottom w:val="0"/>
          <w:divBdr>
            <w:top w:val="none" w:sz="0" w:space="0" w:color="auto"/>
            <w:left w:val="none" w:sz="0" w:space="0" w:color="auto"/>
            <w:bottom w:val="none" w:sz="0" w:space="0" w:color="auto"/>
            <w:right w:val="none" w:sz="0" w:space="0" w:color="auto"/>
          </w:divBdr>
          <w:divsChild>
            <w:div w:id="172769666">
              <w:marLeft w:val="0"/>
              <w:marRight w:val="0"/>
              <w:marTop w:val="0"/>
              <w:marBottom w:val="0"/>
              <w:divBdr>
                <w:top w:val="none" w:sz="0" w:space="0" w:color="auto"/>
                <w:left w:val="none" w:sz="0" w:space="0" w:color="auto"/>
                <w:bottom w:val="none" w:sz="0" w:space="0" w:color="auto"/>
                <w:right w:val="none" w:sz="0" w:space="0" w:color="auto"/>
              </w:divBdr>
            </w:div>
          </w:divsChild>
        </w:div>
        <w:div w:id="1415737681">
          <w:marLeft w:val="0"/>
          <w:marRight w:val="0"/>
          <w:marTop w:val="0"/>
          <w:marBottom w:val="0"/>
          <w:divBdr>
            <w:top w:val="none" w:sz="0" w:space="0" w:color="auto"/>
            <w:left w:val="none" w:sz="0" w:space="0" w:color="auto"/>
            <w:bottom w:val="none" w:sz="0" w:space="0" w:color="auto"/>
            <w:right w:val="none" w:sz="0" w:space="0" w:color="auto"/>
          </w:divBdr>
          <w:divsChild>
            <w:div w:id="125127761">
              <w:marLeft w:val="0"/>
              <w:marRight w:val="0"/>
              <w:marTop w:val="0"/>
              <w:marBottom w:val="0"/>
              <w:divBdr>
                <w:top w:val="none" w:sz="0" w:space="0" w:color="auto"/>
                <w:left w:val="none" w:sz="0" w:space="0" w:color="auto"/>
                <w:bottom w:val="none" w:sz="0" w:space="0" w:color="auto"/>
                <w:right w:val="none" w:sz="0" w:space="0" w:color="auto"/>
              </w:divBdr>
            </w:div>
          </w:divsChild>
        </w:div>
        <w:div w:id="565067319">
          <w:marLeft w:val="0"/>
          <w:marRight w:val="0"/>
          <w:marTop w:val="0"/>
          <w:marBottom w:val="0"/>
          <w:divBdr>
            <w:top w:val="none" w:sz="0" w:space="0" w:color="auto"/>
            <w:left w:val="none" w:sz="0" w:space="0" w:color="auto"/>
            <w:bottom w:val="none" w:sz="0" w:space="0" w:color="auto"/>
            <w:right w:val="none" w:sz="0" w:space="0" w:color="auto"/>
          </w:divBdr>
          <w:divsChild>
            <w:div w:id="13344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2759">
      <w:bodyDiv w:val="1"/>
      <w:marLeft w:val="0"/>
      <w:marRight w:val="0"/>
      <w:marTop w:val="0"/>
      <w:marBottom w:val="0"/>
      <w:divBdr>
        <w:top w:val="none" w:sz="0" w:space="0" w:color="auto"/>
        <w:left w:val="none" w:sz="0" w:space="0" w:color="auto"/>
        <w:bottom w:val="none" w:sz="0" w:space="0" w:color="auto"/>
        <w:right w:val="none" w:sz="0" w:space="0" w:color="auto"/>
      </w:divBdr>
    </w:div>
    <w:div w:id="434056144">
      <w:bodyDiv w:val="1"/>
      <w:marLeft w:val="0"/>
      <w:marRight w:val="0"/>
      <w:marTop w:val="0"/>
      <w:marBottom w:val="0"/>
      <w:divBdr>
        <w:top w:val="none" w:sz="0" w:space="0" w:color="auto"/>
        <w:left w:val="none" w:sz="0" w:space="0" w:color="auto"/>
        <w:bottom w:val="none" w:sz="0" w:space="0" w:color="auto"/>
        <w:right w:val="none" w:sz="0" w:space="0" w:color="auto"/>
      </w:divBdr>
      <w:divsChild>
        <w:div w:id="1699506150">
          <w:marLeft w:val="0"/>
          <w:marRight w:val="0"/>
          <w:marTop w:val="0"/>
          <w:marBottom w:val="0"/>
          <w:divBdr>
            <w:top w:val="none" w:sz="0" w:space="0" w:color="auto"/>
            <w:left w:val="none" w:sz="0" w:space="0" w:color="auto"/>
            <w:bottom w:val="none" w:sz="0" w:space="0" w:color="auto"/>
            <w:right w:val="none" w:sz="0" w:space="0" w:color="auto"/>
          </w:divBdr>
          <w:divsChild>
            <w:div w:id="17614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4688">
      <w:bodyDiv w:val="1"/>
      <w:marLeft w:val="0"/>
      <w:marRight w:val="0"/>
      <w:marTop w:val="0"/>
      <w:marBottom w:val="0"/>
      <w:divBdr>
        <w:top w:val="none" w:sz="0" w:space="0" w:color="auto"/>
        <w:left w:val="none" w:sz="0" w:space="0" w:color="auto"/>
        <w:bottom w:val="none" w:sz="0" w:space="0" w:color="auto"/>
        <w:right w:val="none" w:sz="0" w:space="0" w:color="auto"/>
      </w:divBdr>
    </w:div>
    <w:div w:id="446045557">
      <w:bodyDiv w:val="1"/>
      <w:marLeft w:val="0"/>
      <w:marRight w:val="0"/>
      <w:marTop w:val="0"/>
      <w:marBottom w:val="0"/>
      <w:divBdr>
        <w:top w:val="none" w:sz="0" w:space="0" w:color="auto"/>
        <w:left w:val="none" w:sz="0" w:space="0" w:color="auto"/>
        <w:bottom w:val="none" w:sz="0" w:space="0" w:color="auto"/>
        <w:right w:val="none" w:sz="0" w:space="0" w:color="auto"/>
      </w:divBdr>
    </w:div>
    <w:div w:id="462383519">
      <w:bodyDiv w:val="1"/>
      <w:marLeft w:val="0"/>
      <w:marRight w:val="0"/>
      <w:marTop w:val="0"/>
      <w:marBottom w:val="0"/>
      <w:divBdr>
        <w:top w:val="none" w:sz="0" w:space="0" w:color="auto"/>
        <w:left w:val="none" w:sz="0" w:space="0" w:color="auto"/>
        <w:bottom w:val="none" w:sz="0" w:space="0" w:color="auto"/>
        <w:right w:val="none" w:sz="0" w:space="0" w:color="auto"/>
      </w:divBdr>
      <w:divsChild>
        <w:div w:id="1946493515">
          <w:marLeft w:val="0"/>
          <w:marRight w:val="0"/>
          <w:marTop w:val="0"/>
          <w:marBottom w:val="0"/>
          <w:divBdr>
            <w:top w:val="none" w:sz="0" w:space="0" w:color="auto"/>
            <w:left w:val="none" w:sz="0" w:space="0" w:color="auto"/>
            <w:bottom w:val="none" w:sz="0" w:space="0" w:color="auto"/>
            <w:right w:val="none" w:sz="0" w:space="0" w:color="auto"/>
          </w:divBdr>
          <w:divsChild>
            <w:div w:id="464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5726">
      <w:bodyDiv w:val="1"/>
      <w:marLeft w:val="0"/>
      <w:marRight w:val="0"/>
      <w:marTop w:val="0"/>
      <w:marBottom w:val="0"/>
      <w:divBdr>
        <w:top w:val="none" w:sz="0" w:space="0" w:color="auto"/>
        <w:left w:val="none" w:sz="0" w:space="0" w:color="auto"/>
        <w:bottom w:val="none" w:sz="0" w:space="0" w:color="auto"/>
        <w:right w:val="none" w:sz="0" w:space="0" w:color="auto"/>
      </w:divBdr>
    </w:div>
    <w:div w:id="488909193">
      <w:bodyDiv w:val="1"/>
      <w:marLeft w:val="0"/>
      <w:marRight w:val="0"/>
      <w:marTop w:val="0"/>
      <w:marBottom w:val="0"/>
      <w:divBdr>
        <w:top w:val="none" w:sz="0" w:space="0" w:color="auto"/>
        <w:left w:val="none" w:sz="0" w:space="0" w:color="auto"/>
        <w:bottom w:val="none" w:sz="0" w:space="0" w:color="auto"/>
        <w:right w:val="none" w:sz="0" w:space="0" w:color="auto"/>
      </w:divBdr>
    </w:div>
    <w:div w:id="500892257">
      <w:bodyDiv w:val="1"/>
      <w:marLeft w:val="0"/>
      <w:marRight w:val="0"/>
      <w:marTop w:val="0"/>
      <w:marBottom w:val="0"/>
      <w:divBdr>
        <w:top w:val="none" w:sz="0" w:space="0" w:color="auto"/>
        <w:left w:val="none" w:sz="0" w:space="0" w:color="auto"/>
        <w:bottom w:val="none" w:sz="0" w:space="0" w:color="auto"/>
        <w:right w:val="none" w:sz="0" w:space="0" w:color="auto"/>
      </w:divBdr>
    </w:div>
    <w:div w:id="508254157">
      <w:bodyDiv w:val="1"/>
      <w:marLeft w:val="0"/>
      <w:marRight w:val="0"/>
      <w:marTop w:val="0"/>
      <w:marBottom w:val="0"/>
      <w:divBdr>
        <w:top w:val="none" w:sz="0" w:space="0" w:color="auto"/>
        <w:left w:val="none" w:sz="0" w:space="0" w:color="auto"/>
        <w:bottom w:val="none" w:sz="0" w:space="0" w:color="auto"/>
        <w:right w:val="none" w:sz="0" w:space="0" w:color="auto"/>
      </w:divBdr>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513887491">
      <w:bodyDiv w:val="1"/>
      <w:marLeft w:val="0"/>
      <w:marRight w:val="0"/>
      <w:marTop w:val="0"/>
      <w:marBottom w:val="0"/>
      <w:divBdr>
        <w:top w:val="none" w:sz="0" w:space="0" w:color="auto"/>
        <w:left w:val="none" w:sz="0" w:space="0" w:color="auto"/>
        <w:bottom w:val="none" w:sz="0" w:space="0" w:color="auto"/>
        <w:right w:val="none" w:sz="0" w:space="0" w:color="auto"/>
      </w:divBdr>
    </w:div>
    <w:div w:id="523596999">
      <w:bodyDiv w:val="1"/>
      <w:marLeft w:val="0"/>
      <w:marRight w:val="0"/>
      <w:marTop w:val="0"/>
      <w:marBottom w:val="0"/>
      <w:divBdr>
        <w:top w:val="none" w:sz="0" w:space="0" w:color="auto"/>
        <w:left w:val="none" w:sz="0" w:space="0" w:color="auto"/>
        <w:bottom w:val="none" w:sz="0" w:space="0" w:color="auto"/>
        <w:right w:val="none" w:sz="0" w:space="0" w:color="auto"/>
      </w:divBdr>
    </w:div>
    <w:div w:id="527111096">
      <w:bodyDiv w:val="1"/>
      <w:marLeft w:val="0"/>
      <w:marRight w:val="0"/>
      <w:marTop w:val="0"/>
      <w:marBottom w:val="0"/>
      <w:divBdr>
        <w:top w:val="none" w:sz="0" w:space="0" w:color="auto"/>
        <w:left w:val="none" w:sz="0" w:space="0" w:color="auto"/>
        <w:bottom w:val="none" w:sz="0" w:space="0" w:color="auto"/>
        <w:right w:val="none" w:sz="0" w:space="0" w:color="auto"/>
      </w:divBdr>
      <w:divsChild>
        <w:div w:id="1158227313">
          <w:marLeft w:val="0"/>
          <w:marRight w:val="0"/>
          <w:marTop w:val="0"/>
          <w:marBottom w:val="0"/>
          <w:divBdr>
            <w:top w:val="none" w:sz="0" w:space="0" w:color="auto"/>
            <w:left w:val="none" w:sz="0" w:space="0" w:color="auto"/>
            <w:bottom w:val="none" w:sz="0" w:space="0" w:color="auto"/>
            <w:right w:val="none" w:sz="0" w:space="0" w:color="auto"/>
          </w:divBdr>
          <w:divsChild>
            <w:div w:id="1637295712">
              <w:marLeft w:val="0"/>
              <w:marRight w:val="0"/>
              <w:marTop w:val="0"/>
              <w:marBottom w:val="0"/>
              <w:divBdr>
                <w:top w:val="none" w:sz="0" w:space="0" w:color="auto"/>
                <w:left w:val="none" w:sz="0" w:space="0" w:color="auto"/>
                <w:bottom w:val="none" w:sz="0" w:space="0" w:color="auto"/>
                <w:right w:val="none" w:sz="0" w:space="0" w:color="auto"/>
              </w:divBdr>
            </w:div>
          </w:divsChild>
        </w:div>
        <w:div w:id="1983002578">
          <w:marLeft w:val="0"/>
          <w:marRight w:val="0"/>
          <w:marTop w:val="0"/>
          <w:marBottom w:val="0"/>
          <w:divBdr>
            <w:top w:val="none" w:sz="0" w:space="0" w:color="auto"/>
            <w:left w:val="none" w:sz="0" w:space="0" w:color="auto"/>
            <w:bottom w:val="none" w:sz="0" w:space="0" w:color="auto"/>
            <w:right w:val="none" w:sz="0" w:space="0" w:color="auto"/>
          </w:divBdr>
          <w:divsChild>
            <w:div w:id="2032099127">
              <w:marLeft w:val="0"/>
              <w:marRight w:val="0"/>
              <w:marTop w:val="0"/>
              <w:marBottom w:val="0"/>
              <w:divBdr>
                <w:top w:val="none" w:sz="0" w:space="0" w:color="auto"/>
                <w:left w:val="none" w:sz="0" w:space="0" w:color="auto"/>
                <w:bottom w:val="none" w:sz="0" w:space="0" w:color="auto"/>
                <w:right w:val="none" w:sz="0" w:space="0" w:color="auto"/>
              </w:divBdr>
            </w:div>
          </w:divsChild>
        </w:div>
        <w:div w:id="2024479190">
          <w:marLeft w:val="0"/>
          <w:marRight w:val="0"/>
          <w:marTop w:val="0"/>
          <w:marBottom w:val="0"/>
          <w:divBdr>
            <w:top w:val="none" w:sz="0" w:space="0" w:color="auto"/>
            <w:left w:val="none" w:sz="0" w:space="0" w:color="auto"/>
            <w:bottom w:val="none" w:sz="0" w:space="0" w:color="auto"/>
            <w:right w:val="none" w:sz="0" w:space="0" w:color="auto"/>
          </w:divBdr>
          <w:divsChild>
            <w:div w:id="2059547795">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1085221139">
              <w:marLeft w:val="0"/>
              <w:marRight w:val="0"/>
              <w:marTop w:val="0"/>
              <w:marBottom w:val="0"/>
              <w:divBdr>
                <w:top w:val="none" w:sz="0" w:space="0" w:color="auto"/>
                <w:left w:val="none" w:sz="0" w:space="0" w:color="auto"/>
                <w:bottom w:val="none" w:sz="0" w:space="0" w:color="auto"/>
                <w:right w:val="none" w:sz="0" w:space="0" w:color="auto"/>
              </w:divBdr>
            </w:div>
          </w:divsChild>
        </w:div>
        <w:div w:id="1550453160">
          <w:marLeft w:val="0"/>
          <w:marRight w:val="0"/>
          <w:marTop w:val="0"/>
          <w:marBottom w:val="0"/>
          <w:divBdr>
            <w:top w:val="none" w:sz="0" w:space="0" w:color="auto"/>
            <w:left w:val="none" w:sz="0" w:space="0" w:color="auto"/>
            <w:bottom w:val="none" w:sz="0" w:space="0" w:color="auto"/>
            <w:right w:val="none" w:sz="0" w:space="0" w:color="auto"/>
          </w:divBdr>
          <w:divsChild>
            <w:div w:id="2011592681">
              <w:marLeft w:val="0"/>
              <w:marRight w:val="0"/>
              <w:marTop w:val="0"/>
              <w:marBottom w:val="0"/>
              <w:divBdr>
                <w:top w:val="none" w:sz="0" w:space="0" w:color="auto"/>
                <w:left w:val="none" w:sz="0" w:space="0" w:color="auto"/>
                <w:bottom w:val="none" w:sz="0" w:space="0" w:color="auto"/>
                <w:right w:val="none" w:sz="0" w:space="0" w:color="auto"/>
              </w:divBdr>
            </w:div>
          </w:divsChild>
        </w:div>
        <w:div w:id="90468643">
          <w:marLeft w:val="0"/>
          <w:marRight w:val="0"/>
          <w:marTop w:val="0"/>
          <w:marBottom w:val="0"/>
          <w:divBdr>
            <w:top w:val="none" w:sz="0" w:space="0" w:color="auto"/>
            <w:left w:val="none" w:sz="0" w:space="0" w:color="auto"/>
            <w:bottom w:val="none" w:sz="0" w:space="0" w:color="auto"/>
            <w:right w:val="none" w:sz="0" w:space="0" w:color="auto"/>
          </w:divBdr>
          <w:divsChild>
            <w:div w:id="223496187">
              <w:marLeft w:val="0"/>
              <w:marRight w:val="0"/>
              <w:marTop w:val="0"/>
              <w:marBottom w:val="0"/>
              <w:divBdr>
                <w:top w:val="none" w:sz="0" w:space="0" w:color="auto"/>
                <w:left w:val="none" w:sz="0" w:space="0" w:color="auto"/>
                <w:bottom w:val="none" w:sz="0" w:space="0" w:color="auto"/>
                <w:right w:val="none" w:sz="0" w:space="0" w:color="auto"/>
              </w:divBdr>
            </w:div>
          </w:divsChild>
        </w:div>
        <w:div w:id="1818301059">
          <w:marLeft w:val="0"/>
          <w:marRight w:val="0"/>
          <w:marTop w:val="0"/>
          <w:marBottom w:val="0"/>
          <w:divBdr>
            <w:top w:val="none" w:sz="0" w:space="0" w:color="auto"/>
            <w:left w:val="none" w:sz="0" w:space="0" w:color="auto"/>
            <w:bottom w:val="none" w:sz="0" w:space="0" w:color="auto"/>
            <w:right w:val="none" w:sz="0" w:space="0" w:color="auto"/>
          </w:divBdr>
          <w:divsChild>
            <w:div w:id="120005527">
              <w:marLeft w:val="0"/>
              <w:marRight w:val="0"/>
              <w:marTop w:val="0"/>
              <w:marBottom w:val="0"/>
              <w:divBdr>
                <w:top w:val="none" w:sz="0" w:space="0" w:color="auto"/>
                <w:left w:val="none" w:sz="0" w:space="0" w:color="auto"/>
                <w:bottom w:val="none" w:sz="0" w:space="0" w:color="auto"/>
                <w:right w:val="none" w:sz="0" w:space="0" w:color="auto"/>
              </w:divBdr>
            </w:div>
          </w:divsChild>
        </w:div>
        <w:div w:id="1667323626">
          <w:marLeft w:val="0"/>
          <w:marRight w:val="0"/>
          <w:marTop w:val="0"/>
          <w:marBottom w:val="0"/>
          <w:divBdr>
            <w:top w:val="none" w:sz="0" w:space="0" w:color="auto"/>
            <w:left w:val="none" w:sz="0" w:space="0" w:color="auto"/>
            <w:bottom w:val="none" w:sz="0" w:space="0" w:color="auto"/>
            <w:right w:val="none" w:sz="0" w:space="0" w:color="auto"/>
          </w:divBdr>
          <w:divsChild>
            <w:div w:id="1260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8772">
      <w:bodyDiv w:val="1"/>
      <w:marLeft w:val="0"/>
      <w:marRight w:val="0"/>
      <w:marTop w:val="0"/>
      <w:marBottom w:val="0"/>
      <w:divBdr>
        <w:top w:val="none" w:sz="0" w:space="0" w:color="auto"/>
        <w:left w:val="none" w:sz="0" w:space="0" w:color="auto"/>
        <w:bottom w:val="none" w:sz="0" w:space="0" w:color="auto"/>
        <w:right w:val="none" w:sz="0" w:space="0" w:color="auto"/>
      </w:divBdr>
    </w:div>
    <w:div w:id="540872322">
      <w:bodyDiv w:val="1"/>
      <w:marLeft w:val="0"/>
      <w:marRight w:val="0"/>
      <w:marTop w:val="0"/>
      <w:marBottom w:val="0"/>
      <w:divBdr>
        <w:top w:val="none" w:sz="0" w:space="0" w:color="auto"/>
        <w:left w:val="none" w:sz="0" w:space="0" w:color="auto"/>
        <w:bottom w:val="none" w:sz="0" w:space="0" w:color="auto"/>
        <w:right w:val="none" w:sz="0" w:space="0" w:color="auto"/>
      </w:divBdr>
    </w:div>
    <w:div w:id="548807831">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59899692">
      <w:bodyDiv w:val="1"/>
      <w:marLeft w:val="0"/>
      <w:marRight w:val="0"/>
      <w:marTop w:val="0"/>
      <w:marBottom w:val="0"/>
      <w:divBdr>
        <w:top w:val="none" w:sz="0" w:space="0" w:color="auto"/>
        <w:left w:val="none" w:sz="0" w:space="0" w:color="auto"/>
        <w:bottom w:val="none" w:sz="0" w:space="0" w:color="auto"/>
        <w:right w:val="none" w:sz="0" w:space="0" w:color="auto"/>
      </w:divBdr>
    </w:div>
    <w:div w:id="566569451">
      <w:bodyDiv w:val="1"/>
      <w:marLeft w:val="0"/>
      <w:marRight w:val="0"/>
      <w:marTop w:val="0"/>
      <w:marBottom w:val="0"/>
      <w:divBdr>
        <w:top w:val="none" w:sz="0" w:space="0" w:color="auto"/>
        <w:left w:val="none" w:sz="0" w:space="0" w:color="auto"/>
        <w:bottom w:val="none" w:sz="0" w:space="0" w:color="auto"/>
        <w:right w:val="none" w:sz="0" w:space="0" w:color="auto"/>
      </w:divBdr>
    </w:div>
    <w:div w:id="580604358">
      <w:bodyDiv w:val="1"/>
      <w:marLeft w:val="0"/>
      <w:marRight w:val="0"/>
      <w:marTop w:val="0"/>
      <w:marBottom w:val="0"/>
      <w:divBdr>
        <w:top w:val="none" w:sz="0" w:space="0" w:color="auto"/>
        <w:left w:val="none" w:sz="0" w:space="0" w:color="auto"/>
        <w:bottom w:val="none" w:sz="0" w:space="0" w:color="auto"/>
        <w:right w:val="none" w:sz="0" w:space="0" w:color="auto"/>
      </w:divBdr>
    </w:div>
    <w:div w:id="592517283">
      <w:bodyDiv w:val="1"/>
      <w:marLeft w:val="0"/>
      <w:marRight w:val="0"/>
      <w:marTop w:val="0"/>
      <w:marBottom w:val="0"/>
      <w:divBdr>
        <w:top w:val="none" w:sz="0" w:space="0" w:color="auto"/>
        <w:left w:val="none" w:sz="0" w:space="0" w:color="auto"/>
        <w:bottom w:val="none" w:sz="0" w:space="0" w:color="auto"/>
        <w:right w:val="none" w:sz="0" w:space="0" w:color="auto"/>
      </w:divBdr>
    </w:div>
    <w:div w:id="595139112">
      <w:bodyDiv w:val="1"/>
      <w:marLeft w:val="0"/>
      <w:marRight w:val="0"/>
      <w:marTop w:val="0"/>
      <w:marBottom w:val="0"/>
      <w:divBdr>
        <w:top w:val="none" w:sz="0" w:space="0" w:color="auto"/>
        <w:left w:val="none" w:sz="0" w:space="0" w:color="auto"/>
        <w:bottom w:val="none" w:sz="0" w:space="0" w:color="auto"/>
        <w:right w:val="none" w:sz="0" w:space="0" w:color="auto"/>
      </w:divBdr>
    </w:div>
    <w:div w:id="607395886">
      <w:bodyDiv w:val="1"/>
      <w:marLeft w:val="0"/>
      <w:marRight w:val="0"/>
      <w:marTop w:val="0"/>
      <w:marBottom w:val="0"/>
      <w:divBdr>
        <w:top w:val="none" w:sz="0" w:space="0" w:color="auto"/>
        <w:left w:val="none" w:sz="0" w:space="0" w:color="auto"/>
        <w:bottom w:val="none" w:sz="0" w:space="0" w:color="auto"/>
        <w:right w:val="none" w:sz="0" w:space="0" w:color="auto"/>
      </w:divBdr>
    </w:div>
    <w:div w:id="622349519">
      <w:bodyDiv w:val="1"/>
      <w:marLeft w:val="0"/>
      <w:marRight w:val="0"/>
      <w:marTop w:val="0"/>
      <w:marBottom w:val="0"/>
      <w:divBdr>
        <w:top w:val="none" w:sz="0" w:space="0" w:color="auto"/>
        <w:left w:val="none" w:sz="0" w:space="0" w:color="auto"/>
        <w:bottom w:val="none" w:sz="0" w:space="0" w:color="auto"/>
        <w:right w:val="none" w:sz="0" w:space="0" w:color="auto"/>
      </w:divBdr>
    </w:div>
    <w:div w:id="625694098">
      <w:bodyDiv w:val="1"/>
      <w:marLeft w:val="0"/>
      <w:marRight w:val="0"/>
      <w:marTop w:val="0"/>
      <w:marBottom w:val="0"/>
      <w:divBdr>
        <w:top w:val="none" w:sz="0" w:space="0" w:color="auto"/>
        <w:left w:val="none" w:sz="0" w:space="0" w:color="auto"/>
        <w:bottom w:val="none" w:sz="0" w:space="0" w:color="auto"/>
        <w:right w:val="none" w:sz="0" w:space="0" w:color="auto"/>
      </w:divBdr>
    </w:div>
    <w:div w:id="630985374">
      <w:bodyDiv w:val="1"/>
      <w:marLeft w:val="0"/>
      <w:marRight w:val="0"/>
      <w:marTop w:val="0"/>
      <w:marBottom w:val="0"/>
      <w:divBdr>
        <w:top w:val="none" w:sz="0" w:space="0" w:color="auto"/>
        <w:left w:val="none" w:sz="0" w:space="0" w:color="auto"/>
        <w:bottom w:val="none" w:sz="0" w:space="0" w:color="auto"/>
        <w:right w:val="none" w:sz="0" w:space="0" w:color="auto"/>
      </w:divBdr>
    </w:div>
    <w:div w:id="642194171">
      <w:bodyDiv w:val="1"/>
      <w:marLeft w:val="0"/>
      <w:marRight w:val="0"/>
      <w:marTop w:val="0"/>
      <w:marBottom w:val="0"/>
      <w:divBdr>
        <w:top w:val="none" w:sz="0" w:space="0" w:color="auto"/>
        <w:left w:val="none" w:sz="0" w:space="0" w:color="auto"/>
        <w:bottom w:val="none" w:sz="0" w:space="0" w:color="auto"/>
        <w:right w:val="none" w:sz="0" w:space="0" w:color="auto"/>
      </w:divBdr>
    </w:div>
    <w:div w:id="644162629">
      <w:bodyDiv w:val="1"/>
      <w:marLeft w:val="0"/>
      <w:marRight w:val="0"/>
      <w:marTop w:val="0"/>
      <w:marBottom w:val="0"/>
      <w:divBdr>
        <w:top w:val="none" w:sz="0" w:space="0" w:color="auto"/>
        <w:left w:val="none" w:sz="0" w:space="0" w:color="auto"/>
        <w:bottom w:val="none" w:sz="0" w:space="0" w:color="auto"/>
        <w:right w:val="none" w:sz="0" w:space="0" w:color="auto"/>
      </w:divBdr>
    </w:div>
    <w:div w:id="664894713">
      <w:bodyDiv w:val="1"/>
      <w:marLeft w:val="0"/>
      <w:marRight w:val="0"/>
      <w:marTop w:val="0"/>
      <w:marBottom w:val="0"/>
      <w:divBdr>
        <w:top w:val="none" w:sz="0" w:space="0" w:color="auto"/>
        <w:left w:val="none" w:sz="0" w:space="0" w:color="auto"/>
        <w:bottom w:val="none" w:sz="0" w:space="0" w:color="auto"/>
        <w:right w:val="none" w:sz="0" w:space="0" w:color="auto"/>
      </w:divBdr>
    </w:div>
    <w:div w:id="668140955">
      <w:bodyDiv w:val="1"/>
      <w:marLeft w:val="0"/>
      <w:marRight w:val="0"/>
      <w:marTop w:val="0"/>
      <w:marBottom w:val="0"/>
      <w:divBdr>
        <w:top w:val="none" w:sz="0" w:space="0" w:color="auto"/>
        <w:left w:val="none" w:sz="0" w:space="0" w:color="auto"/>
        <w:bottom w:val="none" w:sz="0" w:space="0" w:color="auto"/>
        <w:right w:val="none" w:sz="0" w:space="0" w:color="auto"/>
      </w:divBdr>
    </w:div>
    <w:div w:id="677775768">
      <w:bodyDiv w:val="1"/>
      <w:marLeft w:val="0"/>
      <w:marRight w:val="0"/>
      <w:marTop w:val="0"/>
      <w:marBottom w:val="0"/>
      <w:divBdr>
        <w:top w:val="none" w:sz="0" w:space="0" w:color="auto"/>
        <w:left w:val="none" w:sz="0" w:space="0" w:color="auto"/>
        <w:bottom w:val="none" w:sz="0" w:space="0" w:color="auto"/>
        <w:right w:val="none" w:sz="0" w:space="0" w:color="auto"/>
      </w:divBdr>
    </w:div>
    <w:div w:id="688799105">
      <w:bodyDiv w:val="1"/>
      <w:marLeft w:val="0"/>
      <w:marRight w:val="0"/>
      <w:marTop w:val="0"/>
      <w:marBottom w:val="0"/>
      <w:divBdr>
        <w:top w:val="none" w:sz="0" w:space="0" w:color="auto"/>
        <w:left w:val="none" w:sz="0" w:space="0" w:color="auto"/>
        <w:bottom w:val="none" w:sz="0" w:space="0" w:color="auto"/>
        <w:right w:val="none" w:sz="0" w:space="0" w:color="auto"/>
      </w:divBdr>
      <w:divsChild>
        <w:div w:id="412437772">
          <w:marLeft w:val="0"/>
          <w:marRight w:val="0"/>
          <w:marTop w:val="0"/>
          <w:marBottom w:val="0"/>
          <w:divBdr>
            <w:top w:val="none" w:sz="0" w:space="0" w:color="auto"/>
            <w:left w:val="none" w:sz="0" w:space="0" w:color="auto"/>
            <w:bottom w:val="none" w:sz="0" w:space="0" w:color="auto"/>
            <w:right w:val="none" w:sz="0" w:space="0" w:color="auto"/>
          </w:divBdr>
          <w:divsChild>
            <w:div w:id="12837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3579">
      <w:bodyDiv w:val="1"/>
      <w:marLeft w:val="0"/>
      <w:marRight w:val="0"/>
      <w:marTop w:val="0"/>
      <w:marBottom w:val="0"/>
      <w:divBdr>
        <w:top w:val="none" w:sz="0" w:space="0" w:color="auto"/>
        <w:left w:val="none" w:sz="0" w:space="0" w:color="auto"/>
        <w:bottom w:val="none" w:sz="0" w:space="0" w:color="auto"/>
        <w:right w:val="none" w:sz="0" w:space="0" w:color="auto"/>
      </w:divBdr>
    </w:div>
    <w:div w:id="704214792">
      <w:bodyDiv w:val="1"/>
      <w:marLeft w:val="0"/>
      <w:marRight w:val="0"/>
      <w:marTop w:val="0"/>
      <w:marBottom w:val="0"/>
      <w:divBdr>
        <w:top w:val="none" w:sz="0" w:space="0" w:color="auto"/>
        <w:left w:val="none" w:sz="0" w:space="0" w:color="auto"/>
        <w:bottom w:val="none" w:sz="0" w:space="0" w:color="auto"/>
        <w:right w:val="none" w:sz="0" w:space="0" w:color="auto"/>
      </w:divBdr>
    </w:div>
    <w:div w:id="718360793">
      <w:bodyDiv w:val="1"/>
      <w:marLeft w:val="0"/>
      <w:marRight w:val="0"/>
      <w:marTop w:val="0"/>
      <w:marBottom w:val="0"/>
      <w:divBdr>
        <w:top w:val="none" w:sz="0" w:space="0" w:color="auto"/>
        <w:left w:val="none" w:sz="0" w:space="0" w:color="auto"/>
        <w:bottom w:val="none" w:sz="0" w:space="0" w:color="auto"/>
        <w:right w:val="none" w:sz="0" w:space="0" w:color="auto"/>
      </w:divBdr>
    </w:div>
    <w:div w:id="720906858">
      <w:bodyDiv w:val="1"/>
      <w:marLeft w:val="0"/>
      <w:marRight w:val="0"/>
      <w:marTop w:val="0"/>
      <w:marBottom w:val="0"/>
      <w:divBdr>
        <w:top w:val="none" w:sz="0" w:space="0" w:color="auto"/>
        <w:left w:val="none" w:sz="0" w:space="0" w:color="auto"/>
        <w:bottom w:val="none" w:sz="0" w:space="0" w:color="auto"/>
        <w:right w:val="none" w:sz="0" w:space="0" w:color="auto"/>
      </w:divBdr>
    </w:div>
    <w:div w:id="722021591">
      <w:bodyDiv w:val="1"/>
      <w:marLeft w:val="0"/>
      <w:marRight w:val="0"/>
      <w:marTop w:val="0"/>
      <w:marBottom w:val="0"/>
      <w:divBdr>
        <w:top w:val="none" w:sz="0" w:space="0" w:color="auto"/>
        <w:left w:val="none" w:sz="0" w:space="0" w:color="auto"/>
        <w:bottom w:val="none" w:sz="0" w:space="0" w:color="auto"/>
        <w:right w:val="none" w:sz="0" w:space="0" w:color="auto"/>
      </w:divBdr>
    </w:div>
    <w:div w:id="733087651">
      <w:bodyDiv w:val="1"/>
      <w:marLeft w:val="0"/>
      <w:marRight w:val="0"/>
      <w:marTop w:val="0"/>
      <w:marBottom w:val="0"/>
      <w:divBdr>
        <w:top w:val="none" w:sz="0" w:space="0" w:color="auto"/>
        <w:left w:val="none" w:sz="0" w:space="0" w:color="auto"/>
        <w:bottom w:val="none" w:sz="0" w:space="0" w:color="auto"/>
        <w:right w:val="none" w:sz="0" w:space="0" w:color="auto"/>
      </w:divBdr>
    </w:div>
    <w:div w:id="771626155">
      <w:bodyDiv w:val="1"/>
      <w:marLeft w:val="0"/>
      <w:marRight w:val="0"/>
      <w:marTop w:val="0"/>
      <w:marBottom w:val="0"/>
      <w:divBdr>
        <w:top w:val="none" w:sz="0" w:space="0" w:color="auto"/>
        <w:left w:val="none" w:sz="0" w:space="0" w:color="auto"/>
        <w:bottom w:val="none" w:sz="0" w:space="0" w:color="auto"/>
        <w:right w:val="none" w:sz="0" w:space="0" w:color="auto"/>
      </w:divBdr>
    </w:div>
    <w:div w:id="775950707">
      <w:bodyDiv w:val="1"/>
      <w:marLeft w:val="0"/>
      <w:marRight w:val="0"/>
      <w:marTop w:val="0"/>
      <w:marBottom w:val="0"/>
      <w:divBdr>
        <w:top w:val="none" w:sz="0" w:space="0" w:color="auto"/>
        <w:left w:val="none" w:sz="0" w:space="0" w:color="auto"/>
        <w:bottom w:val="none" w:sz="0" w:space="0" w:color="auto"/>
        <w:right w:val="none" w:sz="0" w:space="0" w:color="auto"/>
      </w:divBdr>
    </w:div>
    <w:div w:id="784230773">
      <w:bodyDiv w:val="1"/>
      <w:marLeft w:val="0"/>
      <w:marRight w:val="0"/>
      <w:marTop w:val="0"/>
      <w:marBottom w:val="0"/>
      <w:divBdr>
        <w:top w:val="none" w:sz="0" w:space="0" w:color="auto"/>
        <w:left w:val="none" w:sz="0" w:space="0" w:color="auto"/>
        <w:bottom w:val="none" w:sz="0" w:space="0" w:color="auto"/>
        <w:right w:val="none" w:sz="0" w:space="0" w:color="auto"/>
      </w:divBdr>
    </w:div>
    <w:div w:id="791628421">
      <w:bodyDiv w:val="1"/>
      <w:marLeft w:val="0"/>
      <w:marRight w:val="0"/>
      <w:marTop w:val="0"/>
      <w:marBottom w:val="0"/>
      <w:divBdr>
        <w:top w:val="none" w:sz="0" w:space="0" w:color="auto"/>
        <w:left w:val="none" w:sz="0" w:space="0" w:color="auto"/>
        <w:bottom w:val="none" w:sz="0" w:space="0" w:color="auto"/>
        <w:right w:val="none" w:sz="0" w:space="0" w:color="auto"/>
      </w:divBdr>
    </w:div>
    <w:div w:id="822547911">
      <w:bodyDiv w:val="1"/>
      <w:marLeft w:val="0"/>
      <w:marRight w:val="0"/>
      <w:marTop w:val="0"/>
      <w:marBottom w:val="0"/>
      <w:divBdr>
        <w:top w:val="none" w:sz="0" w:space="0" w:color="auto"/>
        <w:left w:val="none" w:sz="0" w:space="0" w:color="auto"/>
        <w:bottom w:val="none" w:sz="0" w:space="0" w:color="auto"/>
        <w:right w:val="none" w:sz="0" w:space="0" w:color="auto"/>
      </w:divBdr>
    </w:div>
    <w:div w:id="845707722">
      <w:bodyDiv w:val="1"/>
      <w:marLeft w:val="0"/>
      <w:marRight w:val="0"/>
      <w:marTop w:val="0"/>
      <w:marBottom w:val="0"/>
      <w:divBdr>
        <w:top w:val="none" w:sz="0" w:space="0" w:color="auto"/>
        <w:left w:val="none" w:sz="0" w:space="0" w:color="auto"/>
        <w:bottom w:val="none" w:sz="0" w:space="0" w:color="auto"/>
        <w:right w:val="none" w:sz="0" w:space="0" w:color="auto"/>
      </w:divBdr>
    </w:div>
    <w:div w:id="849759665">
      <w:bodyDiv w:val="1"/>
      <w:marLeft w:val="0"/>
      <w:marRight w:val="0"/>
      <w:marTop w:val="0"/>
      <w:marBottom w:val="0"/>
      <w:divBdr>
        <w:top w:val="none" w:sz="0" w:space="0" w:color="auto"/>
        <w:left w:val="none" w:sz="0" w:space="0" w:color="auto"/>
        <w:bottom w:val="none" w:sz="0" w:space="0" w:color="auto"/>
        <w:right w:val="none" w:sz="0" w:space="0" w:color="auto"/>
      </w:divBdr>
    </w:div>
    <w:div w:id="850417544">
      <w:bodyDiv w:val="1"/>
      <w:marLeft w:val="0"/>
      <w:marRight w:val="0"/>
      <w:marTop w:val="0"/>
      <w:marBottom w:val="0"/>
      <w:divBdr>
        <w:top w:val="none" w:sz="0" w:space="0" w:color="auto"/>
        <w:left w:val="none" w:sz="0" w:space="0" w:color="auto"/>
        <w:bottom w:val="none" w:sz="0" w:space="0" w:color="auto"/>
        <w:right w:val="none" w:sz="0" w:space="0" w:color="auto"/>
      </w:divBdr>
    </w:div>
    <w:div w:id="865681477">
      <w:bodyDiv w:val="1"/>
      <w:marLeft w:val="0"/>
      <w:marRight w:val="0"/>
      <w:marTop w:val="0"/>
      <w:marBottom w:val="0"/>
      <w:divBdr>
        <w:top w:val="none" w:sz="0" w:space="0" w:color="auto"/>
        <w:left w:val="none" w:sz="0" w:space="0" w:color="auto"/>
        <w:bottom w:val="none" w:sz="0" w:space="0" w:color="auto"/>
        <w:right w:val="none" w:sz="0" w:space="0" w:color="auto"/>
      </w:divBdr>
    </w:div>
    <w:div w:id="868686459">
      <w:bodyDiv w:val="1"/>
      <w:marLeft w:val="0"/>
      <w:marRight w:val="0"/>
      <w:marTop w:val="0"/>
      <w:marBottom w:val="0"/>
      <w:divBdr>
        <w:top w:val="none" w:sz="0" w:space="0" w:color="auto"/>
        <w:left w:val="none" w:sz="0" w:space="0" w:color="auto"/>
        <w:bottom w:val="none" w:sz="0" w:space="0" w:color="auto"/>
        <w:right w:val="none" w:sz="0" w:space="0" w:color="auto"/>
      </w:divBdr>
    </w:div>
    <w:div w:id="878007450">
      <w:bodyDiv w:val="1"/>
      <w:marLeft w:val="0"/>
      <w:marRight w:val="0"/>
      <w:marTop w:val="0"/>
      <w:marBottom w:val="0"/>
      <w:divBdr>
        <w:top w:val="none" w:sz="0" w:space="0" w:color="auto"/>
        <w:left w:val="none" w:sz="0" w:space="0" w:color="auto"/>
        <w:bottom w:val="none" w:sz="0" w:space="0" w:color="auto"/>
        <w:right w:val="none" w:sz="0" w:space="0" w:color="auto"/>
      </w:divBdr>
    </w:div>
    <w:div w:id="880945108">
      <w:bodyDiv w:val="1"/>
      <w:marLeft w:val="0"/>
      <w:marRight w:val="0"/>
      <w:marTop w:val="0"/>
      <w:marBottom w:val="0"/>
      <w:divBdr>
        <w:top w:val="none" w:sz="0" w:space="0" w:color="auto"/>
        <w:left w:val="none" w:sz="0" w:space="0" w:color="auto"/>
        <w:bottom w:val="none" w:sz="0" w:space="0" w:color="auto"/>
        <w:right w:val="none" w:sz="0" w:space="0" w:color="auto"/>
      </w:divBdr>
    </w:div>
    <w:div w:id="891233587">
      <w:bodyDiv w:val="1"/>
      <w:marLeft w:val="0"/>
      <w:marRight w:val="0"/>
      <w:marTop w:val="0"/>
      <w:marBottom w:val="0"/>
      <w:divBdr>
        <w:top w:val="none" w:sz="0" w:space="0" w:color="auto"/>
        <w:left w:val="none" w:sz="0" w:space="0" w:color="auto"/>
        <w:bottom w:val="none" w:sz="0" w:space="0" w:color="auto"/>
        <w:right w:val="none" w:sz="0" w:space="0" w:color="auto"/>
      </w:divBdr>
    </w:div>
    <w:div w:id="897983300">
      <w:bodyDiv w:val="1"/>
      <w:marLeft w:val="0"/>
      <w:marRight w:val="0"/>
      <w:marTop w:val="0"/>
      <w:marBottom w:val="0"/>
      <w:divBdr>
        <w:top w:val="none" w:sz="0" w:space="0" w:color="auto"/>
        <w:left w:val="none" w:sz="0" w:space="0" w:color="auto"/>
        <w:bottom w:val="none" w:sz="0" w:space="0" w:color="auto"/>
        <w:right w:val="none" w:sz="0" w:space="0" w:color="auto"/>
      </w:divBdr>
    </w:div>
    <w:div w:id="898134015">
      <w:bodyDiv w:val="1"/>
      <w:marLeft w:val="0"/>
      <w:marRight w:val="0"/>
      <w:marTop w:val="0"/>
      <w:marBottom w:val="0"/>
      <w:divBdr>
        <w:top w:val="none" w:sz="0" w:space="0" w:color="auto"/>
        <w:left w:val="none" w:sz="0" w:space="0" w:color="auto"/>
        <w:bottom w:val="none" w:sz="0" w:space="0" w:color="auto"/>
        <w:right w:val="none" w:sz="0" w:space="0" w:color="auto"/>
      </w:divBdr>
    </w:div>
    <w:div w:id="907032969">
      <w:bodyDiv w:val="1"/>
      <w:marLeft w:val="0"/>
      <w:marRight w:val="0"/>
      <w:marTop w:val="0"/>
      <w:marBottom w:val="0"/>
      <w:divBdr>
        <w:top w:val="none" w:sz="0" w:space="0" w:color="auto"/>
        <w:left w:val="none" w:sz="0" w:space="0" w:color="auto"/>
        <w:bottom w:val="none" w:sz="0" w:space="0" w:color="auto"/>
        <w:right w:val="none" w:sz="0" w:space="0" w:color="auto"/>
      </w:divBdr>
    </w:div>
    <w:div w:id="912736586">
      <w:bodyDiv w:val="1"/>
      <w:marLeft w:val="0"/>
      <w:marRight w:val="0"/>
      <w:marTop w:val="0"/>
      <w:marBottom w:val="0"/>
      <w:divBdr>
        <w:top w:val="none" w:sz="0" w:space="0" w:color="auto"/>
        <w:left w:val="none" w:sz="0" w:space="0" w:color="auto"/>
        <w:bottom w:val="none" w:sz="0" w:space="0" w:color="auto"/>
        <w:right w:val="none" w:sz="0" w:space="0" w:color="auto"/>
      </w:divBdr>
    </w:div>
    <w:div w:id="917254986">
      <w:bodyDiv w:val="1"/>
      <w:marLeft w:val="0"/>
      <w:marRight w:val="0"/>
      <w:marTop w:val="0"/>
      <w:marBottom w:val="0"/>
      <w:divBdr>
        <w:top w:val="none" w:sz="0" w:space="0" w:color="auto"/>
        <w:left w:val="none" w:sz="0" w:space="0" w:color="auto"/>
        <w:bottom w:val="none" w:sz="0" w:space="0" w:color="auto"/>
        <w:right w:val="none" w:sz="0" w:space="0" w:color="auto"/>
      </w:divBdr>
    </w:div>
    <w:div w:id="920724430">
      <w:bodyDiv w:val="1"/>
      <w:marLeft w:val="0"/>
      <w:marRight w:val="0"/>
      <w:marTop w:val="0"/>
      <w:marBottom w:val="0"/>
      <w:divBdr>
        <w:top w:val="none" w:sz="0" w:space="0" w:color="auto"/>
        <w:left w:val="none" w:sz="0" w:space="0" w:color="auto"/>
        <w:bottom w:val="none" w:sz="0" w:space="0" w:color="auto"/>
        <w:right w:val="none" w:sz="0" w:space="0" w:color="auto"/>
      </w:divBdr>
    </w:div>
    <w:div w:id="958221764">
      <w:bodyDiv w:val="1"/>
      <w:marLeft w:val="0"/>
      <w:marRight w:val="0"/>
      <w:marTop w:val="0"/>
      <w:marBottom w:val="0"/>
      <w:divBdr>
        <w:top w:val="none" w:sz="0" w:space="0" w:color="auto"/>
        <w:left w:val="none" w:sz="0" w:space="0" w:color="auto"/>
        <w:bottom w:val="none" w:sz="0" w:space="0" w:color="auto"/>
        <w:right w:val="none" w:sz="0" w:space="0" w:color="auto"/>
      </w:divBdr>
    </w:div>
    <w:div w:id="960264734">
      <w:bodyDiv w:val="1"/>
      <w:marLeft w:val="0"/>
      <w:marRight w:val="0"/>
      <w:marTop w:val="0"/>
      <w:marBottom w:val="0"/>
      <w:divBdr>
        <w:top w:val="none" w:sz="0" w:space="0" w:color="auto"/>
        <w:left w:val="none" w:sz="0" w:space="0" w:color="auto"/>
        <w:bottom w:val="none" w:sz="0" w:space="0" w:color="auto"/>
        <w:right w:val="none" w:sz="0" w:space="0" w:color="auto"/>
      </w:divBdr>
    </w:div>
    <w:div w:id="974333227">
      <w:bodyDiv w:val="1"/>
      <w:marLeft w:val="0"/>
      <w:marRight w:val="0"/>
      <w:marTop w:val="0"/>
      <w:marBottom w:val="0"/>
      <w:divBdr>
        <w:top w:val="none" w:sz="0" w:space="0" w:color="auto"/>
        <w:left w:val="none" w:sz="0" w:space="0" w:color="auto"/>
        <w:bottom w:val="none" w:sz="0" w:space="0" w:color="auto"/>
        <w:right w:val="none" w:sz="0" w:space="0" w:color="auto"/>
      </w:divBdr>
    </w:div>
    <w:div w:id="993946471">
      <w:bodyDiv w:val="1"/>
      <w:marLeft w:val="0"/>
      <w:marRight w:val="0"/>
      <w:marTop w:val="0"/>
      <w:marBottom w:val="0"/>
      <w:divBdr>
        <w:top w:val="none" w:sz="0" w:space="0" w:color="auto"/>
        <w:left w:val="none" w:sz="0" w:space="0" w:color="auto"/>
        <w:bottom w:val="none" w:sz="0" w:space="0" w:color="auto"/>
        <w:right w:val="none" w:sz="0" w:space="0" w:color="auto"/>
      </w:divBdr>
    </w:div>
    <w:div w:id="1018657452">
      <w:bodyDiv w:val="1"/>
      <w:marLeft w:val="0"/>
      <w:marRight w:val="0"/>
      <w:marTop w:val="0"/>
      <w:marBottom w:val="0"/>
      <w:divBdr>
        <w:top w:val="none" w:sz="0" w:space="0" w:color="auto"/>
        <w:left w:val="none" w:sz="0" w:space="0" w:color="auto"/>
        <w:bottom w:val="none" w:sz="0" w:space="0" w:color="auto"/>
        <w:right w:val="none" w:sz="0" w:space="0" w:color="auto"/>
      </w:divBdr>
    </w:div>
    <w:div w:id="1022509570">
      <w:bodyDiv w:val="1"/>
      <w:marLeft w:val="0"/>
      <w:marRight w:val="0"/>
      <w:marTop w:val="0"/>
      <w:marBottom w:val="0"/>
      <w:divBdr>
        <w:top w:val="none" w:sz="0" w:space="0" w:color="auto"/>
        <w:left w:val="none" w:sz="0" w:space="0" w:color="auto"/>
        <w:bottom w:val="none" w:sz="0" w:space="0" w:color="auto"/>
        <w:right w:val="none" w:sz="0" w:space="0" w:color="auto"/>
      </w:divBdr>
    </w:div>
    <w:div w:id="1022634396">
      <w:bodyDiv w:val="1"/>
      <w:marLeft w:val="0"/>
      <w:marRight w:val="0"/>
      <w:marTop w:val="0"/>
      <w:marBottom w:val="0"/>
      <w:divBdr>
        <w:top w:val="none" w:sz="0" w:space="0" w:color="auto"/>
        <w:left w:val="none" w:sz="0" w:space="0" w:color="auto"/>
        <w:bottom w:val="none" w:sz="0" w:space="0" w:color="auto"/>
        <w:right w:val="none" w:sz="0" w:space="0" w:color="auto"/>
      </w:divBdr>
    </w:div>
    <w:div w:id="1046758690">
      <w:bodyDiv w:val="1"/>
      <w:marLeft w:val="0"/>
      <w:marRight w:val="0"/>
      <w:marTop w:val="0"/>
      <w:marBottom w:val="0"/>
      <w:divBdr>
        <w:top w:val="none" w:sz="0" w:space="0" w:color="auto"/>
        <w:left w:val="none" w:sz="0" w:space="0" w:color="auto"/>
        <w:bottom w:val="none" w:sz="0" w:space="0" w:color="auto"/>
        <w:right w:val="none" w:sz="0" w:space="0" w:color="auto"/>
      </w:divBdr>
    </w:div>
    <w:div w:id="1064134652">
      <w:bodyDiv w:val="1"/>
      <w:marLeft w:val="0"/>
      <w:marRight w:val="0"/>
      <w:marTop w:val="0"/>
      <w:marBottom w:val="0"/>
      <w:divBdr>
        <w:top w:val="none" w:sz="0" w:space="0" w:color="auto"/>
        <w:left w:val="none" w:sz="0" w:space="0" w:color="auto"/>
        <w:bottom w:val="none" w:sz="0" w:space="0" w:color="auto"/>
        <w:right w:val="none" w:sz="0" w:space="0" w:color="auto"/>
      </w:divBdr>
    </w:div>
    <w:div w:id="1064451559">
      <w:bodyDiv w:val="1"/>
      <w:marLeft w:val="0"/>
      <w:marRight w:val="0"/>
      <w:marTop w:val="0"/>
      <w:marBottom w:val="0"/>
      <w:divBdr>
        <w:top w:val="none" w:sz="0" w:space="0" w:color="auto"/>
        <w:left w:val="none" w:sz="0" w:space="0" w:color="auto"/>
        <w:bottom w:val="none" w:sz="0" w:space="0" w:color="auto"/>
        <w:right w:val="none" w:sz="0" w:space="0" w:color="auto"/>
      </w:divBdr>
    </w:div>
    <w:div w:id="1080979856">
      <w:bodyDiv w:val="1"/>
      <w:marLeft w:val="0"/>
      <w:marRight w:val="0"/>
      <w:marTop w:val="0"/>
      <w:marBottom w:val="0"/>
      <w:divBdr>
        <w:top w:val="none" w:sz="0" w:space="0" w:color="auto"/>
        <w:left w:val="none" w:sz="0" w:space="0" w:color="auto"/>
        <w:bottom w:val="none" w:sz="0" w:space="0" w:color="auto"/>
        <w:right w:val="none" w:sz="0" w:space="0" w:color="auto"/>
      </w:divBdr>
      <w:divsChild>
        <w:div w:id="1318918948">
          <w:marLeft w:val="0"/>
          <w:marRight w:val="0"/>
          <w:marTop w:val="0"/>
          <w:marBottom w:val="0"/>
          <w:divBdr>
            <w:top w:val="none" w:sz="0" w:space="0" w:color="auto"/>
            <w:left w:val="none" w:sz="0" w:space="0" w:color="auto"/>
            <w:bottom w:val="none" w:sz="0" w:space="0" w:color="auto"/>
            <w:right w:val="none" w:sz="0" w:space="0" w:color="auto"/>
          </w:divBdr>
          <w:divsChild>
            <w:div w:id="525871632">
              <w:marLeft w:val="0"/>
              <w:marRight w:val="0"/>
              <w:marTop w:val="0"/>
              <w:marBottom w:val="0"/>
              <w:divBdr>
                <w:top w:val="none" w:sz="0" w:space="0" w:color="auto"/>
                <w:left w:val="none" w:sz="0" w:space="0" w:color="auto"/>
                <w:bottom w:val="none" w:sz="0" w:space="0" w:color="auto"/>
                <w:right w:val="none" w:sz="0" w:space="0" w:color="auto"/>
              </w:divBdr>
              <w:divsChild>
                <w:div w:id="11757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1163">
      <w:bodyDiv w:val="1"/>
      <w:marLeft w:val="0"/>
      <w:marRight w:val="0"/>
      <w:marTop w:val="0"/>
      <w:marBottom w:val="0"/>
      <w:divBdr>
        <w:top w:val="none" w:sz="0" w:space="0" w:color="auto"/>
        <w:left w:val="none" w:sz="0" w:space="0" w:color="auto"/>
        <w:bottom w:val="none" w:sz="0" w:space="0" w:color="auto"/>
        <w:right w:val="none" w:sz="0" w:space="0" w:color="auto"/>
      </w:divBdr>
    </w:div>
    <w:div w:id="1117916419">
      <w:bodyDiv w:val="1"/>
      <w:marLeft w:val="0"/>
      <w:marRight w:val="0"/>
      <w:marTop w:val="0"/>
      <w:marBottom w:val="0"/>
      <w:divBdr>
        <w:top w:val="none" w:sz="0" w:space="0" w:color="auto"/>
        <w:left w:val="none" w:sz="0" w:space="0" w:color="auto"/>
        <w:bottom w:val="none" w:sz="0" w:space="0" w:color="auto"/>
        <w:right w:val="none" w:sz="0" w:space="0" w:color="auto"/>
      </w:divBdr>
    </w:div>
    <w:div w:id="1124037730">
      <w:bodyDiv w:val="1"/>
      <w:marLeft w:val="0"/>
      <w:marRight w:val="0"/>
      <w:marTop w:val="0"/>
      <w:marBottom w:val="0"/>
      <w:divBdr>
        <w:top w:val="none" w:sz="0" w:space="0" w:color="auto"/>
        <w:left w:val="none" w:sz="0" w:space="0" w:color="auto"/>
        <w:bottom w:val="none" w:sz="0" w:space="0" w:color="auto"/>
        <w:right w:val="none" w:sz="0" w:space="0" w:color="auto"/>
      </w:divBdr>
    </w:div>
    <w:div w:id="1127314992">
      <w:bodyDiv w:val="1"/>
      <w:marLeft w:val="0"/>
      <w:marRight w:val="0"/>
      <w:marTop w:val="0"/>
      <w:marBottom w:val="0"/>
      <w:divBdr>
        <w:top w:val="none" w:sz="0" w:space="0" w:color="auto"/>
        <w:left w:val="none" w:sz="0" w:space="0" w:color="auto"/>
        <w:bottom w:val="none" w:sz="0" w:space="0" w:color="auto"/>
        <w:right w:val="none" w:sz="0" w:space="0" w:color="auto"/>
      </w:divBdr>
      <w:divsChild>
        <w:div w:id="806700208">
          <w:marLeft w:val="0"/>
          <w:marRight w:val="0"/>
          <w:marTop w:val="0"/>
          <w:marBottom w:val="0"/>
          <w:divBdr>
            <w:top w:val="none" w:sz="0" w:space="0" w:color="auto"/>
            <w:left w:val="none" w:sz="0" w:space="0" w:color="auto"/>
            <w:bottom w:val="none" w:sz="0" w:space="0" w:color="auto"/>
            <w:right w:val="none" w:sz="0" w:space="0" w:color="auto"/>
          </w:divBdr>
          <w:divsChild>
            <w:div w:id="13300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5553">
      <w:bodyDiv w:val="1"/>
      <w:marLeft w:val="0"/>
      <w:marRight w:val="0"/>
      <w:marTop w:val="0"/>
      <w:marBottom w:val="0"/>
      <w:divBdr>
        <w:top w:val="none" w:sz="0" w:space="0" w:color="auto"/>
        <w:left w:val="none" w:sz="0" w:space="0" w:color="auto"/>
        <w:bottom w:val="none" w:sz="0" w:space="0" w:color="auto"/>
        <w:right w:val="none" w:sz="0" w:space="0" w:color="auto"/>
      </w:divBdr>
    </w:div>
    <w:div w:id="1157721177">
      <w:bodyDiv w:val="1"/>
      <w:marLeft w:val="0"/>
      <w:marRight w:val="0"/>
      <w:marTop w:val="0"/>
      <w:marBottom w:val="0"/>
      <w:divBdr>
        <w:top w:val="none" w:sz="0" w:space="0" w:color="auto"/>
        <w:left w:val="none" w:sz="0" w:space="0" w:color="auto"/>
        <w:bottom w:val="none" w:sz="0" w:space="0" w:color="auto"/>
        <w:right w:val="none" w:sz="0" w:space="0" w:color="auto"/>
      </w:divBdr>
    </w:div>
    <w:div w:id="1158838109">
      <w:bodyDiv w:val="1"/>
      <w:marLeft w:val="0"/>
      <w:marRight w:val="0"/>
      <w:marTop w:val="0"/>
      <w:marBottom w:val="0"/>
      <w:divBdr>
        <w:top w:val="none" w:sz="0" w:space="0" w:color="auto"/>
        <w:left w:val="none" w:sz="0" w:space="0" w:color="auto"/>
        <w:bottom w:val="none" w:sz="0" w:space="0" w:color="auto"/>
        <w:right w:val="none" w:sz="0" w:space="0" w:color="auto"/>
      </w:divBdr>
    </w:div>
    <w:div w:id="1160731735">
      <w:bodyDiv w:val="1"/>
      <w:marLeft w:val="0"/>
      <w:marRight w:val="0"/>
      <w:marTop w:val="0"/>
      <w:marBottom w:val="0"/>
      <w:divBdr>
        <w:top w:val="none" w:sz="0" w:space="0" w:color="auto"/>
        <w:left w:val="none" w:sz="0" w:space="0" w:color="auto"/>
        <w:bottom w:val="none" w:sz="0" w:space="0" w:color="auto"/>
        <w:right w:val="none" w:sz="0" w:space="0" w:color="auto"/>
      </w:divBdr>
    </w:div>
    <w:div w:id="1162739816">
      <w:bodyDiv w:val="1"/>
      <w:marLeft w:val="0"/>
      <w:marRight w:val="0"/>
      <w:marTop w:val="0"/>
      <w:marBottom w:val="0"/>
      <w:divBdr>
        <w:top w:val="none" w:sz="0" w:space="0" w:color="auto"/>
        <w:left w:val="none" w:sz="0" w:space="0" w:color="auto"/>
        <w:bottom w:val="none" w:sz="0" w:space="0" w:color="auto"/>
        <w:right w:val="none" w:sz="0" w:space="0" w:color="auto"/>
      </w:divBdr>
    </w:div>
    <w:div w:id="1163083528">
      <w:bodyDiv w:val="1"/>
      <w:marLeft w:val="0"/>
      <w:marRight w:val="0"/>
      <w:marTop w:val="0"/>
      <w:marBottom w:val="0"/>
      <w:divBdr>
        <w:top w:val="none" w:sz="0" w:space="0" w:color="auto"/>
        <w:left w:val="none" w:sz="0" w:space="0" w:color="auto"/>
        <w:bottom w:val="none" w:sz="0" w:space="0" w:color="auto"/>
        <w:right w:val="none" w:sz="0" w:space="0" w:color="auto"/>
      </w:divBdr>
    </w:div>
    <w:div w:id="1174028614">
      <w:bodyDiv w:val="1"/>
      <w:marLeft w:val="0"/>
      <w:marRight w:val="0"/>
      <w:marTop w:val="0"/>
      <w:marBottom w:val="0"/>
      <w:divBdr>
        <w:top w:val="none" w:sz="0" w:space="0" w:color="auto"/>
        <w:left w:val="none" w:sz="0" w:space="0" w:color="auto"/>
        <w:bottom w:val="none" w:sz="0" w:space="0" w:color="auto"/>
        <w:right w:val="none" w:sz="0" w:space="0" w:color="auto"/>
      </w:divBdr>
    </w:div>
    <w:div w:id="1178620580">
      <w:bodyDiv w:val="1"/>
      <w:marLeft w:val="0"/>
      <w:marRight w:val="0"/>
      <w:marTop w:val="0"/>
      <w:marBottom w:val="0"/>
      <w:divBdr>
        <w:top w:val="none" w:sz="0" w:space="0" w:color="auto"/>
        <w:left w:val="none" w:sz="0" w:space="0" w:color="auto"/>
        <w:bottom w:val="none" w:sz="0" w:space="0" w:color="auto"/>
        <w:right w:val="none" w:sz="0" w:space="0" w:color="auto"/>
      </w:divBdr>
    </w:div>
    <w:div w:id="1188056134">
      <w:bodyDiv w:val="1"/>
      <w:marLeft w:val="0"/>
      <w:marRight w:val="0"/>
      <w:marTop w:val="0"/>
      <w:marBottom w:val="0"/>
      <w:divBdr>
        <w:top w:val="none" w:sz="0" w:space="0" w:color="auto"/>
        <w:left w:val="none" w:sz="0" w:space="0" w:color="auto"/>
        <w:bottom w:val="none" w:sz="0" w:space="0" w:color="auto"/>
        <w:right w:val="none" w:sz="0" w:space="0" w:color="auto"/>
      </w:divBdr>
    </w:div>
    <w:div w:id="1200632532">
      <w:bodyDiv w:val="1"/>
      <w:marLeft w:val="0"/>
      <w:marRight w:val="0"/>
      <w:marTop w:val="0"/>
      <w:marBottom w:val="0"/>
      <w:divBdr>
        <w:top w:val="none" w:sz="0" w:space="0" w:color="auto"/>
        <w:left w:val="none" w:sz="0" w:space="0" w:color="auto"/>
        <w:bottom w:val="none" w:sz="0" w:space="0" w:color="auto"/>
        <w:right w:val="none" w:sz="0" w:space="0" w:color="auto"/>
      </w:divBdr>
    </w:div>
    <w:div w:id="1202133736">
      <w:bodyDiv w:val="1"/>
      <w:marLeft w:val="0"/>
      <w:marRight w:val="0"/>
      <w:marTop w:val="0"/>
      <w:marBottom w:val="0"/>
      <w:divBdr>
        <w:top w:val="none" w:sz="0" w:space="0" w:color="auto"/>
        <w:left w:val="none" w:sz="0" w:space="0" w:color="auto"/>
        <w:bottom w:val="none" w:sz="0" w:space="0" w:color="auto"/>
        <w:right w:val="none" w:sz="0" w:space="0" w:color="auto"/>
      </w:divBdr>
    </w:div>
    <w:div w:id="1206720712">
      <w:bodyDiv w:val="1"/>
      <w:marLeft w:val="0"/>
      <w:marRight w:val="0"/>
      <w:marTop w:val="0"/>
      <w:marBottom w:val="0"/>
      <w:divBdr>
        <w:top w:val="none" w:sz="0" w:space="0" w:color="auto"/>
        <w:left w:val="none" w:sz="0" w:space="0" w:color="auto"/>
        <w:bottom w:val="none" w:sz="0" w:space="0" w:color="auto"/>
        <w:right w:val="none" w:sz="0" w:space="0" w:color="auto"/>
      </w:divBdr>
    </w:div>
    <w:div w:id="1207524906">
      <w:bodyDiv w:val="1"/>
      <w:marLeft w:val="0"/>
      <w:marRight w:val="0"/>
      <w:marTop w:val="0"/>
      <w:marBottom w:val="0"/>
      <w:divBdr>
        <w:top w:val="none" w:sz="0" w:space="0" w:color="auto"/>
        <w:left w:val="none" w:sz="0" w:space="0" w:color="auto"/>
        <w:bottom w:val="none" w:sz="0" w:space="0" w:color="auto"/>
        <w:right w:val="none" w:sz="0" w:space="0" w:color="auto"/>
      </w:divBdr>
    </w:div>
    <w:div w:id="1233660334">
      <w:bodyDiv w:val="1"/>
      <w:marLeft w:val="0"/>
      <w:marRight w:val="0"/>
      <w:marTop w:val="0"/>
      <w:marBottom w:val="0"/>
      <w:divBdr>
        <w:top w:val="none" w:sz="0" w:space="0" w:color="auto"/>
        <w:left w:val="none" w:sz="0" w:space="0" w:color="auto"/>
        <w:bottom w:val="none" w:sz="0" w:space="0" w:color="auto"/>
        <w:right w:val="none" w:sz="0" w:space="0" w:color="auto"/>
      </w:divBdr>
    </w:div>
    <w:div w:id="1244338630">
      <w:bodyDiv w:val="1"/>
      <w:marLeft w:val="0"/>
      <w:marRight w:val="0"/>
      <w:marTop w:val="0"/>
      <w:marBottom w:val="0"/>
      <w:divBdr>
        <w:top w:val="none" w:sz="0" w:space="0" w:color="auto"/>
        <w:left w:val="none" w:sz="0" w:space="0" w:color="auto"/>
        <w:bottom w:val="none" w:sz="0" w:space="0" w:color="auto"/>
        <w:right w:val="none" w:sz="0" w:space="0" w:color="auto"/>
      </w:divBdr>
    </w:div>
    <w:div w:id="1251239797">
      <w:bodyDiv w:val="1"/>
      <w:marLeft w:val="0"/>
      <w:marRight w:val="0"/>
      <w:marTop w:val="0"/>
      <w:marBottom w:val="0"/>
      <w:divBdr>
        <w:top w:val="none" w:sz="0" w:space="0" w:color="auto"/>
        <w:left w:val="none" w:sz="0" w:space="0" w:color="auto"/>
        <w:bottom w:val="none" w:sz="0" w:space="0" w:color="auto"/>
        <w:right w:val="none" w:sz="0" w:space="0" w:color="auto"/>
      </w:divBdr>
    </w:div>
    <w:div w:id="1267351831">
      <w:bodyDiv w:val="1"/>
      <w:marLeft w:val="0"/>
      <w:marRight w:val="0"/>
      <w:marTop w:val="0"/>
      <w:marBottom w:val="0"/>
      <w:divBdr>
        <w:top w:val="none" w:sz="0" w:space="0" w:color="auto"/>
        <w:left w:val="none" w:sz="0" w:space="0" w:color="auto"/>
        <w:bottom w:val="none" w:sz="0" w:space="0" w:color="auto"/>
        <w:right w:val="none" w:sz="0" w:space="0" w:color="auto"/>
      </w:divBdr>
    </w:div>
    <w:div w:id="1272934330">
      <w:bodyDiv w:val="1"/>
      <w:marLeft w:val="0"/>
      <w:marRight w:val="0"/>
      <w:marTop w:val="0"/>
      <w:marBottom w:val="0"/>
      <w:divBdr>
        <w:top w:val="none" w:sz="0" w:space="0" w:color="auto"/>
        <w:left w:val="none" w:sz="0" w:space="0" w:color="auto"/>
        <w:bottom w:val="none" w:sz="0" w:space="0" w:color="auto"/>
        <w:right w:val="none" w:sz="0" w:space="0" w:color="auto"/>
      </w:divBdr>
    </w:div>
    <w:div w:id="1287155323">
      <w:bodyDiv w:val="1"/>
      <w:marLeft w:val="0"/>
      <w:marRight w:val="0"/>
      <w:marTop w:val="0"/>
      <w:marBottom w:val="0"/>
      <w:divBdr>
        <w:top w:val="none" w:sz="0" w:space="0" w:color="auto"/>
        <w:left w:val="none" w:sz="0" w:space="0" w:color="auto"/>
        <w:bottom w:val="none" w:sz="0" w:space="0" w:color="auto"/>
        <w:right w:val="none" w:sz="0" w:space="0" w:color="auto"/>
      </w:divBdr>
    </w:div>
    <w:div w:id="1293558662">
      <w:bodyDiv w:val="1"/>
      <w:marLeft w:val="0"/>
      <w:marRight w:val="0"/>
      <w:marTop w:val="0"/>
      <w:marBottom w:val="0"/>
      <w:divBdr>
        <w:top w:val="none" w:sz="0" w:space="0" w:color="auto"/>
        <w:left w:val="none" w:sz="0" w:space="0" w:color="auto"/>
        <w:bottom w:val="none" w:sz="0" w:space="0" w:color="auto"/>
        <w:right w:val="none" w:sz="0" w:space="0" w:color="auto"/>
      </w:divBdr>
    </w:div>
    <w:div w:id="1298954532">
      <w:bodyDiv w:val="1"/>
      <w:marLeft w:val="0"/>
      <w:marRight w:val="0"/>
      <w:marTop w:val="0"/>
      <w:marBottom w:val="0"/>
      <w:divBdr>
        <w:top w:val="none" w:sz="0" w:space="0" w:color="auto"/>
        <w:left w:val="none" w:sz="0" w:space="0" w:color="auto"/>
        <w:bottom w:val="none" w:sz="0" w:space="0" w:color="auto"/>
        <w:right w:val="none" w:sz="0" w:space="0" w:color="auto"/>
      </w:divBdr>
      <w:divsChild>
        <w:div w:id="1283340794">
          <w:marLeft w:val="0"/>
          <w:marRight w:val="0"/>
          <w:marTop w:val="0"/>
          <w:marBottom w:val="0"/>
          <w:divBdr>
            <w:top w:val="none" w:sz="0" w:space="0" w:color="auto"/>
            <w:left w:val="none" w:sz="0" w:space="0" w:color="auto"/>
            <w:bottom w:val="none" w:sz="0" w:space="0" w:color="auto"/>
            <w:right w:val="none" w:sz="0" w:space="0" w:color="auto"/>
          </w:divBdr>
          <w:divsChild>
            <w:div w:id="1460031963">
              <w:marLeft w:val="0"/>
              <w:marRight w:val="0"/>
              <w:marTop w:val="0"/>
              <w:marBottom w:val="0"/>
              <w:divBdr>
                <w:top w:val="none" w:sz="0" w:space="0" w:color="auto"/>
                <w:left w:val="none" w:sz="0" w:space="0" w:color="auto"/>
                <w:bottom w:val="none" w:sz="0" w:space="0" w:color="auto"/>
                <w:right w:val="none" w:sz="0" w:space="0" w:color="auto"/>
              </w:divBdr>
            </w:div>
          </w:divsChild>
        </w:div>
        <w:div w:id="1770344626">
          <w:marLeft w:val="0"/>
          <w:marRight w:val="0"/>
          <w:marTop w:val="0"/>
          <w:marBottom w:val="0"/>
          <w:divBdr>
            <w:top w:val="none" w:sz="0" w:space="0" w:color="auto"/>
            <w:left w:val="none" w:sz="0" w:space="0" w:color="auto"/>
            <w:bottom w:val="none" w:sz="0" w:space="0" w:color="auto"/>
            <w:right w:val="none" w:sz="0" w:space="0" w:color="auto"/>
          </w:divBdr>
          <w:divsChild>
            <w:div w:id="13585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9329">
      <w:bodyDiv w:val="1"/>
      <w:marLeft w:val="0"/>
      <w:marRight w:val="0"/>
      <w:marTop w:val="0"/>
      <w:marBottom w:val="0"/>
      <w:divBdr>
        <w:top w:val="none" w:sz="0" w:space="0" w:color="auto"/>
        <w:left w:val="none" w:sz="0" w:space="0" w:color="auto"/>
        <w:bottom w:val="none" w:sz="0" w:space="0" w:color="auto"/>
        <w:right w:val="none" w:sz="0" w:space="0" w:color="auto"/>
      </w:divBdr>
      <w:divsChild>
        <w:div w:id="892548368">
          <w:marLeft w:val="0"/>
          <w:marRight w:val="0"/>
          <w:marTop w:val="0"/>
          <w:marBottom w:val="0"/>
          <w:divBdr>
            <w:top w:val="none" w:sz="0" w:space="0" w:color="auto"/>
            <w:left w:val="none" w:sz="0" w:space="0" w:color="auto"/>
            <w:bottom w:val="none" w:sz="0" w:space="0" w:color="auto"/>
            <w:right w:val="none" w:sz="0" w:space="0" w:color="auto"/>
          </w:divBdr>
        </w:div>
      </w:divsChild>
    </w:div>
    <w:div w:id="1324163242">
      <w:bodyDiv w:val="1"/>
      <w:marLeft w:val="0"/>
      <w:marRight w:val="0"/>
      <w:marTop w:val="0"/>
      <w:marBottom w:val="0"/>
      <w:divBdr>
        <w:top w:val="none" w:sz="0" w:space="0" w:color="auto"/>
        <w:left w:val="none" w:sz="0" w:space="0" w:color="auto"/>
        <w:bottom w:val="none" w:sz="0" w:space="0" w:color="auto"/>
        <w:right w:val="none" w:sz="0" w:space="0" w:color="auto"/>
      </w:divBdr>
    </w:div>
    <w:div w:id="1336152549">
      <w:bodyDiv w:val="1"/>
      <w:marLeft w:val="0"/>
      <w:marRight w:val="0"/>
      <w:marTop w:val="0"/>
      <w:marBottom w:val="0"/>
      <w:divBdr>
        <w:top w:val="none" w:sz="0" w:space="0" w:color="auto"/>
        <w:left w:val="none" w:sz="0" w:space="0" w:color="auto"/>
        <w:bottom w:val="none" w:sz="0" w:space="0" w:color="auto"/>
        <w:right w:val="none" w:sz="0" w:space="0" w:color="auto"/>
      </w:divBdr>
    </w:div>
    <w:div w:id="1344553568">
      <w:bodyDiv w:val="1"/>
      <w:marLeft w:val="0"/>
      <w:marRight w:val="0"/>
      <w:marTop w:val="0"/>
      <w:marBottom w:val="0"/>
      <w:divBdr>
        <w:top w:val="none" w:sz="0" w:space="0" w:color="auto"/>
        <w:left w:val="none" w:sz="0" w:space="0" w:color="auto"/>
        <w:bottom w:val="none" w:sz="0" w:space="0" w:color="auto"/>
        <w:right w:val="none" w:sz="0" w:space="0" w:color="auto"/>
      </w:divBdr>
    </w:div>
    <w:div w:id="1348364385">
      <w:bodyDiv w:val="1"/>
      <w:marLeft w:val="0"/>
      <w:marRight w:val="0"/>
      <w:marTop w:val="0"/>
      <w:marBottom w:val="0"/>
      <w:divBdr>
        <w:top w:val="none" w:sz="0" w:space="0" w:color="auto"/>
        <w:left w:val="none" w:sz="0" w:space="0" w:color="auto"/>
        <w:bottom w:val="none" w:sz="0" w:space="0" w:color="auto"/>
        <w:right w:val="none" w:sz="0" w:space="0" w:color="auto"/>
      </w:divBdr>
    </w:div>
    <w:div w:id="1350135479">
      <w:bodyDiv w:val="1"/>
      <w:marLeft w:val="0"/>
      <w:marRight w:val="0"/>
      <w:marTop w:val="0"/>
      <w:marBottom w:val="0"/>
      <w:divBdr>
        <w:top w:val="none" w:sz="0" w:space="0" w:color="auto"/>
        <w:left w:val="none" w:sz="0" w:space="0" w:color="auto"/>
        <w:bottom w:val="none" w:sz="0" w:space="0" w:color="auto"/>
        <w:right w:val="none" w:sz="0" w:space="0" w:color="auto"/>
      </w:divBdr>
    </w:div>
    <w:div w:id="1361709862">
      <w:bodyDiv w:val="1"/>
      <w:marLeft w:val="0"/>
      <w:marRight w:val="0"/>
      <w:marTop w:val="0"/>
      <w:marBottom w:val="0"/>
      <w:divBdr>
        <w:top w:val="none" w:sz="0" w:space="0" w:color="auto"/>
        <w:left w:val="none" w:sz="0" w:space="0" w:color="auto"/>
        <w:bottom w:val="none" w:sz="0" w:space="0" w:color="auto"/>
        <w:right w:val="none" w:sz="0" w:space="0" w:color="auto"/>
      </w:divBdr>
    </w:div>
    <w:div w:id="1384788212">
      <w:bodyDiv w:val="1"/>
      <w:marLeft w:val="0"/>
      <w:marRight w:val="0"/>
      <w:marTop w:val="0"/>
      <w:marBottom w:val="0"/>
      <w:divBdr>
        <w:top w:val="none" w:sz="0" w:space="0" w:color="auto"/>
        <w:left w:val="none" w:sz="0" w:space="0" w:color="auto"/>
        <w:bottom w:val="none" w:sz="0" w:space="0" w:color="auto"/>
        <w:right w:val="none" w:sz="0" w:space="0" w:color="auto"/>
      </w:divBdr>
    </w:div>
    <w:div w:id="1397969480">
      <w:bodyDiv w:val="1"/>
      <w:marLeft w:val="0"/>
      <w:marRight w:val="0"/>
      <w:marTop w:val="0"/>
      <w:marBottom w:val="0"/>
      <w:divBdr>
        <w:top w:val="none" w:sz="0" w:space="0" w:color="auto"/>
        <w:left w:val="none" w:sz="0" w:space="0" w:color="auto"/>
        <w:bottom w:val="none" w:sz="0" w:space="0" w:color="auto"/>
        <w:right w:val="none" w:sz="0" w:space="0" w:color="auto"/>
      </w:divBdr>
    </w:div>
    <w:div w:id="1398748691">
      <w:bodyDiv w:val="1"/>
      <w:marLeft w:val="0"/>
      <w:marRight w:val="0"/>
      <w:marTop w:val="0"/>
      <w:marBottom w:val="0"/>
      <w:divBdr>
        <w:top w:val="none" w:sz="0" w:space="0" w:color="auto"/>
        <w:left w:val="none" w:sz="0" w:space="0" w:color="auto"/>
        <w:bottom w:val="none" w:sz="0" w:space="0" w:color="auto"/>
        <w:right w:val="none" w:sz="0" w:space="0" w:color="auto"/>
      </w:divBdr>
    </w:div>
    <w:div w:id="1405370571">
      <w:bodyDiv w:val="1"/>
      <w:marLeft w:val="0"/>
      <w:marRight w:val="0"/>
      <w:marTop w:val="0"/>
      <w:marBottom w:val="0"/>
      <w:divBdr>
        <w:top w:val="none" w:sz="0" w:space="0" w:color="auto"/>
        <w:left w:val="none" w:sz="0" w:space="0" w:color="auto"/>
        <w:bottom w:val="none" w:sz="0" w:space="0" w:color="auto"/>
        <w:right w:val="none" w:sz="0" w:space="0" w:color="auto"/>
      </w:divBdr>
    </w:div>
    <w:div w:id="1413627898">
      <w:bodyDiv w:val="1"/>
      <w:marLeft w:val="0"/>
      <w:marRight w:val="0"/>
      <w:marTop w:val="0"/>
      <w:marBottom w:val="0"/>
      <w:divBdr>
        <w:top w:val="none" w:sz="0" w:space="0" w:color="auto"/>
        <w:left w:val="none" w:sz="0" w:space="0" w:color="auto"/>
        <w:bottom w:val="none" w:sz="0" w:space="0" w:color="auto"/>
        <w:right w:val="none" w:sz="0" w:space="0" w:color="auto"/>
      </w:divBdr>
    </w:div>
    <w:div w:id="1433434315">
      <w:bodyDiv w:val="1"/>
      <w:marLeft w:val="0"/>
      <w:marRight w:val="0"/>
      <w:marTop w:val="0"/>
      <w:marBottom w:val="0"/>
      <w:divBdr>
        <w:top w:val="none" w:sz="0" w:space="0" w:color="auto"/>
        <w:left w:val="none" w:sz="0" w:space="0" w:color="auto"/>
        <w:bottom w:val="none" w:sz="0" w:space="0" w:color="auto"/>
        <w:right w:val="none" w:sz="0" w:space="0" w:color="auto"/>
      </w:divBdr>
    </w:div>
    <w:div w:id="1441098966">
      <w:bodyDiv w:val="1"/>
      <w:marLeft w:val="0"/>
      <w:marRight w:val="0"/>
      <w:marTop w:val="0"/>
      <w:marBottom w:val="0"/>
      <w:divBdr>
        <w:top w:val="none" w:sz="0" w:space="0" w:color="auto"/>
        <w:left w:val="none" w:sz="0" w:space="0" w:color="auto"/>
        <w:bottom w:val="none" w:sz="0" w:space="0" w:color="auto"/>
        <w:right w:val="none" w:sz="0" w:space="0" w:color="auto"/>
      </w:divBdr>
    </w:div>
    <w:div w:id="1443761145">
      <w:bodyDiv w:val="1"/>
      <w:marLeft w:val="0"/>
      <w:marRight w:val="0"/>
      <w:marTop w:val="0"/>
      <w:marBottom w:val="0"/>
      <w:divBdr>
        <w:top w:val="none" w:sz="0" w:space="0" w:color="auto"/>
        <w:left w:val="none" w:sz="0" w:space="0" w:color="auto"/>
        <w:bottom w:val="none" w:sz="0" w:space="0" w:color="auto"/>
        <w:right w:val="none" w:sz="0" w:space="0" w:color="auto"/>
      </w:divBdr>
    </w:div>
    <w:div w:id="1454403353">
      <w:bodyDiv w:val="1"/>
      <w:marLeft w:val="0"/>
      <w:marRight w:val="0"/>
      <w:marTop w:val="0"/>
      <w:marBottom w:val="0"/>
      <w:divBdr>
        <w:top w:val="none" w:sz="0" w:space="0" w:color="auto"/>
        <w:left w:val="none" w:sz="0" w:space="0" w:color="auto"/>
        <w:bottom w:val="none" w:sz="0" w:space="0" w:color="auto"/>
        <w:right w:val="none" w:sz="0" w:space="0" w:color="auto"/>
      </w:divBdr>
    </w:div>
    <w:div w:id="1459645703">
      <w:bodyDiv w:val="1"/>
      <w:marLeft w:val="0"/>
      <w:marRight w:val="0"/>
      <w:marTop w:val="0"/>
      <w:marBottom w:val="0"/>
      <w:divBdr>
        <w:top w:val="none" w:sz="0" w:space="0" w:color="auto"/>
        <w:left w:val="none" w:sz="0" w:space="0" w:color="auto"/>
        <w:bottom w:val="none" w:sz="0" w:space="0" w:color="auto"/>
        <w:right w:val="none" w:sz="0" w:space="0" w:color="auto"/>
      </w:divBdr>
    </w:div>
    <w:div w:id="1474829770">
      <w:bodyDiv w:val="1"/>
      <w:marLeft w:val="0"/>
      <w:marRight w:val="0"/>
      <w:marTop w:val="0"/>
      <w:marBottom w:val="0"/>
      <w:divBdr>
        <w:top w:val="none" w:sz="0" w:space="0" w:color="auto"/>
        <w:left w:val="none" w:sz="0" w:space="0" w:color="auto"/>
        <w:bottom w:val="none" w:sz="0" w:space="0" w:color="auto"/>
        <w:right w:val="none" w:sz="0" w:space="0" w:color="auto"/>
      </w:divBdr>
    </w:div>
    <w:div w:id="1478037336">
      <w:bodyDiv w:val="1"/>
      <w:marLeft w:val="0"/>
      <w:marRight w:val="0"/>
      <w:marTop w:val="0"/>
      <w:marBottom w:val="0"/>
      <w:divBdr>
        <w:top w:val="none" w:sz="0" w:space="0" w:color="auto"/>
        <w:left w:val="none" w:sz="0" w:space="0" w:color="auto"/>
        <w:bottom w:val="none" w:sz="0" w:space="0" w:color="auto"/>
        <w:right w:val="none" w:sz="0" w:space="0" w:color="auto"/>
      </w:divBdr>
    </w:div>
    <w:div w:id="1503860522">
      <w:bodyDiv w:val="1"/>
      <w:marLeft w:val="0"/>
      <w:marRight w:val="0"/>
      <w:marTop w:val="0"/>
      <w:marBottom w:val="0"/>
      <w:divBdr>
        <w:top w:val="none" w:sz="0" w:space="0" w:color="auto"/>
        <w:left w:val="none" w:sz="0" w:space="0" w:color="auto"/>
        <w:bottom w:val="none" w:sz="0" w:space="0" w:color="auto"/>
        <w:right w:val="none" w:sz="0" w:space="0" w:color="auto"/>
      </w:divBdr>
    </w:div>
    <w:div w:id="1515261776">
      <w:bodyDiv w:val="1"/>
      <w:marLeft w:val="0"/>
      <w:marRight w:val="0"/>
      <w:marTop w:val="0"/>
      <w:marBottom w:val="0"/>
      <w:divBdr>
        <w:top w:val="none" w:sz="0" w:space="0" w:color="auto"/>
        <w:left w:val="none" w:sz="0" w:space="0" w:color="auto"/>
        <w:bottom w:val="none" w:sz="0" w:space="0" w:color="auto"/>
        <w:right w:val="none" w:sz="0" w:space="0" w:color="auto"/>
      </w:divBdr>
    </w:div>
    <w:div w:id="1516574066">
      <w:bodyDiv w:val="1"/>
      <w:marLeft w:val="0"/>
      <w:marRight w:val="0"/>
      <w:marTop w:val="0"/>
      <w:marBottom w:val="0"/>
      <w:divBdr>
        <w:top w:val="none" w:sz="0" w:space="0" w:color="auto"/>
        <w:left w:val="none" w:sz="0" w:space="0" w:color="auto"/>
        <w:bottom w:val="none" w:sz="0" w:space="0" w:color="auto"/>
        <w:right w:val="none" w:sz="0" w:space="0" w:color="auto"/>
      </w:divBdr>
    </w:div>
    <w:div w:id="1550533104">
      <w:bodyDiv w:val="1"/>
      <w:marLeft w:val="0"/>
      <w:marRight w:val="0"/>
      <w:marTop w:val="0"/>
      <w:marBottom w:val="0"/>
      <w:divBdr>
        <w:top w:val="none" w:sz="0" w:space="0" w:color="auto"/>
        <w:left w:val="none" w:sz="0" w:space="0" w:color="auto"/>
        <w:bottom w:val="none" w:sz="0" w:space="0" w:color="auto"/>
        <w:right w:val="none" w:sz="0" w:space="0" w:color="auto"/>
      </w:divBdr>
    </w:div>
    <w:div w:id="1552500634">
      <w:bodyDiv w:val="1"/>
      <w:marLeft w:val="0"/>
      <w:marRight w:val="0"/>
      <w:marTop w:val="0"/>
      <w:marBottom w:val="0"/>
      <w:divBdr>
        <w:top w:val="none" w:sz="0" w:space="0" w:color="auto"/>
        <w:left w:val="none" w:sz="0" w:space="0" w:color="auto"/>
        <w:bottom w:val="none" w:sz="0" w:space="0" w:color="auto"/>
        <w:right w:val="none" w:sz="0" w:space="0" w:color="auto"/>
      </w:divBdr>
    </w:div>
    <w:div w:id="1568877780">
      <w:bodyDiv w:val="1"/>
      <w:marLeft w:val="0"/>
      <w:marRight w:val="0"/>
      <w:marTop w:val="0"/>
      <w:marBottom w:val="0"/>
      <w:divBdr>
        <w:top w:val="none" w:sz="0" w:space="0" w:color="auto"/>
        <w:left w:val="none" w:sz="0" w:space="0" w:color="auto"/>
        <w:bottom w:val="none" w:sz="0" w:space="0" w:color="auto"/>
        <w:right w:val="none" w:sz="0" w:space="0" w:color="auto"/>
      </w:divBdr>
    </w:div>
    <w:div w:id="1570309166">
      <w:bodyDiv w:val="1"/>
      <w:marLeft w:val="0"/>
      <w:marRight w:val="0"/>
      <w:marTop w:val="0"/>
      <w:marBottom w:val="0"/>
      <w:divBdr>
        <w:top w:val="none" w:sz="0" w:space="0" w:color="auto"/>
        <w:left w:val="none" w:sz="0" w:space="0" w:color="auto"/>
        <w:bottom w:val="none" w:sz="0" w:space="0" w:color="auto"/>
        <w:right w:val="none" w:sz="0" w:space="0" w:color="auto"/>
      </w:divBdr>
    </w:div>
    <w:div w:id="1595434669">
      <w:bodyDiv w:val="1"/>
      <w:marLeft w:val="0"/>
      <w:marRight w:val="0"/>
      <w:marTop w:val="0"/>
      <w:marBottom w:val="0"/>
      <w:divBdr>
        <w:top w:val="none" w:sz="0" w:space="0" w:color="auto"/>
        <w:left w:val="none" w:sz="0" w:space="0" w:color="auto"/>
        <w:bottom w:val="none" w:sz="0" w:space="0" w:color="auto"/>
        <w:right w:val="none" w:sz="0" w:space="0" w:color="auto"/>
      </w:divBdr>
    </w:div>
    <w:div w:id="1601063237">
      <w:bodyDiv w:val="1"/>
      <w:marLeft w:val="0"/>
      <w:marRight w:val="0"/>
      <w:marTop w:val="0"/>
      <w:marBottom w:val="0"/>
      <w:divBdr>
        <w:top w:val="none" w:sz="0" w:space="0" w:color="auto"/>
        <w:left w:val="none" w:sz="0" w:space="0" w:color="auto"/>
        <w:bottom w:val="none" w:sz="0" w:space="0" w:color="auto"/>
        <w:right w:val="none" w:sz="0" w:space="0" w:color="auto"/>
      </w:divBdr>
    </w:div>
    <w:div w:id="1603143913">
      <w:bodyDiv w:val="1"/>
      <w:marLeft w:val="0"/>
      <w:marRight w:val="0"/>
      <w:marTop w:val="0"/>
      <w:marBottom w:val="0"/>
      <w:divBdr>
        <w:top w:val="none" w:sz="0" w:space="0" w:color="auto"/>
        <w:left w:val="none" w:sz="0" w:space="0" w:color="auto"/>
        <w:bottom w:val="none" w:sz="0" w:space="0" w:color="auto"/>
        <w:right w:val="none" w:sz="0" w:space="0" w:color="auto"/>
      </w:divBdr>
    </w:div>
    <w:div w:id="1621259241">
      <w:bodyDiv w:val="1"/>
      <w:marLeft w:val="0"/>
      <w:marRight w:val="0"/>
      <w:marTop w:val="0"/>
      <w:marBottom w:val="0"/>
      <w:divBdr>
        <w:top w:val="none" w:sz="0" w:space="0" w:color="auto"/>
        <w:left w:val="none" w:sz="0" w:space="0" w:color="auto"/>
        <w:bottom w:val="none" w:sz="0" w:space="0" w:color="auto"/>
        <w:right w:val="none" w:sz="0" w:space="0" w:color="auto"/>
      </w:divBdr>
    </w:div>
    <w:div w:id="1627928192">
      <w:bodyDiv w:val="1"/>
      <w:marLeft w:val="0"/>
      <w:marRight w:val="0"/>
      <w:marTop w:val="0"/>
      <w:marBottom w:val="0"/>
      <w:divBdr>
        <w:top w:val="none" w:sz="0" w:space="0" w:color="auto"/>
        <w:left w:val="none" w:sz="0" w:space="0" w:color="auto"/>
        <w:bottom w:val="none" w:sz="0" w:space="0" w:color="auto"/>
        <w:right w:val="none" w:sz="0" w:space="0" w:color="auto"/>
      </w:divBdr>
    </w:div>
    <w:div w:id="1639067408">
      <w:bodyDiv w:val="1"/>
      <w:marLeft w:val="0"/>
      <w:marRight w:val="0"/>
      <w:marTop w:val="0"/>
      <w:marBottom w:val="0"/>
      <w:divBdr>
        <w:top w:val="none" w:sz="0" w:space="0" w:color="auto"/>
        <w:left w:val="none" w:sz="0" w:space="0" w:color="auto"/>
        <w:bottom w:val="none" w:sz="0" w:space="0" w:color="auto"/>
        <w:right w:val="none" w:sz="0" w:space="0" w:color="auto"/>
      </w:divBdr>
    </w:div>
    <w:div w:id="1665358059">
      <w:bodyDiv w:val="1"/>
      <w:marLeft w:val="0"/>
      <w:marRight w:val="0"/>
      <w:marTop w:val="0"/>
      <w:marBottom w:val="0"/>
      <w:divBdr>
        <w:top w:val="none" w:sz="0" w:space="0" w:color="auto"/>
        <w:left w:val="none" w:sz="0" w:space="0" w:color="auto"/>
        <w:bottom w:val="none" w:sz="0" w:space="0" w:color="auto"/>
        <w:right w:val="none" w:sz="0" w:space="0" w:color="auto"/>
      </w:divBdr>
    </w:div>
    <w:div w:id="1669745273">
      <w:bodyDiv w:val="1"/>
      <w:marLeft w:val="0"/>
      <w:marRight w:val="0"/>
      <w:marTop w:val="0"/>
      <w:marBottom w:val="0"/>
      <w:divBdr>
        <w:top w:val="none" w:sz="0" w:space="0" w:color="auto"/>
        <w:left w:val="none" w:sz="0" w:space="0" w:color="auto"/>
        <w:bottom w:val="none" w:sz="0" w:space="0" w:color="auto"/>
        <w:right w:val="none" w:sz="0" w:space="0" w:color="auto"/>
      </w:divBdr>
    </w:div>
    <w:div w:id="1683050521">
      <w:bodyDiv w:val="1"/>
      <w:marLeft w:val="0"/>
      <w:marRight w:val="0"/>
      <w:marTop w:val="0"/>
      <w:marBottom w:val="0"/>
      <w:divBdr>
        <w:top w:val="none" w:sz="0" w:space="0" w:color="auto"/>
        <w:left w:val="none" w:sz="0" w:space="0" w:color="auto"/>
        <w:bottom w:val="none" w:sz="0" w:space="0" w:color="auto"/>
        <w:right w:val="none" w:sz="0" w:space="0" w:color="auto"/>
      </w:divBdr>
    </w:div>
    <w:div w:id="1691686553">
      <w:bodyDiv w:val="1"/>
      <w:marLeft w:val="0"/>
      <w:marRight w:val="0"/>
      <w:marTop w:val="0"/>
      <w:marBottom w:val="0"/>
      <w:divBdr>
        <w:top w:val="none" w:sz="0" w:space="0" w:color="auto"/>
        <w:left w:val="none" w:sz="0" w:space="0" w:color="auto"/>
        <w:bottom w:val="none" w:sz="0" w:space="0" w:color="auto"/>
        <w:right w:val="none" w:sz="0" w:space="0" w:color="auto"/>
      </w:divBdr>
    </w:div>
    <w:div w:id="1702784601">
      <w:bodyDiv w:val="1"/>
      <w:marLeft w:val="0"/>
      <w:marRight w:val="0"/>
      <w:marTop w:val="0"/>
      <w:marBottom w:val="0"/>
      <w:divBdr>
        <w:top w:val="none" w:sz="0" w:space="0" w:color="auto"/>
        <w:left w:val="none" w:sz="0" w:space="0" w:color="auto"/>
        <w:bottom w:val="none" w:sz="0" w:space="0" w:color="auto"/>
        <w:right w:val="none" w:sz="0" w:space="0" w:color="auto"/>
      </w:divBdr>
    </w:div>
    <w:div w:id="1718510270">
      <w:bodyDiv w:val="1"/>
      <w:marLeft w:val="0"/>
      <w:marRight w:val="0"/>
      <w:marTop w:val="0"/>
      <w:marBottom w:val="0"/>
      <w:divBdr>
        <w:top w:val="none" w:sz="0" w:space="0" w:color="auto"/>
        <w:left w:val="none" w:sz="0" w:space="0" w:color="auto"/>
        <w:bottom w:val="none" w:sz="0" w:space="0" w:color="auto"/>
        <w:right w:val="none" w:sz="0" w:space="0" w:color="auto"/>
      </w:divBdr>
    </w:div>
    <w:div w:id="1765027248">
      <w:bodyDiv w:val="1"/>
      <w:marLeft w:val="0"/>
      <w:marRight w:val="0"/>
      <w:marTop w:val="0"/>
      <w:marBottom w:val="0"/>
      <w:divBdr>
        <w:top w:val="none" w:sz="0" w:space="0" w:color="auto"/>
        <w:left w:val="none" w:sz="0" w:space="0" w:color="auto"/>
        <w:bottom w:val="none" w:sz="0" w:space="0" w:color="auto"/>
        <w:right w:val="none" w:sz="0" w:space="0" w:color="auto"/>
      </w:divBdr>
    </w:div>
    <w:div w:id="1767581680">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776318687">
      <w:bodyDiv w:val="1"/>
      <w:marLeft w:val="0"/>
      <w:marRight w:val="0"/>
      <w:marTop w:val="0"/>
      <w:marBottom w:val="0"/>
      <w:divBdr>
        <w:top w:val="none" w:sz="0" w:space="0" w:color="auto"/>
        <w:left w:val="none" w:sz="0" w:space="0" w:color="auto"/>
        <w:bottom w:val="none" w:sz="0" w:space="0" w:color="auto"/>
        <w:right w:val="none" w:sz="0" w:space="0" w:color="auto"/>
      </w:divBdr>
    </w:div>
    <w:div w:id="1778057776">
      <w:bodyDiv w:val="1"/>
      <w:marLeft w:val="0"/>
      <w:marRight w:val="0"/>
      <w:marTop w:val="0"/>
      <w:marBottom w:val="0"/>
      <w:divBdr>
        <w:top w:val="none" w:sz="0" w:space="0" w:color="auto"/>
        <w:left w:val="none" w:sz="0" w:space="0" w:color="auto"/>
        <w:bottom w:val="none" w:sz="0" w:space="0" w:color="auto"/>
        <w:right w:val="none" w:sz="0" w:space="0" w:color="auto"/>
      </w:divBdr>
    </w:div>
    <w:div w:id="1788767630">
      <w:bodyDiv w:val="1"/>
      <w:marLeft w:val="0"/>
      <w:marRight w:val="0"/>
      <w:marTop w:val="0"/>
      <w:marBottom w:val="0"/>
      <w:divBdr>
        <w:top w:val="none" w:sz="0" w:space="0" w:color="auto"/>
        <w:left w:val="none" w:sz="0" w:space="0" w:color="auto"/>
        <w:bottom w:val="none" w:sz="0" w:space="0" w:color="auto"/>
        <w:right w:val="none" w:sz="0" w:space="0" w:color="auto"/>
      </w:divBdr>
      <w:divsChild>
        <w:div w:id="973828550">
          <w:marLeft w:val="0"/>
          <w:marRight w:val="0"/>
          <w:marTop w:val="0"/>
          <w:marBottom w:val="0"/>
          <w:divBdr>
            <w:top w:val="none" w:sz="0" w:space="0" w:color="auto"/>
            <w:left w:val="none" w:sz="0" w:space="0" w:color="auto"/>
            <w:bottom w:val="none" w:sz="0" w:space="0" w:color="auto"/>
            <w:right w:val="none" w:sz="0" w:space="0" w:color="auto"/>
          </w:divBdr>
        </w:div>
      </w:divsChild>
    </w:div>
    <w:div w:id="1816606481">
      <w:bodyDiv w:val="1"/>
      <w:marLeft w:val="0"/>
      <w:marRight w:val="0"/>
      <w:marTop w:val="0"/>
      <w:marBottom w:val="0"/>
      <w:divBdr>
        <w:top w:val="none" w:sz="0" w:space="0" w:color="auto"/>
        <w:left w:val="none" w:sz="0" w:space="0" w:color="auto"/>
        <w:bottom w:val="none" w:sz="0" w:space="0" w:color="auto"/>
        <w:right w:val="none" w:sz="0" w:space="0" w:color="auto"/>
      </w:divBdr>
    </w:div>
    <w:div w:id="1816800554">
      <w:bodyDiv w:val="1"/>
      <w:marLeft w:val="0"/>
      <w:marRight w:val="0"/>
      <w:marTop w:val="0"/>
      <w:marBottom w:val="0"/>
      <w:divBdr>
        <w:top w:val="none" w:sz="0" w:space="0" w:color="auto"/>
        <w:left w:val="none" w:sz="0" w:space="0" w:color="auto"/>
        <w:bottom w:val="none" w:sz="0" w:space="0" w:color="auto"/>
        <w:right w:val="none" w:sz="0" w:space="0" w:color="auto"/>
      </w:divBdr>
    </w:div>
    <w:div w:id="1828471556">
      <w:bodyDiv w:val="1"/>
      <w:marLeft w:val="0"/>
      <w:marRight w:val="0"/>
      <w:marTop w:val="0"/>
      <w:marBottom w:val="0"/>
      <w:divBdr>
        <w:top w:val="none" w:sz="0" w:space="0" w:color="auto"/>
        <w:left w:val="none" w:sz="0" w:space="0" w:color="auto"/>
        <w:bottom w:val="none" w:sz="0" w:space="0" w:color="auto"/>
        <w:right w:val="none" w:sz="0" w:space="0" w:color="auto"/>
      </w:divBdr>
    </w:div>
    <w:div w:id="1834949076">
      <w:bodyDiv w:val="1"/>
      <w:marLeft w:val="0"/>
      <w:marRight w:val="0"/>
      <w:marTop w:val="0"/>
      <w:marBottom w:val="0"/>
      <w:divBdr>
        <w:top w:val="none" w:sz="0" w:space="0" w:color="auto"/>
        <w:left w:val="none" w:sz="0" w:space="0" w:color="auto"/>
        <w:bottom w:val="none" w:sz="0" w:space="0" w:color="auto"/>
        <w:right w:val="none" w:sz="0" w:space="0" w:color="auto"/>
      </w:divBdr>
    </w:div>
    <w:div w:id="1836452324">
      <w:bodyDiv w:val="1"/>
      <w:marLeft w:val="0"/>
      <w:marRight w:val="0"/>
      <w:marTop w:val="0"/>
      <w:marBottom w:val="0"/>
      <w:divBdr>
        <w:top w:val="none" w:sz="0" w:space="0" w:color="auto"/>
        <w:left w:val="none" w:sz="0" w:space="0" w:color="auto"/>
        <w:bottom w:val="none" w:sz="0" w:space="0" w:color="auto"/>
        <w:right w:val="none" w:sz="0" w:space="0" w:color="auto"/>
      </w:divBdr>
    </w:div>
    <w:div w:id="1842767729">
      <w:bodyDiv w:val="1"/>
      <w:marLeft w:val="0"/>
      <w:marRight w:val="0"/>
      <w:marTop w:val="0"/>
      <w:marBottom w:val="0"/>
      <w:divBdr>
        <w:top w:val="none" w:sz="0" w:space="0" w:color="auto"/>
        <w:left w:val="none" w:sz="0" w:space="0" w:color="auto"/>
        <w:bottom w:val="none" w:sz="0" w:space="0" w:color="auto"/>
        <w:right w:val="none" w:sz="0" w:space="0" w:color="auto"/>
      </w:divBdr>
    </w:div>
    <w:div w:id="1844665946">
      <w:bodyDiv w:val="1"/>
      <w:marLeft w:val="0"/>
      <w:marRight w:val="0"/>
      <w:marTop w:val="0"/>
      <w:marBottom w:val="0"/>
      <w:divBdr>
        <w:top w:val="none" w:sz="0" w:space="0" w:color="auto"/>
        <w:left w:val="none" w:sz="0" w:space="0" w:color="auto"/>
        <w:bottom w:val="none" w:sz="0" w:space="0" w:color="auto"/>
        <w:right w:val="none" w:sz="0" w:space="0" w:color="auto"/>
      </w:divBdr>
    </w:div>
    <w:div w:id="1850632442">
      <w:bodyDiv w:val="1"/>
      <w:marLeft w:val="0"/>
      <w:marRight w:val="0"/>
      <w:marTop w:val="0"/>
      <w:marBottom w:val="0"/>
      <w:divBdr>
        <w:top w:val="none" w:sz="0" w:space="0" w:color="auto"/>
        <w:left w:val="none" w:sz="0" w:space="0" w:color="auto"/>
        <w:bottom w:val="none" w:sz="0" w:space="0" w:color="auto"/>
        <w:right w:val="none" w:sz="0" w:space="0" w:color="auto"/>
      </w:divBdr>
    </w:div>
    <w:div w:id="1852450159">
      <w:bodyDiv w:val="1"/>
      <w:marLeft w:val="0"/>
      <w:marRight w:val="0"/>
      <w:marTop w:val="0"/>
      <w:marBottom w:val="0"/>
      <w:divBdr>
        <w:top w:val="none" w:sz="0" w:space="0" w:color="auto"/>
        <w:left w:val="none" w:sz="0" w:space="0" w:color="auto"/>
        <w:bottom w:val="none" w:sz="0" w:space="0" w:color="auto"/>
        <w:right w:val="none" w:sz="0" w:space="0" w:color="auto"/>
      </w:divBdr>
    </w:div>
    <w:div w:id="1853105903">
      <w:bodyDiv w:val="1"/>
      <w:marLeft w:val="0"/>
      <w:marRight w:val="0"/>
      <w:marTop w:val="0"/>
      <w:marBottom w:val="0"/>
      <w:divBdr>
        <w:top w:val="none" w:sz="0" w:space="0" w:color="auto"/>
        <w:left w:val="none" w:sz="0" w:space="0" w:color="auto"/>
        <w:bottom w:val="none" w:sz="0" w:space="0" w:color="auto"/>
        <w:right w:val="none" w:sz="0" w:space="0" w:color="auto"/>
      </w:divBdr>
    </w:div>
    <w:div w:id="1887720595">
      <w:bodyDiv w:val="1"/>
      <w:marLeft w:val="0"/>
      <w:marRight w:val="0"/>
      <w:marTop w:val="0"/>
      <w:marBottom w:val="0"/>
      <w:divBdr>
        <w:top w:val="none" w:sz="0" w:space="0" w:color="auto"/>
        <w:left w:val="none" w:sz="0" w:space="0" w:color="auto"/>
        <w:bottom w:val="none" w:sz="0" w:space="0" w:color="auto"/>
        <w:right w:val="none" w:sz="0" w:space="0" w:color="auto"/>
      </w:divBdr>
    </w:div>
    <w:div w:id="1894854572">
      <w:bodyDiv w:val="1"/>
      <w:marLeft w:val="0"/>
      <w:marRight w:val="0"/>
      <w:marTop w:val="0"/>
      <w:marBottom w:val="0"/>
      <w:divBdr>
        <w:top w:val="none" w:sz="0" w:space="0" w:color="auto"/>
        <w:left w:val="none" w:sz="0" w:space="0" w:color="auto"/>
        <w:bottom w:val="none" w:sz="0" w:space="0" w:color="auto"/>
        <w:right w:val="none" w:sz="0" w:space="0" w:color="auto"/>
      </w:divBdr>
    </w:div>
    <w:div w:id="1905140359">
      <w:bodyDiv w:val="1"/>
      <w:marLeft w:val="0"/>
      <w:marRight w:val="0"/>
      <w:marTop w:val="0"/>
      <w:marBottom w:val="0"/>
      <w:divBdr>
        <w:top w:val="none" w:sz="0" w:space="0" w:color="auto"/>
        <w:left w:val="none" w:sz="0" w:space="0" w:color="auto"/>
        <w:bottom w:val="none" w:sz="0" w:space="0" w:color="auto"/>
        <w:right w:val="none" w:sz="0" w:space="0" w:color="auto"/>
      </w:divBdr>
    </w:div>
    <w:div w:id="1908832843">
      <w:bodyDiv w:val="1"/>
      <w:marLeft w:val="0"/>
      <w:marRight w:val="0"/>
      <w:marTop w:val="0"/>
      <w:marBottom w:val="0"/>
      <w:divBdr>
        <w:top w:val="none" w:sz="0" w:space="0" w:color="auto"/>
        <w:left w:val="none" w:sz="0" w:space="0" w:color="auto"/>
        <w:bottom w:val="none" w:sz="0" w:space="0" w:color="auto"/>
        <w:right w:val="none" w:sz="0" w:space="0" w:color="auto"/>
      </w:divBdr>
    </w:div>
    <w:div w:id="1909341652">
      <w:bodyDiv w:val="1"/>
      <w:marLeft w:val="0"/>
      <w:marRight w:val="0"/>
      <w:marTop w:val="0"/>
      <w:marBottom w:val="0"/>
      <w:divBdr>
        <w:top w:val="none" w:sz="0" w:space="0" w:color="auto"/>
        <w:left w:val="none" w:sz="0" w:space="0" w:color="auto"/>
        <w:bottom w:val="none" w:sz="0" w:space="0" w:color="auto"/>
        <w:right w:val="none" w:sz="0" w:space="0" w:color="auto"/>
      </w:divBdr>
    </w:div>
    <w:div w:id="1945645512">
      <w:bodyDiv w:val="1"/>
      <w:marLeft w:val="0"/>
      <w:marRight w:val="0"/>
      <w:marTop w:val="0"/>
      <w:marBottom w:val="0"/>
      <w:divBdr>
        <w:top w:val="none" w:sz="0" w:space="0" w:color="auto"/>
        <w:left w:val="none" w:sz="0" w:space="0" w:color="auto"/>
        <w:bottom w:val="none" w:sz="0" w:space="0" w:color="auto"/>
        <w:right w:val="none" w:sz="0" w:space="0" w:color="auto"/>
      </w:divBdr>
    </w:div>
    <w:div w:id="1963535977">
      <w:bodyDiv w:val="1"/>
      <w:marLeft w:val="0"/>
      <w:marRight w:val="0"/>
      <w:marTop w:val="0"/>
      <w:marBottom w:val="0"/>
      <w:divBdr>
        <w:top w:val="none" w:sz="0" w:space="0" w:color="auto"/>
        <w:left w:val="none" w:sz="0" w:space="0" w:color="auto"/>
        <w:bottom w:val="none" w:sz="0" w:space="0" w:color="auto"/>
        <w:right w:val="none" w:sz="0" w:space="0" w:color="auto"/>
      </w:divBdr>
    </w:div>
    <w:div w:id="1965694455">
      <w:bodyDiv w:val="1"/>
      <w:marLeft w:val="0"/>
      <w:marRight w:val="0"/>
      <w:marTop w:val="0"/>
      <w:marBottom w:val="0"/>
      <w:divBdr>
        <w:top w:val="none" w:sz="0" w:space="0" w:color="auto"/>
        <w:left w:val="none" w:sz="0" w:space="0" w:color="auto"/>
        <w:bottom w:val="none" w:sz="0" w:space="0" w:color="auto"/>
        <w:right w:val="none" w:sz="0" w:space="0" w:color="auto"/>
      </w:divBdr>
    </w:div>
    <w:div w:id="1971589997">
      <w:bodyDiv w:val="1"/>
      <w:marLeft w:val="0"/>
      <w:marRight w:val="0"/>
      <w:marTop w:val="0"/>
      <w:marBottom w:val="0"/>
      <w:divBdr>
        <w:top w:val="none" w:sz="0" w:space="0" w:color="auto"/>
        <w:left w:val="none" w:sz="0" w:space="0" w:color="auto"/>
        <w:bottom w:val="none" w:sz="0" w:space="0" w:color="auto"/>
        <w:right w:val="none" w:sz="0" w:space="0" w:color="auto"/>
      </w:divBdr>
    </w:div>
    <w:div w:id="1985811378">
      <w:bodyDiv w:val="1"/>
      <w:marLeft w:val="0"/>
      <w:marRight w:val="0"/>
      <w:marTop w:val="0"/>
      <w:marBottom w:val="0"/>
      <w:divBdr>
        <w:top w:val="none" w:sz="0" w:space="0" w:color="auto"/>
        <w:left w:val="none" w:sz="0" w:space="0" w:color="auto"/>
        <w:bottom w:val="none" w:sz="0" w:space="0" w:color="auto"/>
        <w:right w:val="none" w:sz="0" w:space="0" w:color="auto"/>
      </w:divBdr>
    </w:div>
    <w:div w:id="1991012481">
      <w:bodyDiv w:val="1"/>
      <w:marLeft w:val="0"/>
      <w:marRight w:val="0"/>
      <w:marTop w:val="0"/>
      <w:marBottom w:val="0"/>
      <w:divBdr>
        <w:top w:val="none" w:sz="0" w:space="0" w:color="auto"/>
        <w:left w:val="none" w:sz="0" w:space="0" w:color="auto"/>
        <w:bottom w:val="none" w:sz="0" w:space="0" w:color="auto"/>
        <w:right w:val="none" w:sz="0" w:space="0" w:color="auto"/>
      </w:divBdr>
    </w:div>
    <w:div w:id="1996034352">
      <w:bodyDiv w:val="1"/>
      <w:marLeft w:val="0"/>
      <w:marRight w:val="0"/>
      <w:marTop w:val="0"/>
      <w:marBottom w:val="0"/>
      <w:divBdr>
        <w:top w:val="none" w:sz="0" w:space="0" w:color="auto"/>
        <w:left w:val="none" w:sz="0" w:space="0" w:color="auto"/>
        <w:bottom w:val="none" w:sz="0" w:space="0" w:color="auto"/>
        <w:right w:val="none" w:sz="0" w:space="0" w:color="auto"/>
      </w:divBdr>
      <w:divsChild>
        <w:div w:id="2023433283">
          <w:marLeft w:val="0"/>
          <w:marRight w:val="0"/>
          <w:marTop w:val="0"/>
          <w:marBottom w:val="0"/>
          <w:divBdr>
            <w:top w:val="none" w:sz="0" w:space="0" w:color="auto"/>
            <w:left w:val="none" w:sz="0" w:space="0" w:color="auto"/>
            <w:bottom w:val="none" w:sz="0" w:space="0" w:color="auto"/>
            <w:right w:val="none" w:sz="0" w:space="0" w:color="auto"/>
          </w:divBdr>
          <w:divsChild>
            <w:div w:id="13659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5597">
      <w:bodyDiv w:val="1"/>
      <w:marLeft w:val="0"/>
      <w:marRight w:val="0"/>
      <w:marTop w:val="0"/>
      <w:marBottom w:val="0"/>
      <w:divBdr>
        <w:top w:val="none" w:sz="0" w:space="0" w:color="auto"/>
        <w:left w:val="none" w:sz="0" w:space="0" w:color="auto"/>
        <w:bottom w:val="none" w:sz="0" w:space="0" w:color="auto"/>
        <w:right w:val="none" w:sz="0" w:space="0" w:color="auto"/>
      </w:divBdr>
    </w:div>
    <w:div w:id="2022854867">
      <w:bodyDiv w:val="1"/>
      <w:marLeft w:val="0"/>
      <w:marRight w:val="0"/>
      <w:marTop w:val="0"/>
      <w:marBottom w:val="0"/>
      <w:divBdr>
        <w:top w:val="none" w:sz="0" w:space="0" w:color="auto"/>
        <w:left w:val="none" w:sz="0" w:space="0" w:color="auto"/>
        <w:bottom w:val="none" w:sz="0" w:space="0" w:color="auto"/>
        <w:right w:val="none" w:sz="0" w:space="0" w:color="auto"/>
      </w:divBdr>
    </w:div>
    <w:div w:id="2045402052">
      <w:bodyDiv w:val="1"/>
      <w:marLeft w:val="0"/>
      <w:marRight w:val="0"/>
      <w:marTop w:val="0"/>
      <w:marBottom w:val="0"/>
      <w:divBdr>
        <w:top w:val="none" w:sz="0" w:space="0" w:color="auto"/>
        <w:left w:val="none" w:sz="0" w:space="0" w:color="auto"/>
        <w:bottom w:val="none" w:sz="0" w:space="0" w:color="auto"/>
        <w:right w:val="none" w:sz="0" w:space="0" w:color="auto"/>
      </w:divBdr>
    </w:div>
    <w:div w:id="2055082213">
      <w:bodyDiv w:val="1"/>
      <w:marLeft w:val="0"/>
      <w:marRight w:val="0"/>
      <w:marTop w:val="0"/>
      <w:marBottom w:val="0"/>
      <w:divBdr>
        <w:top w:val="none" w:sz="0" w:space="0" w:color="auto"/>
        <w:left w:val="none" w:sz="0" w:space="0" w:color="auto"/>
        <w:bottom w:val="none" w:sz="0" w:space="0" w:color="auto"/>
        <w:right w:val="none" w:sz="0" w:space="0" w:color="auto"/>
      </w:divBdr>
    </w:div>
    <w:div w:id="2056151368">
      <w:bodyDiv w:val="1"/>
      <w:marLeft w:val="0"/>
      <w:marRight w:val="0"/>
      <w:marTop w:val="0"/>
      <w:marBottom w:val="0"/>
      <w:divBdr>
        <w:top w:val="none" w:sz="0" w:space="0" w:color="auto"/>
        <w:left w:val="none" w:sz="0" w:space="0" w:color="auto"/>
        <w:bottom w:val="none" w:sz="0" w:space="0" w:color="auto"/>
        <w:right w:val="none" w:sz="0" w:space="0" w:color="auto"/>
      </w:divBdr>
    </w:div>
    <w:div w:id="2080788280">
      <w:bodyDiv w:val="1"/>
      <w:marLeft w:val="0"/>
      <w:marRight w:val="0"/>
      <w:marTop w:val="0"/>
      <w:marBottom w:val="0"/>
      <w:divBdr>
        <w:top w:val="none" w:sz="0" w:space="0" w:color="auto"/>
        <w:left w:val="none" w:sz="0" w:space="0" w:color="auto"/>
        <w:bottom w:val="none" w:sz="0" w:space="0" w:color="auto"/>
        <w:right w:val="none" w:sz="0" w:space="0" w:color="auto"/>
      </w:divBdr>
    </w:div>
    <w:div w:id="2091123726">
      <w:bodyDiv w:val="1"/>
      <w:marLeft w:val="0"/>
      <w:marRight w:val="0"/>
      <w:marTop w:val="0"/>
      <w:marBottom w:val="0"/>
      <w:divBdr>
        <w:top w:val="none" w:sz="0" w:space="0" w:color="auto"/>
        <w:left w:val="none" w:sz="0" w:space="0" w:color="auto"/>
        <w:bottom w:val="none" w:sz="0" w:space="0" w:color="auto"/>
        <w:right w:val="none" w:sz="0" w:space="0" w:color="auto"/>
      </w:divBdr>
    </w:div>
    <w:div w:id="2092580931">
      <w:bodyDiv w:val="1"/>
      <w:marLeft w:val="0"/>
      <w:marRight w:val="0"/>
      <w:marTop w:val="0"/>
      <w:marBottom w:val="0"/>
      <w:divBdr>
        <w:top w:val="none" w:sz="0" w:space="0" w:color="auto"/>
        <w:left w:val="none" w:sz="0" w:space="0" w:color="auto"/>
        <w:bottom w:val="none" w:sz="0" w:space="0" w:color="auto"/>
        <w:right w:val="none" w:sz="0" w:space="0" w:color="auto"/>
      </w:divBdr>
    </w:div>
    <w:div w:id="2105221559">
      <w:bodyDiv w:val="1"/>
      <w:marLeft w:val="0"/>
      <w:marRight w:val="0"/>
      <w:marTop w:val="0"/>
      <w:marBottom w:val="0"/>
      <w:divBdr>
        <w:top w:val="none" w:sz="0" w:space="0" w:color="auto"/>
        <w:left w:val="none" w:sz="0" w:space="0" w:color="auto"/>
        <w:bottom w:val="none" w:sz="0" w:space="0" w:color="auto"/>
        <w:right w:val="none" w:sz="0" w:space="0" w:color="auto"/>
      </w:divBdr>
    </w:div>
    <w:div w:id="2127195513">
      <w:bodyDiv w:val="1"/>
      <w:marLeft w:val="0"/>
      <w:marRight w:val="0"/>
      <w:marTop w:val="0"/>
      <w:marBottom w:val="0"/>
      <w:divBdr>
        <w:top w:val="none" w:sz="0" w:space="0" w:color="auto"/>
        <w:left w:val="none" w:sz="0" w:space="0" w:color="auto"/>
        <w:bottom w:val="none" w:sz="0" w:space="0" w:color="auto"/>
        <w:right w:val="none" w:sz="0" w:space="0" w:color="auto"/>
      </w:divBdr>
    </w:div>
    <w:div w:id="2131430850">
      <w:bodyDiv w:val="1"/>
      <w:marLeft w:val="0"/>
      <w:marRight w:val="0"/>
      <w:marTop w:val="0"/>
      <w:marBottom w:val="0"/>
      <w:divBdr>
        <w:top w:val="none" w:sz="0" w:space="0" w:color="auto"/>
        <w:left w:val="none" w:sz="0" w:space="0" w:color="auto"/>
        <w:bottom w:val="none" w:sz="0" w:space="0" w:color="auto"/>
        <w:right w:val="none" w:sz="0" w:space="0" w:color="auto"/>
      </w:divBdr>
    </w:div>
    <w:div w:id="2133745032">
      <w:bodyDiv w:val="1"/>
      <w:marLeft w:val="0"/>
      <w:marRight w:val="0"/>
      <w:marTop w:val="0"/>
      <w:marBottom w:val="0"/>
      <w:divBdr>
        <w:top w:val="none" w:sz="0" w:space="0" w:color="auto"/>
        <w:left w:val="none" w:sz="0" w:space="0" w:color="auto"/>
        <w:bottom w:val="none" w:sz="0" w:space="0" w:color="auto"/>
        <w:right w:val="none" w:sz="0" w:space="0" w:color="auto"/>
      </w:divBdr>
    </w:div>
    <w:div w:id="2135324181">
      <w:bodyDiv w:val="1"/>
      <w:marLeft w:val="0"/>
      <w:marRight w:val="0"/>
      <w:marTop w:val="0"/>
      <w:marBottom w:val="0"/>
      <w:divBdr>
        <w:top w:val="none" w:sz="0" w:space="0" w:color="auto"/>
        <w:left w:val="none" w:sz="0" w:space="0" w:color="auto"/>
        <w:bottom w:val="none" w:sz="0" w:space="0" w:color="auto"/>
        <w:right w:val="none" w:sz="0" w:space="0" w:color="auto"/>
      </w:divBdr>
    </w:div>
    <w:div w:id="214246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92861-DE09-4B1C-8AF4-CCA1F202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37</Pages>
  <Words>30765</Words>
  <Characters>175366</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Tweet</dc:creator>
  <cp:keywords/>
  <dc:description/>
  <cp:lastModifiedBy>Triết Viên</cp:lastModifiedBy>
  <cp:revision>70</cp:revision>
  <cp:lastPrinted>2025-12-30T23:53:00Z</cp:lastPrinted>
  <dcterms:created xsi:type="dcterms:W3CDTF">2025-12-30T03:05:00Z</dcterms:created>
  <dcterms:modified xsi:type="dcterms:W3CDTF">2026-06-23T14:30:00Z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id="FlNJHiad"/&gt;&lt;style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