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881ED1" w14:textId="77777777" w:rsidR="004B6704" w:rsidRPr="00EC6124" w:rsidRDefault="004B6704" w:rsidP="004B6704">
      <w:pPr>
        <w:spacing w:line="312" w:lineRule="auto"/>
        <w:jc w:val="center"/>
        <w:rPr>
          <w:rFonts w:ascii="Times New Roman" w:hAnsi="Times New Roman" w:cs="Times New Roman"/>
          <w:b/>
          <w:sz w:val="26"/>
          <w:szCs w:val="26"/>
        </w:rPr>
      </w:pPr>
      <w:r w:rsidRPr="00EC6124">
        <w:rPr>
          <w:rFonts w:ascii="Times New Roman" w:hAnsi="Times New Roman" w:cs="Times New Roman"/>
          <w:b/>
          <w:sz w:val="26"/>
          <w:szCs w:val="26"/>
        </w:rPr>
        <w:t>TRƯỜNG ĐẠI HỌC MỎ ĐỊA CHẤT</w:t>
      </w:r>
    </w:p>
    <w:p w14:paraId="0613087A" w14:textId="77777777" w:rsidR="004B6704" w:rsidRPr="00EC6124" w:rsidRDefault="004B6704" w:rsidP="004B6704">
      <w:pPr>
        <w:spacing w:line="312" w:lineRule="auto"/>
        <w:jc w:val="center"/>
        <w:rPr>
          <w:rFonts w:ascii="Times New Roman" w:hAnsi="Times New Roman" w:cs="Times New Roman"/>
          <w:b/>
          <w:sz w:val="26"/>
          <w:szCs w:val="26"/>
        </w:rPr>
      </w:pPr>
      <w:r w:rsidRPr="00EC6124">
        <w:rPr>
          <w:rFonts w:ascii="Times New Roman" w:hAnsi="Times New Roman" w:cs="Times New Roman"/>
          <w:b/>
          <w:sz w:val="26"/>
          <w:szCs w:val="26"/>
        </w:rPr>
        <w:t>KHOA KINH TẾ VÀ QUẢN TRỊ KINH DOANH</w:t>
      </w:r>
    </w:p>
    <w:p w14:paraId="2338EDEA" w14:textId="77777777" w:rsidR="004B6704" w:rsidRPr="00EC6124" w:rsidRDefault="004B6704" w:rsidP="004B6704">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w:t>
      </w:r>
    </w:p>
    <w:p w14:paraId="5A0BE952" w14:textId="77777777" w:rsidR="004B6704" w:rsidRPr="00EC6124" w:rsidRDefault="004B6704" w:rsidP="004B6704">
      <w:pPr>
        <w:spacing w:line="312" w:lineRule="auto"/>
        <w:jc w:val="center"/>
        <w:rPr>
          <w:rFonts w:ascii="Times New Roman" w:hAnsi="Times New Roman" w:cs="Times New Roman"/>
          <w:sz w:val="26"/>
          <w:szCs w:val="26"/>
        </w:rPr>
      </w:pPr>
      <w:r w:rsidRPr="00EC6124">
        <w:rPr>
          <w:rFonts w:ascii="Times New Roman" w:hAnsi="Times New Roman" w:cs="Times New Roman"/>
          <w:b/>
          <w:noProof/>
          <w:sz w:val="26"/>
          <w:szCs w:val="26"/>
          <w:lang w:eastAsia="en-US"/>
        </w:rPr>
        <w:drawing>
          <wp:inline distT="0" distB="0" distL="0" distR="0" wp14:anchorId="186A068B" wp14:editId="3F1DAC20">
            <wp:extent cx="1797269" cy="1797269"/>
            <wp:effectExtent l="0" t="0" r="0" b="0"/>
            <wp:docPr id="1" name="Picture 1" descr="A blue circle with white text and a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circle with white text and a globe&#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7519" cy="1807519"/>
                    </a:xfrm>
                    <a:prstGeom prst="rect">
                      <a:avLst/>
                    </a:prstGeom>
                    <a:noFill/>
                    <a:ln>
                      <a:noFill/>
                    </a:ln>
                  </pic:spPr>
                </pic:pic>
              </a:graphicData>
            </a:graphic>
          </wp:inline>
        </w:drawing>
      </w:r>
    </w:p>
    <w:p w14:paraId="1602DB4A" w14:textId="77777777" w:rsidR="004B6704" w:rsidRPr="00EC6124" w:rsidRDefault="004B6704" w:rsidP="004B6704">
      <w:pPr>
        <w:spacing w:line="312" w:lineRule="auto"/>
        <w:jc w:val="both"/>
        <w:rPr>
          <w:rFonts w:ascii="Times New Roman" w:hAnsi="Times New Roman" w:cs="Times New Roman"/>
          <w:sz w:val="26"/>
          <w:szCs w:val="26"/>
        </w:rPr>
      </w:pPr>
    </w:p>
    <w:p w14:paraId="611FF335" w14:textId="069FC8C3" w:rsidR="005B0517" w:rsidRDefault="005B0517" w:rsidP="004B6704">
      <w:pPr>
        <w:spacing w:line="312" w:lineRule="auto"/>
        <w:jc w:val="center"/>
        <w:rPr>
          <w:rFonts w:ascii="Times New Roman" w:hAnsi="Times New Roman" w:cs="Times New Roman"/>
          <w:b/>
          <w:sz w:val="36"/>
          <w:szCs w:val="26"/>
        </w:rPr>
      </w:pPr>
      <w:r>
        <w:rPr>
          <w:rFonts w:ascii="Times New Roman" w:hAnsi="Times New Roman" w:cs="Times New Roman"/>
          <w:b/>
          <w:sz w:val="36"/>
          <w:szCs w:val="26"/>
        </w:rPr>
        <w:t>BÁO CÁO TỔNG KẾT</w:t>
      </w:r>
    </w:p>
    <w:p w14:paraId="06A359F6" w14:textId="71583CC3" w:rsidR="004B6704" w:rsidRPr="00EC6124" w:rsidRDefault="004B6704" w:rsidP="004B6704">
      <w:pPr>
        <w:spacing w:line="312" w:lineRule="auto"/>
        <w:jc w:val="center"/>
        <w:rPr>
          <w:rFonts w:ascii="Times New Roman" w:hAnsi="Times New Roman" w:cs="Times New Roman"/>
          <w:b/>
          <w:sz w:val="26"/>
          <w:szCs w:val="26"/>
        </w:rPr>
      </w:pPr>
      <w:r w:rsidRPr="005B0517">
        <w:rPr>
          <w:rFonts w:ascii="Times New Roman" w:hAnsi="Times New Roman" w:cs="Times New Roman"/>
          <w:b/>
          <w:sz w:val="36"/>
          <w:szCs w:val="26"/>
        </w:rPr>
        <w:t>NGHIÊN CỨU KHOA HỌC</w:t>
      </w:r>
    </w:p>
    <w:p w14:paraId="43BEEF0F" w14:textId="77777777" w:rsidR="004B6704" w:rsidRPr="00EC6124" w:rsidRDefault="004B6704" w:rsidP="004B6704">
      <w:pPr>
        <w:spacing w:line="312" w:lineRule="auto"/>
        <w:jc w:val="center"/>
        <w:rPr>
          <w:rFonts w:ascii="Times New Roman" w:hAnsi="Times New Roman" w:cs="Times New Roman"/>
          <w:b/>
          <w:sz w:val="26"/>
          <w:szCs w:val="26"/>
        </w:rPr>
      </w:pPr>
    </w:p>
    <w:p w14:paraId="0EE5F13D" w14:textId="77777777" w:rsidR="004B6704" w:rsidRPr="00EC6124" w:rsidRDefault="004B6704" w:rsidP="004B6704">
      <w:pPr>
        <w:spacing w:line="312" w:lineRule="auto"/>
        <w:rPr>
          <w:rFonts w:ascii="Times New Roman" w:hAnsi="Times New Roman" w:cs="Times New Roman"/>
          <w:b/>
          <w:i/>
          <w:sz w:val="26"/>
          <w:szCs w:val="26"/>
          <w:u w:val="single"/>
        </w:rPr>
      </w:pPr>
      <w:r w:rsidRPr="00EC6124">
        <w:rPr>
          <w:rFonts w:ascii="Times New Roman" w:hAnsi="Times New Roman" w:cs="Times New Roman"/>
          <w:b/>
          <w:i/>
          <w:sz w:val="26"/>
          <w:szCs w:val="26"/>
          <w:u w:val="single"/>
        </w:rPr>
        <w:t>Đề tài:</w:t>
      </w:r>
    </w:p>
    <w:p w14:paraId="5D4EF5DE" w14:textId="77777777" w:rsidR="002C3015" w:rsidRDefault="004B6704" w:rsidP="004B6704">
      <w:pPr>
        <w:spacing w:line="312" w:lineRule="auto"/>
        <w:jc w:val="center"/>
        <w:rPr>
          <w:rFonts w:ascii="Times New Roman" w:hAnsi="Times New Roman" w:cs="Times New Roman"/>
          <w:b/>
          <w:sz w:val="26"/>
          <w:szCs w:val="26"/>
          <w:lang w:val="vi-VN"/>
        </w:rPr>
      </w:pPr>
      <w:r w:rsidRPr="00EC6124">
        <w:rPr>
          <w:rFonts w:ascii="Times New Roman" w:hAnsi="Times New Roman" w:cs="Times New Roman"/>
          <w:b/>
          <w:sz w:val="26"/>
          <w:szCs w:val="26"/>
        </w:rPr>
        <w:t xml:space="preserve">NGHIÊN CỨU AN TOÀN TÀI CHÍNH CỦA CÁC CÔNG TY </w:t>
      </w:r>
    </w:p>
    <w:p w14:paraId="26645C05" w14:textId="3FBCDE25" w:rsidR="004B6704" w:rsidRDefault="004B6704" w:rsidP="002C3015">
      <w:pPr>
        <w:spacing w:line="312" w:lineRule="auto"/>
        <w:jc w:val="center"/>
        <w:rPr>
          <w:rFonts w:ascii="Times New Roman" w:hAnsi="Times New Roman" w:cs="Times New Roman"/>
          <w:b/>
          <w:sz w:val="26"/>
          <w:szCs w:val="26"/>
          <w:lang w:val="vi-VN"/>
        </w:rPr>
      </w:pPr>
      <w:r w:rsidRPr="00130403">
        <w:rPr>
          <w:rFonts w:ascii="Times New Roman" w:hAnsi="Times New Roman" w:cs="Times New Roman"/>
          <w:b/>
          <w:sz w:val="26"/>
          <w:szCs w:val="26"/>
          <w:lang w:val="vi-VN"/>
        </w:rPr>
        <w:t>CỔ PHẦN NIÊM YẾT THUỘC TKV</w:t>
      </w:r>
    </w:p>
    <w:p w14:paraId="4BA3074F" w14:textId="15284880" w:rsidR="005B0517" w:rsidRDefault="005B0517" w:rsidP="002C3015">
      <w:pPr>
        <w:spacing w:line="312" w:lineRule="auto"/>
        <w:jc w:val="center"/>
        <w:rPr>
          <w:rFonts w:ascii="Times New Roman" w:hAnsi="Times New Roman" w:cs="Times New Roman"/>
          <w:b/>
          <w:sz w:val="26"/>
          <w:szCs w:val="26"/>
          <w:lang w:val="vi-VN"/>
        </w:rPr>
      </w:pPr>
    </w:p>
    <w:p w14:paraId="45721A9C" w14:textId="77777777" w:rsidR="005B0517" w:rsidRPr="002C3015" w:rsidRDefault="005B0517" w:rsidP="002C3015">
      <w:pPr>
        <w:spacing w:line="312" w:lineRule="auto"/>
        <w:jc w:val="center"/>
        <w:rPr>
          <w:rFonts w:ascii="Times New Roman" w:hAnsi="Times New Roman" w:cs="Times New Roman"/>
          <w:b/>
          <w:sz w:val="26"/>
          <w:szCs w:val="26"/>
          <w:lang w:val="vi-VN"/>
        </w:rPr>
      </w:pPr>
    </w:p>
    <w:p w14:paraId="732B01C2" w14:textId="77777777" w:rsidR="004B6704" w:rsidRPr="00130403" w:rsidRDefault="004B6704" w:rsidP="004B6704">
      <w:pPr>
        <w:spacing w:line="312" w:lineRule="auto"/>
        <w:jc w:val="both"/>
        <w:rPr>
          <w:rFonts w:ascii="Times New Roman" w:hAnsi="Times New Roman" w:cs="Times New Roman"/>
          <w:b/>
          <w:sz w:val="26"/>
          <w:szCs w:val="26"/>
          <w:lang w:val="vi-VN"/>
        </w:rPr>
      </w:pPr>
    </w:p>
    <w:p w14:paraId="53EF566D" w14:textId="77777777" w:rsidR="004B6704" w:rsidRPr="00EC6124" w:rsidRDefault="004B6704" w:rsidP="005B0517">
      <w:pPr>
        <w:spacing w:line="312" w:lineRule="auto"/>
        <w:ind w:left="709"/>
        <w:jc w:val="both"/>
        <w:rPr>
          <w:rFonts w:ascii="Times New Roman" w:hAnsi="Times New Roman" w:cs="Times New Roman"/>
          <w:sz w:val="26"/>
          <w:szCs w:val="26"/>
          <w:lang w:val="vi-VN"/>
        </w:rPr>
      </w:pPr>
      <w:r w:rsidRPr="00B564BE">
        <w:rPr>
          <w:rFonts w:ascii="Times New Roman" w:hAnsi="Times New Roman" w:cs="Times New Roman"/>
          <w:b/>
          <w:sz w:val="26"/>
          <w:szCs w:val="26"/>
          <w:lang w:val="vi-VN"/>
        </w:rPr>
        <w:t xml:space="preserve">Giảng viên hướng dẫn: </w:t>
      </w:r>
      <w:r w:rsidRPr="00B564BE">
        <w:rPr>
          <w:rFonts w:ascii="Times New Roman" w:hAnsi="Times New Roman" w:cs="Times New Roman"/>
          <w:sz w:val="26"/>
          <w:szCs w:val="26"/>
          <w:lang w:val="vi-VN"/>
        </w:rPr>
        <w:t>TS Lưu Thị Thu Hà</w:t>
      </w:r>
    </w:p>
    <w:p w14:paraId="1FD3839E" w14:textId="77777777" w:rsidR="004B6704" w:rsidRPr="00EC6124" w:rsidRDefault="004B6704" w:rsidP="005B0517">
      <w:pPr>
        <w:spacing w:line="312" w:lineRule="auto"/>
        <w:ind w:left="709"/>
        <w:jc w:val="both"/>
        <w:rPr>
          <w:rFonts w:ascii="Times New Roman" w:hAnsi="Times New Roman" w:cs="Times New Roman"/>
          <w:b/>
          <w:sz w:val="26"/>
          <w:szCs w:val="26"/>
        </w:rPr>
      </w:pPr>
      <w:r w:rsidRPr="00EC6124">
        <w:rPr>
          <w:rFonts w:ascii="Times New Roman" w:hAnsi="Times New Roman" w:cs="Times New Roman"/>
          <w:b/>
          <w:sz w:val="26"/>
          <w:szCs w:val="26"/>
        </w:rPr>
        <w:t xml:space="preserve">Nhóm thực hiện: </w:t>
      </w:r>
    </w:p>
    <w:p w14:paraId="106D0D15" w14:textId="77777777" w:rsidR="004B6704" w:rsidRPr="00EC6124" w:rsidRDefault="004B6704" w:rsidP="005B0517">
      <w:pPr>
        <w:pStyle w:val="ListParagraph"/>
        <w:numPr>
          <w:ilvl w:val="0"/>
          <w:numId w:val="1"/>
        </w:numPr>
        <w:spacing w:line="312" w:lineRule="auto"/>
        <w:ind w:left="709" w:firstLine="567"/>
        <w:jc w:val="both"/>
        <w:rPr>
          <w:rFonts w:ascii="Times New Roman" w:hAnsi="Times New Roman" w:cs="Times New Roman"/>
          <w:sz w:val="26"/>
          <w:szCs w:val="26"/>
          <w:lang w:val="vi-VN"/>
        </w:rPr>
      </w:pPr>
      <w:r w:rsidRPr="00EC6124">
        <w:rPr>
          <w:rFonts w:ascii="Times New Roman" w:hAnsi="Times New Roman" w:cs="Times New Roman"/>
          <w:sz w:val="26"/>
          <w:szCs w:val="26"/>
        </w:rPr>
        <w:t>Nguyễn Thị Minh Nguyệt - 2224010867</w:t>
      </w:r>
    </w:p>
    <w:p w14:paraId="429B9973" w14:textId="77777777" w:rsidR="004B6704" w:rsidRPr="00EC6124" w:rsidRDefault="004B6704" w:rsidP="005B0517">
      <w:pPr>
        <w:pStyle w:val="ListParagraph"/>
        <w:numPr>
          <w:ilvl w:val="0"/>
          <w:numId w:val="1"/>
        </w:numPr>
        <w:spacing w:line="312" w:lineRule="auto"/>
        <w:ind w:left="709" w:firstLine="567"/>
        <w:jc w:val="both"/>
        <w:rPr>
          <w:rFonts w:ascii="Times New Roman" w:hAnsi="Times New Roman" w:cs="Times New Roman"/>
          <w:sz w:val="26"/>
          <w:szCs w:val="26"/>
          <w:lang w:val="vi-VN"/>
        </w:rPr>
      </w:pPr>
      <w:r w:rsidRPr="00EC6124">
        <w:rPr>
          <w:rFonts w:ascii="Times New Roman" w:hAnsi="Times New Roman" w:cs="Times New Roman"/>
          <w:sz w:val="26"/>
          <w:szCs w:val="26"/>
        </w:rPr>
        <w:t>Lý Phương Anh - 2224010506</w:t>
      </w:r>
    </w:p>
    <w:p w14:paraId="665A9ACE" w14:textId="77777777" w:rsidR="004B6704" w:rsidRPr="00EC6124" w:rsidRDefault="004B6704" w:rsidP="005B0517">
      <w:pPr>
        <w:pStyle w:val="ListParagraph"/>
        <w:numPr>
          <w:ilvl w:val="0"/>
          <w:numId w:val="1"/>
        </w:numPr>
        <w:spacing w:line="312" w:lineRule="auto"/>
        <w:ind w:left="709" w:firstLine="567"/>
        <w:jc w:val="both"/>
        <w:rPr>
          <w:rFonts w:ascii="Times New Roman" w:hAnsi="Times New Roman" w:cs="Times New Roman"/>
          <w:sz w:val="26"/>
          <w:szCs w:val="26"/>
          <w:lang w:val="vi-VN"/>
        </w:rPr>
      </w:pPr>
      <w:r w:rsidRPr="00EC6124">
        <w:rPr>
          <w:rFonts w:ascii="Times New Roman" w:hAnsi="Times New Roman" w:cs="Times New Roman"/>
          <w:sz w:val="26"/>
          <w:szCs w:val="26"/>
        </w:rPr>
        <w:t>Lê Thị Ngọc Anh - 2224010477</w:t>
      </w:r>
    </w:p>
    <w:p w14:paraId="3CF1BC5C" w14:textId="77777777" w:rsidR="004B6704" w:rsidRPr="00EC6124" w:rsidRDefault="004B6704" w:rsidP="005B0517">
      <w:pPr>
        <w:pStyle w:val="ListParagraph"/>
        <w:numPr>
          <w:ilvl w:val="0"/>
          <w:numId w:val="1"/>
        </w:numPr>
        <w:spacing w:line="312" w:lineRule="auto"/>
        <w:ind w:left="709" w:firstLine="567"/>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Lê Thị </w:t>
      </w:r>
      <w:r w:rsidRPr="00EC6124">
        <w:rPr>
          <w:rFonts w:ascii="Times New Roman" w:hAnsi="Times New Roman" w:cs="Times New Roman"/>
          <w:sz w:val="26"/>
          <w:szCs w:val="26"/>
        </w:rPr>
        <w:t>Đan – 2224010737</w:t>
      </w:r>
    </w:p>
    <w:p w14:paraId="20D3E200" w14:textId="77777777" w:rsidR="004B6704" w:rsidRPr="00EC6124" w:rsidRDefault="004B6704" w:rsidP="004B6704">
      <w:pPr>
        <w:pStyle w:val="ListParagraph"/>
        <w:spacing w:line="312" w:lineRule="auto"/>
        <w:jc w:val="both"/>
        <w:rPr>
          <w:rFonts w:ascii="Times New Roman" w:hAnsi="Times New Roman" w:cs="Times New Roman"/>
          <w:sz w:val="26"/>
          <w:szCs w:val="26"/>
          <w:lang w:val="vi-VN"/>
        </w:rPr>
      </w:pPr>
    </w:p>
    <w:p w14:paraId="7B91E5E6" w14:textId="77777777" w:rsidR="004B6704" w:rsidRPr="00EC6124" w:rsidRDefault="004B6704" w:rsidP="004B6704">
      <w:pPr>
        <w:pStyle w:val="ListParagraph"/>
        <w:spacing w:line="312" w:lineRule="auto"/>
        <w:jc w:val="both"/>
        <w:rPr>
          <w:rFonts w:ascii="Times New Roman" w:hAnsi="Times New Roman" w:cs="Times New Roman"/>
          <w:sz w:val="26"/>
          <w:szCs w:val="26"/>
          <w:lang w:val="vi-VN"/>
        </w:rPr>
      </w:pPr>
    </w:p>
    <w:p w14:paraId="272DA8D5" w14:textId="77777777" w:rsidR="004B6704" w:rsidRPr="00EC6124" w:rsidRDefault="004B6704" w:rsidP="004B6704">
      <w:pPr>
        <w:pStyle w:val="ListParagraph"/>
        <w:spacing w:line="312" w:lineRule="auto"/>
        <w:jc w:val="both"/>
        <w:rPr>
          <w:rFonts w:ascii="Times New Roman" w:hAnsi="Times New Roman" w:cs="Times New Roman"/>
          <w:sz w:val="26"/>
          <w:szCs w:val="26"/>
          <w:lang w:val="vi-VN"/>
        </w:rPr>
      </w:pPr>
    </w:p>
    <w:p w14:paraId="1DB2CC06" w14:textId="77777777" w:rsidR="004B6704" w:rsidRPr="00EC6124" w:rsidRDefault="004B6704" w:rsidP="004B6704">
      <w:pPr>
        <w:pStyle w:val="ListParagraph"/>
        <w:spacing w:line="312" w:lineRule="auto"/>
        <w:jc w:val="both"/>
        <w:rPr>
          <w:rFonts w:ascii="Times New Roman" w:hAnsi="Times New Roman" w:cs="Times New Roman"/>
          <w:sz w:val="26"/>
          <w:szCs w:val="26"/>
          <w:lang w:val="vi-VN"/>
        </w:rPr>
      </w:pPr>
    </w:p>
    <w:p w14:paraId="6F49B115" w14:textId="77777777" w:rsidR="004B6704" w:rsidRPr="00EC6124" w:rsidRDefault="004B6704" w:rsidP="004B6704">
      <w:pPr>
        <w:pStyle w:val="ListParagraph"/>
        <w:spacing w:line="312" w:lineRule="auto"/>
        <w:jc w:val="both"/>
        <w:rPr>
          <w:rFonts w:ascii="Times New Roman" w:hAnsi="Times New Roman" w:cs="Times New Roman"/>
          <w:sz w:val="26"/>
          <w:szCs w:val="26"/>
          <w:lang w:val="vi-VN"/>
        </w:rPr>
      </w:pPr>
    </w:p>
    <w:p w14:paraId="791B6797" w14:textId="77777777" w:rsidR="004B6704" w:rsidRPr="00EC6124" w:rsidRDefault="004B6704" w:rsidP="004B6704">
      <w:pPr>
        <w:pStyle w:val="ListParagraph"/>
        <w:spacing w:line="312" w:lineRule="auto"/>
        <w:jc w:val="both"/>
        <w:rPr>
          <w:rFonts w:ascii="Times New Roman" w:hAnsi="Times New Roman" w:cs="Times New Roman"/>
          <w:sz w:val="26"/>
          <w:szCs w:val="26"/>
          <w:lang w:val="vi-VN"/>
        </w:rPr>
      </w:pPr>
    </w:p>
    <w:p w14:paraId="2B61FA87" w14:textId="77777777" w:rsidR="004B6704" w:rsidRPr="003803F6" w:rsidRDefault="004B6704" w:rsidP="004B6704">
      <w:pPr>
        <w:pStyle w:val="ListParagraph"/>
        <w:spacing w:line="312" w:lineRule="auto"/>
        <w:jc w:val="both"/>
        <w:rPr>
          <w:rFonts w:ascii="Times New Roman" w:hAnsi="Times New Roman" w:cs="Times New Roman"/>
          <w:sz w:val="44"/>
          <w:szCs w:val="26"/>
          <w:lang w:val="vi-VN"/>
        </w:rPr>
      </w:pPr>
    </w:p>
    <w:p w14:paraId="68D4CB75" w14:textId="77777777" w:rsidR="004B6704" w:rsidRPr="00EC6124" w:rsidRDefault="004B6704" w:rsidP="004B6704">
      <w:pPr>
        <w:pStyle w:val="ListParagraph"/>
        <w:spacing w:line="312" w:lineRule="auto"/>
        <w:jc w:val="both"/>
        <w:rPr>
          <w:rFonts w:ascii="Times New Roman" w:hAnsi="Times New Roman" w:cs="Times New Roman"/>
          <w:sz w:val="26"/>
          <w:szCs w:val="26"/>
          <w:lang w:val="vi-VN"/>
        </w:rPr>
      </w:pPr>
    </w:p>
    <w:p w14:paraId="468E2D1B" w14:textId="77777777" w:rsidR="004B6704" w:rsidRPr="00EC6124" w:rsidRDefault="004B6704" w:rsidP="004B6704">
      <w:pPr>
        <w:spacing w:line="312" w:lineRule="auto"/>
        <w:jc w:val="center"/>
        <w:rPr>
          <w:rFonts w:ascii="Times New Roman" w:hAnsi="Times New Roman" w:cs="Times New Roman"/>
          <w:b/>
          <w:sz w:val="26"/>
          <w:szCs w:val="26"/>
        </w:rPr>
      </w:pPr>
      <w:r w:rsidRPr="00EC6124">
        <w:rPr>
          <w:rFonts w:ascii="Times New Roman" w:hAnsi="Times New Roman" w:cs="Times New Roman"/>
          <w:b/>
          <w:sz w:val="26"/>
          <w:szCs w:val="26"/>
        </w:rPr>
        <w:t>Hà Nội – 5/2025</w:t>
      </w:r>
    </w:p>
    <w:p w14:paraId="35AA9BCC" w14:textId="77777777" w:rsidR="003803F6" w:rsidRDefault="003803F6" w:rsidP="002F29F9">
      <w:pPr>
        <w:pStyle w:val="P1"/>
        <w:rPr>
          <w:lang w:val="vi-VN"/>
        </w:rPr>
        <w:sectPr w:rsidR="003803F6" w:rsidSect="003803F6">
          <w:pgSz w:w="11901" w:h="16840"/>
          <w:pgMar w:top="1134" w:right="1134" w:bottom="1134" w:left="1701" w:header="709" w:footer="709" w:gutter="0"/>
          <w:pgBorders w:display="firstPage">
            <w:top w:val="thinThickSmallGap" w:sz="24" w:space="1" w:color="auto"/>
            <w:left w:val="thinThickSmallGap" w:sz="24" w:space="4" w:color="auto"/>
            <w:bottom w:val="thickThinSmallGap" w:sz="24" w:space="1" w:color="auto"/>
            <w:right w:val="thickThinSmallGap" w:sz="24" w:space="4" w:color="auto"/>
          </w:pgBorders>
          <w:pgNumType w:fmt="lowerRoman" w:start="1"/>
          <w:cols w:space="708"/>
          <w:docGrid w:linePitch="360"/>
        </w:sectPr>
      </w:pPr>
      <w:bookmarkStart w:id="0" w:name="_Toc197781123"/>
      <w:bookmarkStart w:id="1" w:name="_Toc197781405"/>
      <w:bookmarkStart w:id="2" w:name="_Toc198281641"/>
      <w:bookmarkStart w:id="3" w:name="_Toc198284426"/>
      <w:bookmarkStart w:id="4" w:name="_Toc198709947"/>
    </w:p>
    <w:p w14:paraId="6255D227" w14:textId="28E9F81A" w:rsidR="004B6704" w:rsidRPr="00B564BE" w:rsidRDefault="004B6704" w:rsidP="002F29F9">
      <w:pPr>
        <w:pStyle w:val="P1"/>
        <w:rPr>
          <w:lang w:val="vi-VN"/>
        </w:rPr>
      </w:pPr>
      <w:r w:rsidRPr="00B564BE">
        <w:rPr>
          <w:lang w:val="vi-VN"/>
        </w:rPr>
        <w:lastRenderedPageBreak/>
        <w:t>LỜI CAM ĐOAN</w:t>
      </w:r>
      <w:bookmarkEnd w:id="0"/>
      <w:bookmarkEnd w:id="1"/>
      <w:bookmarkEnd w:id="2"/>
      <w:bookmarkEnd w:id="3"/>
      <w:bookmarkEnd w:id="4"/>
    </w:p>
    <w:p w14:paraId="116C047A" w14:textId="77777777" w:rsidR="004B6704" w:rsidRPr="00EC6124" w:rsidRDefault="004B6704" w:rsidP="004B6704">
      <w:pPr>
        <w:spacing w:line="312" w:lineRule="auto"/>
        <w:jc w:val="both"/>
        <w:rPr>
          <w:rFonts w:ascii="Times New Roman" w:hAnsi="Times New Roman" w:cs="Times New Roman"/>
          <w:sz w:val="26"/>
          <w:szCs w:val="26"/>
          <w:lang w:val="vi-VN"/>
        </w:rPr>
      </w:pPr>
      <w:r w:rsidRPr="00B564BE">
        <w:rPr>
          <w:rFonts w:ascii="Times New Roman" w:hAnsi="Times New Roman" w:cs="Times New Roman"/>
          <w:sz w:val="26"/>
          <w:szCs w:val="26"/>
          <w:lang w:val="vi-VN"/>
        </w:rPr>
        <w:t>Chúng</w:t>
      </w:r>
      <w:r w:rsidRPr="00EC6124">
        <w:rPr>
          <w:rFonts w:ascii="Times New Roman" w:hAnsi="Times New Roman" w:cs="Times New Roman"/>
          <w:sz w:val="26"/>
          <w:szCs w:val="26"/>
          <w:lang w:val="vi-VN"/>
        </w:rPr>
        <w:t xml:space="preserve"> tô</w:t>
      </w:r>
      <w:r w:rsidRPr="00B564BE">
        <w:rPr>
          <w:rFonts w:ascii="Times New Roman" w:hAnsi="Times New Roman" w:cs="Times New Roman"/>
          <w:sz w:val="26"/>
          <w:szCs w:val="26"/>
          <w:lang w:val="vi-VN"/>
        </w:rPr>
        <w:t>i xin cam đoan đề</w:t>
      </w:r>
      <w:r w:rsidRPr="00EC6124">
        <w:rPr>
          <w:rFonts w:ascii="Times New Roman" w:hAnsi="Times New Roman" w:cs="Times New Roman"/>
          <w:sz w:val="26"/>
          <w:szCs w:val="26"/>
          <w:lang w:val="vi-VN"/>
        </w:rPr>
        <w:t xml:space="preserve"> tài NCKH </w:t>
      </w:r>
      <w:r w:rsidRPr="00B564BE">
        <w:rPr>
          <w:rFonts w:ascii="Times New Roman" w:hAnsi="Times New Roman" w:cs="Times New Roman"/>
          <w:sz w:val="26"/>
          <w:szCs w:val="26"/>
          <w:lang w:val="vi-VN"/>
        </w:rPr>
        <w:t>là công trình nghiên cứu khoa học độc lập của</w:t>
      </w:r>
      <w:r w:rsidRPr="00EC6124">
        <w:rPr>
          <w:rFonts w:ascii="Times New Roman" w:hAnsi="Times New Roman" w:cs="Times New Roman"/>
          <w:sz w:val="26"/>
          <w:szCs w:val="26"/>
          <w:lang w:val="vi-VN"/>
        </w:rPr>
        <w:t xml:space="preserve"> chúng</w:t>
      </w:r>
      <w:r w:rsidRPr="00B564BE">
        <w:rPr>
          <w:rFonts w:ascii="Times New Roman" w:hAnsi="Times New Roman" w:cs="Times New Roman"/>
          <w:sz w:val="26"/>
          <w:szCs w:val="26"/>
          <w:lang w:val="vi-VN"/>
        </w:rPr>
        <w:t xml:space="preserve"> tôi. Các số liệu kết quả nêu trong chuyên đề là trung thực và có nguồn gốc rõ ràng. </w:t>
      </w:r>
    </w:p>
    <w:p w14:paraId="77F47BC8" w14:textId="77777777" w:rsidR="004B6704" w:rsidRPr="00EC6124" w:rsidRDefault="004B6704" w:rsidP="004B6704">
      <w:pPr>
        <w:spacing w:line="312" w:lineRule="auto"/>
        <w:jc w:val="both"/>
        <w:rPr>
          <w:rFonts w:ascii="Times New Roman" w:hAnsi="Times New Roman" w:cs="Times New Roman"/>
          <w:sz w:val="26"/>
          <w:szCs w:val="26"/>
          <w:lang w:val="vi-VN"/>
        </w:rPr>
      </w:pPr>
    </w:p>
    <w:p w14:paraId="793DA216" w14:textId="77777777" w:rsidR="004B6704" w:rsidRPr="00EC6124" w:rsidRDefault="004B6704" w:rsidP="004B6704">
      <w:pPr>
        <w:spacing w:line="312" w:lineRule="auto"/>
        <w:jc w:val="both"/>
        <w:rPr>
          <w:rFonts w:ascii="Times New Roman" w:hAnsi="Times New Roman" w:cs="Times New Roman"/>
          <w:sz w:val="26"/>
          <w:szCs w:val="26"/>
          <w:lang w:val="vi-VN"/>
        </w:rPr>
      </w:pPr>
    </w:p>
    <w:p w14:paraId="4C801EB4" w14:textId="77777777" w:rsidR="004B6704" w:rsidRPr="00B564BE" w:rsidRDefault="004B6704" w:rsidP="004B6704">
      <w:pPr>
        <w:spacing w:line="312" w:lineRule="auto"/>
        <w:jc w:val="both"/>
        <w:rPr>
          <w:rFonts w:ascii="Times New Roman" w:hAnsi="Times New Roman" w:cs="Times New Roman"/>
          <w:noProof/>
          <w:sz w:val="26"/>
          <w:szCs w:val="26"/>
          <w:lang w:val="vi-VN"/>
        </w:rPr>
      </w:pPr>
      <w:r w:rsidRPr="00EC6124">
        <w:rPr>
          <w:rFonts w:ascii="Times New Roman" w:hAnsi="Times New Roman" w:cs="Times New Roman"/>
          <w:b/>
          <w:bCs/>
          <w:sz w:val="26"/>
          <w:szCs w:val="26"/>
          <w:lang w:val="vi-VN"/>
        </w:rPr>
        <w:br w:type="page"/>
      </w:r>
      <w:bookmarkStart w:id="5" w:name="_GoBack"/>
      <w:bookmarkEnd w:id="5"/>
      <w:r w:rsidRPr="00EC6124">
        <w:rPr>
          <w:rFonts w:ascii="Times New Roman" w:hAnsi="Times New Roman" w:cs="Times New Roman"/>
          <w:b/>
          <w:bCs/>
          <w:sz w:val="26"/>
          <w:szCs w:val="26"/>
          <w:lang w:val="vi-VN"/>
        </w:rPr>
        <w:fldChar w:fldCharType="begin"/>
      </w:r>
      <w:r w:rsidRPr="00EC6124">
        <w:rPr>
          <w:rFonts w:ascii="Times New Roman" w:hAnsi="Times New Roman" w:cs="Times New Roman"/>
          <w:b/>
          <w:bCs/>
          <w:sz w:val="26"/>
          <w:szCs w:val="26"/>
          <w:lang w:val="vi-VN"/>
        </w:rPr>
        <w:instrText xml:space="preserve"> TOC \o "1-4" \h \z \u </w:instrText>
      </w:r>
      <w:r w:rsidRPr="00EC6124">
        <w:rPr>
          <w:rFonts w:ascii="Times New Roman" w:hAnsi="Times New Roman" w:cs="Times New Roman"/>
          <w:b/>
          <w:bCs/>
          <w:sz w:val="26"/>
          <w:szCs w:val="26"/>
          <w:lang w:val="vi-VN"/>
        </w:rPr>
        <w:fldChar w:fldCharType="separate"/>
      </w:r>
    </w:p>
    <w:p w14:paraId="7088DF78" w14:textId="12B599C1" w:rsidR="005B0517" w:rsidRPr="00B167D1" w:rsidRDefault="004B6704" w:rsidP="005B0517">
      <w:pPr>
        <w:spacing w:line="312" w:lineRule="auto"/>
        <w:jc w:val="center"/>
        <w:rPr>
          <w:rFonts w:ascii="Times New Roman" w:hAnsi="Times New Roman" w:cs="Times New Roman"/>
          <w:b/>
          <w:bCs/>
          <w:sz w:val="26"/>
          <w:szCs w:val="26"/>
          <w:lang w:val="vi-VN"/>
        </w:rPr>
      </w:pPr>
      <w:r w:rsidRPr="00EC6124">
        <w:rPr>
          <w:rFonts w:ascii="Times New Roman" w:hAnsi="Times New Roman" w:cs="Times New Roman"/>
          <w:b/>
          <w:bCs/>
          <w:sz w:val="26"/>
          <w:szCs w:val="26"/>
          <w:lang w:val="vi-VN"/>
        </w:rPr>
        <w:lastRenderedPageBreak/>
        <w:fldChar w:fldCharType="end"/>
      </w:r>
      <w:r w:rsidR="005B0517" w:rsidRPr="002F29F9">
        <w:rPr>
          <w:rFonts w:ascii="Times New Roman" w:hAnsi="Times New Roman" w:cs="Times New Roman"/>
          <w:b/>
          <w:bCs/>
          <w:sz w:val="26"/>
          <w:szCs w:val="26"/>
          <w:lang w:val="vi-VN"/>
        </w:rPr>
        <w:t>MỤC LỤC</w:t>
      </w:r>
    </w:p>
    <w:sdt>
      <w:sdtPr>
        <w:rPr>
          <w:rFonts w:asciiTheme="minorHAnsi" w:eastAsiaTheme="minorEastAsia" w:hAnsiTheme="minorHAnsi" w:cstheme="minorBidi"/>
          <w:bCs w:val="0"/>
          <w:color w:val="auto"/>
          <w:kern w:val="2"/>
          <w:sz w:val="24"/>
          <w:szCs w:val="24"/>
          <w14:ligatures w14:val="standardContextual"/>
        </w:rPr>
        <w:id w:val="1796484522"/>
        <w:docPartObj>
          <w:docPartGallery w:val="Table of Contents"/>
          <w:docPartUnique/>
        </w:docPartObj>
      </w:sdtPr>
      <w:sdtEndPr>
        <w:rPr>
          <w:rFonts w:asciiTheme="majorHAnsi" w:hAnsiTheme="majorHAnsi" w:cstheme="majorHAnsi"/>
          <w:b/>
          <w:noProof/>
          <w:sz w:val="26"/>
          <w:szCs w:val="26"/>
        </w:rPr>
      </w:sdtEndPr>
      <w:sdtContent>
        <w:p w14:paraId="4DF1E266" w14:textId="1DFAEF6A" w:rsidR="005B0517" w:rsidRPr="00ED419E" w:rsidRDefault="005B0517">
          <w:pPr>
            <w:pStyle w:val="TOCHeading"/>
            <w:rPr>
              <w:rFonts w:cstheme="majorHAnsi"/>
              <w:sz w:val="26"/>
              <w:szCs w:val="26"/>
            </w:rPr>
          </w:pPr>
        </w:p>
        <w:p w14:paraId="48165AD3" w14:textId="59125EFA" w:rsidR="00ED419E" w:rsidRPr="00ED419E" w:rsidRDefault="005B0517">
          <w:pPr>
            <w:pStyle w:val="TOC1"/>
            <w:rPr>
              <w:rFonts w:asciiTheme="majorHAnsi" w:hAnsiTheme="majorHAnsi" w:cstheme="majorHAnsi"/>
              <w:b w:val="0"/>
              <w:bCs w:val="0"/>
              <w:i w:val="0"/>
              <w:iCs w:val="0"/>
              <w:noProof/>
              <w:sz w:val="26"/>
              <w:szCs w:val="26"/>
              <w:lang w:val="vi-VN" w:eastAsia="vi-VN"/>
            </w:rPr>
          </w:pPr>
          <w:r w:rsidRPr="00ED419E">
            <w:rPr>
              <w:rFonts w:asciiTheme="majorHAnsi" w:hAnsiTheme="majorHAnsi" w:cstheme="majorHAnsi"/>
              <w:i w:val="0"/>
              <w:sz w:val="26"/>
              <w:szCs w:val="26"/>
            </w:rPr>
            <w:fldChar w:fldCharType="begin"/>
          </w:r>
          <w:r w:rsidRPr="00ED419E">
            <w:rPr>
              <w:rFonts w:asciiTheme="majorHAnsi" w:hAnsiTheme="majorHAnsi" w:cstheme="majorHAnsi"/>
              <w:i w:val="0"/>
              <w:sz w:val="26"/>
              <w:szCs w:val="26"/>
            </w:rPr>
            <w:instrText xml:space="preserve"> TOC \o "1-3" \h \z \u </w:instrText>
          </w:r>
          <w:r w:rsidRPr="00ED419E">
            <w:rPr>
              <w:rFonts w:asciiTheme="majorHAnsi" w:hAnsiTheme="majorHAnsi" w:cstheme="majorHAnsi"/>
              <w:i w:val="0"/>
              <w:sz w:val="26"/>
              <w:szCs w:val="26"/>
            </w:rPr>
            <w:fldChar w:fldCharType="separate"/>
          </w:r>
          <w:hyperlink w:anchor="_Toc198709947" w:history="1">
            <w:r w:rsidR="00ED419E" w:rsidRPr="00ED419E">
              <w:rPr>
                <w:rStyle w:val="Hyperlink"/>
                <w:rFonts w:asciiTheme="majorHAnsi" w:hAnsiTheme="majorHAnsi" w:cstheme="majorHAnsi"/>
                <w:noProof/>
                <w:sz w:val="26"/>
                <w:szCs w:val="26"/>
                <w:lang w:val="vi-VN"/>
              </w:rPr>
              <w:t>LỜI CAM ĐOAN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_Toc198709947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i</w:t>
            </w:r>
            <w:r w:rsidR="00ED419E" w:rsidRPr="00ED419E">
              <w:rPr>
                <w:rFonts w:asciiTheme="majorHAnsi" w:hAnsiTheme="majorHAnsi" w:cstheme="majorHAnsi"/>
                <w:noProof/>
                <w:webHidden/>
                <w:sz w:val="26"/>
                <w:szCs w:val="26"/>
              </w:rPr>
              <w:fldChar w:fldCharType="end"/>
            </w:r>
          </w:hyperlink>
        </w:p>
        <w:p w14:paraId="1CA73EF3" w14:textId="659344B1"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09948" w:history="1">
            <w:r w:rsidR="00ED419E" w:rsidRPr="00ED419E">
              <w:rPr>
                <w:rStyle w:val="Hyperlink"/>
                <w:rFonts w:asciiTheme="majorHAnsi" w:hAnsiTheme="majorHAnsi" w:cstheme="majorHAnsi"/>
                <w:noProof/>
                <w:sz w:val="26"/>
                <w:szCs w:val="26"/>
                <w:lang w:val="vi-VN"/>
              </w:rPr>
              <w:t>MỞ ĐẦU</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_Toc198709948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w:t>
            </w:r>
            <w:r w:rsidR="00ED419E" w:rsidRPr="00ED419E">
              <w:rPr>
                <w:rFonts w:asciiTheme="majorHAnsi" w:hAnsiTheme="majorHAnsi" w:cstheme="majorHAnsi"/>
                <w:noProof/>
                <w:webHidden/>
                <w:sz w:val="26"/>
                <w:szCs w:val="26"/>
              </w:rPr>
              <w:fldChar w:fldCharType="end"/>
            </w:r>
          </w:hyperlink>
        </w:p>
        <w:p w14:paraId="5726B223" w14:textId="0BF8BCBB"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09949" w:history="1">
            <w:r w:rsidR="00ED419E" w:rsidRPr="00ED419E">
              <w:rPr>
                <w:rStyle w:val="Hyperlink"/>
                <w:rFonts w:asciiTheme="majorHAnsi" w:hAnsiTheme="majorHAnsi" w:cstheme="majorHAnsi"/>
                <w:noProof/>
                <w:sz w:val="26"/>
                <w:szCs w:val="26"/>
                <w:lang w:val="vi-VN"/>
              </w:rPr>
              <w:t>PHẦN 1</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_Toc198709949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w:t>
            </w:r>
            <w:r w:rsidR="00ED419E" w:rsidRPr="00ED419E">
              <w:rPr>
                <w:rFonts w:asciiTheme="majorHAnsi" w:hAnsiTheme="majorHAnsi" w:cstheme="majorHAnsi"/>
                <w:noProof/>
                <w:webHidden/>
                <w:sz w:val="26"/>
                <w:szCs w:val="26"/>
              </w:rPr>
              <w:fldChar w:fldCharType="end"/>
            </w:r>
          </w:hyperlink>
        </w:p>
        <w:p w14:paraId="028CDBF5" w14:textId="48679E27"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09950" w:history="1">
            <w:r w:rsidR="00ED419E" w:rsidRPr="00ED419E">
              <w:rPr>
                <w:rStyle w:val="Hyperlink"/>
                <w:rFonts w:asciiTheme="majorHAnsi" w:hAnsiTheme="majorHAnsi" w:cstheme="majorHAnsi"/>
                <w:noProof/>
                <w:sz w:val="26"/>
                <w:szCs w:val="26"/>
                <w:lang w:val="vi-VN"/>
              </w:rPr>
              <w:t>NGHÊN CỨU CƠ SỞ LÝ LUẬN VỀ AN TOÀN TÀI CHÍNH TRONG DOANH NGHIỆP</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_Toc198709950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w:t>
            </w:r>
            <w:r w:rsidR="00ED419E" w:rsidRPr="00ED419E">
              <w:rPr>
                <w:rFonts w:asciiTheme="majorHAnsi" w:hAnsiTheme="majorHAnsi" w:cstheme="majorHAnsi"/>
                <w:noProof/>
                <w:webHidden/>
                <w:sz w:val="26"/>
                <w:szCs w:val="26"/>
              </w:rPr>
              <w:fldChar w:fldCharType="end"/>
            </w:r>
          </w:hyperlink>
        </w:p>
        <w:p w14:paraId="70DF076A" w14:textId="7B1CD39E"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09951" w:history="1">
            <w:r w:rsidR="00ED419E" w:rsidRPr="00ED419E">
              <w:rPr>
                <w:rStyle w:val="Hyperlink"/>
                <w:rFonts w:asciiTheme="majorHAnsi" w:hAnsiTheme="majorHAnsi" w:cstheme="majorHAnsi"/>
                <w:noProof/>
                <w:sz w:val="26"/>
                <w:szCs w:val="26"/>
              </w:rPr>
              <w:t>1.1. An toàn tài chính trong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_Toc198709951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w:t>
            </w:r>
            <w:r w:rsidR="00ED419E" w:rsidRPr="00ED419E">
              <w:rPr>
                <w:rFonts w:asciiTheme="majorHAnsi" w:hAnsiTheme="majorHAnsi" w:cstheme="majorHAnsi"/>
                <w:noProof/>
                <w:webHidden/>
                <w:sz w:val="26"/>
                <w:szCs w:val="26"/>
              </w:rPr>
              <w:fldChar w:fldCharType="end"/>
            </w:r>
          </w:hyperlink>
        </w:p>
        <w:p w14:paraId="372C5D4E" w14:textId="7FCD6676"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52" w:history="1">
            <w:r w:rsidR="00ED419E" w:rsidRPr="00ED419E">
              <w:rPr>
                <w:rStyle w:val="Hyperlink"/>
                <w:rFonts w:asciiTheme="majorHAnsi" w:hAnsiTheme="majorHAnsi" w:cstheme="majorHAnsi"/>
                <w:noProof/>
                <w:sz w:val="26"/>
                <w:szCs w:val="26"/>
              </w:rPr>
              <w:t>1.1.1.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_Toc198709952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w:t>
            </w:r>
            <w:r w:rsidR="00ED419E" w:rsidRPr="00ED419E">
              <w:rPr>
                <w:rFonts w:asciiTheme="majorHAnsi" w:hAnsiTheme="majorHAnsi" w:cstheme="majorHAnsi"/>
                <w:noProof/>
                <w:webHidden/>
                <w:sz w:val="26"/>
                <w:szCs w:val="26"/>
              </w:rPr>
              <w:fldChar w:fldCharType="end"/>
            </w:r>
          </w:hyperlink>
        </w:p>
        <w:p w14:paraId="3C044431" w14:textId="78A922E7"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53" w:history="1">
            <w:r w:rsidR="00ED419E" w:rsidRPr="00ED419E">
              <w:rPr>
                <w:rStyle w:val="Hyperlink"/>
                <w:rFonts w:asciiTheme="majorHAnsi" w:hAnsiTheme="majorHAnsi" w:cstheme="majorHAnsi"/>
                <w:noProof/>
                <w:sz w:val="26"/>
                <w:szCs w:val="26"/>
              </w:rPr>
              <w:t>1.1.1.1. Khái niệm</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_Toc198709953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w:t>
            </w:r>
            <w:r w:rsidR="00ED419E" w:rsidRPr="00ED419E">
              <w:rPr>
                <w:rFonts w:asciiTheme="majorHAnsi" w:hAnsiTheme="majorHAnsi" w:cstheme="majorHAnsi"/>
                <w:noProof/>
                <w:webHidden/>
                <w:sz w:val="26"/>
                <w:szCs w:val="26"/>
              </w:rPr>
              <w:fldChar w:fldCharType="end"/>
            </w:r>
          </w:hyperlink>
        </w:p>
        <w:p w14:paraId="0AB8D0E3" w14:textId="71C3E836"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54" w:history="1">
            <w:r w:rsidR="00ED419E" w:rsidRPr="00ED419E">
              <w:rPr>
                <w:rStyle w:val="Hyperlink"/>
                <w:rFonts w:asciiTheme="majorHAnsi" w:hAnsiTheme="majorHAnsi" w:cstheme="majorHAnsi"/>
                <w:noProof/>
                <w:sz w:val="26"/>
                <w:szCs w:val="26"/>
              </w:rPr>
              <w:t>1.1.1.2. Các hoạt động của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_Toc198709954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w:t>
            </w:r>
            <w:r w:rsidR="00ED419E" w:rsidRPr="00ED419E">
              <w:rPr>
                <w:rFonts w:asciiTheme="majorHAnsi" w:hAnsiTheme="majorHAnsi" w:cstheme="majorHAnsi"/>
                <w:noProof/>
                <w:webHidden/>
                <w:sz w:val="26"/>
                <w:szCs w:val="26"/>
              </w:rPr>
              <w:fldChar w:fldCharType="end"/>
            </w:r>
          </w:hyperlink>
        </w:p>
        <w:p w14:paraId="6F325A12" w14:textId="1A2CF636"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55" w:history="1">
            <w:r w:rsidR="00ED419E" w:rsidRPr="00ED419E">
              <w:rPr>
                <w:rStyle w:val="Hyperlink"/>
                <w:rFonts w:asciiTheme="majorHAnsi" w:hAnsiTheme="majorHAnsi" w:cstheme="majorHAnsi"/>
                <w:noProof/>
                <w:sz w:val="26"/>
                <w:szCs w:val="26"/>
              </w:rPr>
              <w:t>1.1.1.3. Đặc điểm hoạt động tác động đến tài chính của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_Toc198709955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5</w:t>
            </w:r>
            <w:r w:rsidR="00ED419E" w:rsidRPr="00ED419E">
              <w:rPr>
                <w:rFonts w:asciiTheme="majorHAnsi" w:hAnsiTheme="majorHAnsi" w:cstheme="majorHAnsi"/>
                <w:noProof/>
                <w:webHidden/>
                <w:sz w:val="26"/>
                <w:szCs w:val="26"/>
              </w:rPr>
              <w:fldChar w:fldCharType="end"/>
            </w:r>
          </w:hyperlink>
        </w:p>
        <w:p w14:paraId="79B65AEC" w14:textId="66C51DA7"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56" w:history="1">
            <w:r w:rsidR="00ED419E" w:rsidRPr="00ED419E">
              <w:rPr>
                <w:rStyle w:val="Hyperlink"/>
                <w:rFonts w:asciiTheme="majorHAnsi" w:hAnsiTheme="majorHAnsi" w:cstheme="majorHAnsi"/>
                <w:noProof/>
                <w:sz w:val="26"/>
                <w:szCs w:val="26"/>
                <w:lang w:val="vi-VN"/>
              </w:rPr>
              <w:t>1.1.2. An toàn tài chính của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_Toc198709956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8</w:t>
            </w:r>
            <w:r w:rsidR="00ED419E" w:rsidRPr="00ED419E">
              <w:rPr>
                <w:rFonts w:asciiTheme="majorHAnsi" w:hAnsiTheme="majorHAnsi" w:cstheme="majorHAnsi"/>
                <w:noProof/>
                <w:webHidden/>
                <w:sz w:val="26"/>
                <w:szCs w:val="26"/>
              </w:rPr>
              <w:fldChar w:fldCharType="end"/>
            </w:r>
          </w:hyperlink>
        </w:p>
        <w:p w14:paraId="63CB0FA3" w14:textId="2684F19B"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09957" w:history="1">
            <w:r w:rsidR="00ED419E" w:rsidRPr="00ED419E">
              <w:rPr>
                <w:rStyle w:val="Hyperlink"/>
                <w:rFonts w:asciiTheme="majorHAnsi" w:hAnsiTheme="majorHAnsi" w:cstheme="majorHAnsi"/>
                <w:noProof/>
                <w:sz w:val="26"/>
                <w:szCs w:val="26"/>
                <w:lang w:val="vi-VN"/>
              </w:rPr>
              <w:t>1.2. Nội dung an toàn tài chính của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_Toc198709957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11</w:t>
            </w:r>
            <w:r w:rsidR="00ED419E" w:rsidRPr="00ED419E">
              <w:rPr>
                <w:rFonts w:asciiTheme="majorHAnsi" w:hAnsiTheme="majorHAnsi" w:cstheme="majorHAnsi"/>
                <w:noProof/>
                <w:webHidden/>
                <w:sz w:val="26"/>
                <w:szCs w:val="26"/>
              </w:rPr>
              <w:fldChar w:fldCharType="end"/>
            </w:r>
          </w:hyperlink>
        </w:p>
        <w:p w14:paraId="0023BC75" w14:textId="178CD2A4"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58" w:history="1">
            <w:r w:rsidR="00ED419E" w:rsidRPr="00ED419E">
              <w:rPr>
                <w:rStyle w:val="Hyperlink"/>
                <w:rFonts w:asciiTheme="majorHAnsi" w:hAnsiTheme="majorHAnsi" w:cstheme="majorHAnsi"/>
                <w:noProof/>
                <w:sz w:val="26"/>
                <w:szCs w:val="26"/>
                <w:lang w:val="vi-VN"/>
              </w:rPr>
              <w:t>1.2.1. Cơ cấu vốn hợp lý</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_Toc198709958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11</w:t>
            </w:r>
            <w:r w:rsidR="00ED419E" w:rsidRPr="00ED419E">
              <w:rPr>
                <w:rFonts w:asciiTheme="majorHAnsi" w:hAnsiTheme="majorHAnsi" w:cstheme="majorHAnsi"/>
                <w:noProof/>
                <w:webHidden/>
                <w:sz w:val="26"/>
                <w:szCs w:val="26"/>
              </w:rPr>
              <w:fldChar w:fldCharType="end"/>
            </w:r>
          </w:hyperlink>
        </w:p>
        <w:p w14:paraId="7601789E" w14:textId="588CEED0"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59" w:history="1">
            <w:r w:rsidR="00ED419E" w:rsidRPr="00ED419E">
              <w:rPr>
                <w:rStyle w:val="Hyperlink"/>
                <w:rFonts w:asciiTheme="majorHAnsi" w:hAnsiTheme="majorHAnsi" w:cstheme="majorHAnsi"/>
                <w:noProof/>
                <w:sz w:val="26"/>
                <w:szCs w:val="26"/>
                <w:lang w:val="vi-VN"/>
              </w:rPr>
              <w:t>1.2.2. Khả năng thanh toán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_Toc198709959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12</w:t>
            </w:r>
            <w:r w:rsidR="00ED419E" w:rsidRPr="00ED419E">
              <w:rPr>
                <w:rFonts w:asciiTheme="majorHAnsi" w:hAnsiTheme="majorHAnsi" w:cstheme="majorHAnsi"/>
                <w:noProof/>
                <w:webHidden/>
                <w:sz w:val="26"/>
                <w:szCs w:val="26"/>
              </w:rPr>
              <w:fldChar w:fldCharType="end"/>
            </w:r>
          </w:hyperlink>
        </w:p>
        <w:p w14:paraId="317D345F" w14:textId="2518C9B4"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0" w:history="1">
            <w:r w:rsidR="00ED419E" w:rsidRPr="00ED419E">
              <w:rPr>
                <w:rStyle w:val="Hyperlink"/>
                <w:rFonts w:asciiTheme="majorHAnsi" w:hAnsiTheme="majorHAnsi" w:cstheme="majorHAnsi"/>
                <w:noProof/>
                <w:sz w:val="26"/>
                <w:szCs w:val="26"/>
                <w:lang w:val="vi-VN"/>
              </w:rPr>
              <w:t>1.2.3. Lợi nhuận và dòng tiền ổn định</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_Toc198709960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12</w:t>
            </w:r>
            <w:r w:rsidR="00ED419E" w:rsidRPr="00ED419E">
              <w:rPr>
                <w:rFonts w:asciiTheme="majorHAnsi" w:hAnsiTheme="majorHAnsi" w:cstheme="majorHAnsi"/>
                <w:noProof/>
                <w:webHidden/>
                <w:sz w:val="26"/>
                <w:szCs w:val="26"/>
              </w:rPr>
              <w:fldChar w:fldCharType="end"/>
            </w:r>
          </w:hyperlink>
        </w:p>
        <w:p w14:paraId="2B4EE2D3" w14:textId="700182E5"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1" w:history="1">
            <w:r w:rsidR="00ED419E" w:rsidRPr="00ED419E">
              <w:rPr>
                <w:rStyle w:val="Hyperlink"/>
                <w:rFonts w:asciiTheme="majorHAnsi" w:hAnsiTheme="majorHAnsi" w:cstheme="majorHAnsi"/>
                <w:noProof/>
                <w:sz w:val="26"/>
                <w:szCs w:val="26"/>
              </w:rPr>
              <w:t>1.2.4. Quản lý chi phí và hiệu quả sử dụng tài sản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_Toc198709961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13</w:t>
            </w:r>
            <w:r w:rsidR="00ED419E" w:rsidRPr="00ED419E">
              <w:rPr>
                <w:rFonts w:asciiTheme="majorHAnsi" w:hAnsiTheme="majorHAnsi" w:cstheme="majorHAnsi"/>
                <w:noProof/>
                <w:webHidden/>
                <w:sz w:val="26"/>
                <w:szCs w:val="26"/>
              </w:rPr>
              <w:fldChar w:fldCharType="end"/>
            </w:r>
          </w:hyperlink>
        </w:p>
        <w:p w14:paraId="0C6088FB" w14:textId="2CAB3E77"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2" w:history="1">
            <w:r w:rsidR="00ED419E" w:rsidRPr="00ED419E">
              <w:rPr>
                <w:rStyle w:val="Hyperlink"/>
                <w:rFonts w:asciiTheme="majorHAnsi" w:hAnsiTheme="majorHAnsi" w:cstheme="majorHAnsi"/>
                <w:noProof/>
                <w:sz w:val="26"/>
                <w:szCs w:val="26"/>
              </w:rPr>
              <w:t>1.2.5. Đánh giá rủi ro tài chính và khả năng chịu đựng</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_Toc198709962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13</w:t>
            </w:r>
            <w:r w:rsidR="00ED419E" w:rsidRPr="00ED419E">
              <w:rPr>
                <w:rFonts w:asciiTheme="majorHAnsi" w:hAnsiTheme="majorHAnsi" w:cstheme="majorHAnsi"/>
                <w:noProof/>
                <w:webHidden/>
                <w:sz w:val="26"/>
                <w:szCs w:val="26"/>
              </w:rPr>
              <w:fldChar w:fldCharType="end"/>
            </w:r>
          </w:hyperlink>
        </w:p>
        <w:p w14:paraId="6E73ADDE" w14:textId="169E8DB8"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3" w:history="1">
            <w:r w:rsidR="00ED419E" w:rsidRPr="00ED419E">
              <w:rPr>
                <w:rStyle w:val="Hyperlink"/>
                <w:rFonts w:asciiTheme="majorHAnsi" w:hAnsiTheme="majorHAnsi" w:cstheme="majorHAnsi"/>
                <w:noProof/>
                <w:sz w:val="26"/>
                <w:szCs w:val="26"/>
              </w:rPr>
              <w:t>1.2.6. Chính sách cổ tức và chia sẻ lợi nhuận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_Toc198709963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14</w:t>
            </w:r>
            <w:r w:rsidR="00ED419E" w:rsidRPr="00ED419E">
              <w:rPr>
                <w:rFonts w:asciiTheme="majorHAnsi" w:hAnsiTheme="majorHAnsi" w:cstheme="majorHAnsi"/>
                <w:noProof/>
                <w:webHidden/>
                <w:sz w:val="26"/>
                <w:szCs w:val="26"/>
              </w:rPr>
              <w:fldChar w:fldCharType="end"/>
            </w:r>
          </w:hyperlink>
        </w:p>
        <w:p w14:paraId="66E20FB0" w14:textId="42D283CD"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4" w:history="1">
            <w:r w:rsidR="00ED419E" w:rsidRPr="00ED419E">
              <w:rPr>
                <w:rStyle w:val="Hyperlink"/>
                <w:rFonts w:asciiTheme="majorHAnsi" w:hAnsiTheme="majorHAnsi" w:cstheme="majorHAnsi"/>
                <w:noProof/>
                <w:sz w:val="26"/>
                <w:szCs w:val="26"/>
              </w:rPr>
              <w:t>1.2.7. Quản trị rủi ro tài chính và bảo hiểm</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_Toc198709964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14</w:t>
            </w:r>
            <w:r w:rsidR="00ED419E" w:rsidRPr="00ED419E">
              <w:rPr>
                <w:rFonts w:asciiTheme="majorHAnsi" w:hAnsiTheme="majorHAnsi" w:cstheme="majorHAnsi"/>
                <w:noProof/>
                <w:webHidden/>
                <w:sz w:val="26"/>
                <w:szCs w:val="26"/>
              </w:rPr>
              <w:fldChar w:fldCharType="end"/>
            </w:r>
          </w:hyperlink>
        </w:p>
        <w:p w14:paraId="0980BE77" w14:textId="7881035F"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09965" w:history="1">
            <w:r w:rsidR="00ED419E" w:rsidRPr="00ED419E">
              <w:rPr>
                <w:rStyle w:val="Hyperlink"/>
                <w:rFonts w:asciiTheme="majorHAnsi" w:hAnsiTheme="majorHAnsi" w:cstheme="majorHAnsi"/>
                <w:noProof/>
                <w:sz w:val="26"/>
                <w:szCs w:val="26"/>
                <w:lang w:val="vi-VN"/>
              </w:rPr>
              <w:t>1.3. Các chỉ tiêu phản ánh an toàn tài chính của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_Toc198709965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14</w:t>
            </w:r>
            <w:r w:rsidR="00ED419E" w:rsidRPr="00ED419E">
              <w:rPr>
                <w:rFonts w:asciiTheme="majorHAnsi" w:hAnsiTheme="majorHAnsi" w:cstheme="majorHAnsi"/>
                <w:noProof/>
                <w:webHidden/>
                <w:sz w:val="26"/>
                <w:szCs w:val="26"/>
              </w:rPr>
              <w:fldChar w:fldCharType="end"/>
            </w:r>
          </w:hyperlink>
        </w:p>
        <w:p w14:paraId="2B178172" w14:textId="4B4F16F2"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6" w:history="1">
            <w:r w:rsidR="00ED419E" w:rsidRPr="00ED419E">
              <w:rPr>
                <w:rStyle w:val="Hyperlink"/>
                <w:rFonts w:asciiTheme="majorHAnsi" w:hAnsiTheme="majorHAnsi" w:cstheme="majorHAnsi"/>
                <w:noProof/>
                <w:sz w:val="26"/>
                <w:szCs w:val="26"/>
                <w:lang w:val="vi-VN"/>
              </w:rPr>
              <w:t>1.3.1. Nhóm chỉ tiêu phản ánh khả năng thanh toán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_Toc198709966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14</w:t>
            </w:r>
            <w:r w:rsidR="00ED419E" w:rsidRPr="00ED419E">
              <w:rPr>
                <w:rFonts w:asciiTheme="majorHAnsi" w:hAnsiTheme="majorHAnsi" w:cstheme="majorHAnsi"/>
                <w:noProof/>
                <w:webHidden/>
                <w:sz w:val="26"/>
                <w:szCs w:val="26"/>
              </w:rPr>
              <w:fldChar w:fldCharType="end"/>
            </w:r>
          </w:hyperlink>
        </w:p>
        <w:p w14:paraId="3FCDBE51" w14:textId="79A2054F"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7" w:history="1">
            <w:r w:rsidR="00ED419E" w:rsidRPr="00ED419E">
              <w:rPr>
                <w:rStyle w:val="Hyperlink"/>
                <w:rFonts w:asciiTheme="majorHAnsi" w:hAnsiTheme="majorHAnsi" w:cstheme="majorHAnsi"/>
                <w:noProof/>
                <w:sz w:val="26"/>
                <w:szCs w:val="26"/>
              </w:rPr>
              <w:t>1.3.2. Nhóm chỉ tiêu phản ánh cơ cấu nguồn vốn và tài sản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_Toc198709967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18</w:t>
            </w:r>
            <w:r w:rsidR="00ED419E" w:rsidRPr="00ED419E">
              <w:rPr>
                <w:rFonts w:asciiTheme="majorHAnsi" w:hAnsiTheme="majorHAnsi" w:cstheme="majorHAnsi"/>
                <w:noProof/>
                <w:webHidden/>
                <w:sz w:val="26"/>
                <w:szCs w:val="26"/>
              </w:rPr>
              <w:fldChar w:fldCharType="end"/>
            </w:r>
          </w:hyperlink>
        </w:p>
        <w:p w14:paraId="530B0357" w14:textId="01584B77"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8" w:history="1">
            <w:r w:rsidR="00ED419E" w:rsidRPr="00ED419E">
              <w:rPr>
                <w:rStyle w:val="Hyperlink"/>
                <w:rFonts w:asciiTheme="majorHAnsi" w:hAnsiTheme="majorHAnsi" w:cstheme="majorHAnsi"/>
                <w:noProof/>
                <w:sz w:val="26"/>
                <w:szCs w:val="26"/>
              </w:rPr>
              <w:t>1.3.3. Nhóm chỉ tiêu phản ánh hiệu suất hoạt động</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_Toc198709968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22</w:t>
            </w:r>
            <w:r w:rsidR="00ED419E" w:rsidRPr="00ED419E">
              <w:rPr>
                <w:rFonts w:asciiTheme="majorHAnsi" w:hAnsiTheme="majorHAnsi" w:cstheme="majorHAnsi"/>
                <w:noProof/>
                <w:webHidden/>
                <w:sz w:val="26"/>
                <w:szCs w:val="26"/>
              </w:rPr>
              <w:fldChar w:fldCharType="end"/>
            </w:r>
          </w:hyperlink>
        </w:p>
        <w:p w14:paraId="688BF93E" w14:textId="0BCCB2AF"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69" w:history="1">
            <w:r w:rsidR="00ED419E" w:rsidRPr="00ED419E">
              <w:rPr>
                <w:rStyle w:val="Hyperlink"/>
                <w:rFonts w:asciiTheme="majorHAnsi" w:hAnsiTheme="majorHAnsi" w:cstheme="majorHAnsi"/>
                <w:noProof/>
                <w:sz w:val="26"/>
                <w:szCs w:val="26"/>
              </w:rPr>
              <w:t>1.3.4. Nhóm chỉ tiêu phản ánh khả năng sinh lời</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_Toc198709969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26</w:t>
            </w:r>
            <w:r w:rsidR="00ED419E" w:rsidRPr="00ED419E">
              <w:rPr>
                <w:rFonts w:asciiTheme="majorHAnsi" w:hAnsiTheme="majorHAnsi" w:cstheme="majorHAnsi"/>
                <w:noProof/>
                <w:webHidden/>
                <w:sz w:val="26"/>
                <w:szCs w:val="26"/>
              </w:rPr>
              <w:fldChar w:fldCharType="end"/>
            </w:r>
          </w:hyperlink>
        </w:p>
        <w:p w14:paraId="5CE5BB27" w14:textId="600114A1"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09970" w:history="1">
            <w:r w:rsidR="00ED419E" w:rsidRPr="00ED419E">
              <w:rPr>
                <w:rStyle w:val="Hyperlink"/>
                <w:rFonts w:asciiTheme="majorHAnsi" w:hAnsiTheme="majorHAnsi" w:cstheme="majorHAnsi"/>
                <w:noProof/>
                <w:sz w:val="26"/>
                <w:szCs w:val="26"/>
              </w:rPr>
              <w:t>1.4. Các nhân tố ảnh hưởng đến an toàn tài chính của công ty cổ phần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_Toc198709970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29</w:t>
            </w:r>
            <w:r w:rsidR="00ED419E" w:rsidRPr="00ED419E">
              <w:rPr>
                <w:rFonts w:asciiTheme="majorHAnsi" w:hAnsiTheme="majorHAnsi" w:cstheme="majorHAnsi"/>
                <w:noProof/>
                <w:webHidden/>
                <w:sz w:val="26"/>
                <w:szCs w:val="26"/>
              </w:rPr>
              <w:fldChar w:fldCharType="end"/>
            </w:r>
          </w:hyperlink>
        </w:p>
        <w:p w14:paraId="7449BC21" w14:textId="717E3B03"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71" w:history="1">
            <w:r w:rsidR="00ED419E" w:rsidRPr="00ED419E">
              <w:rPr>
                <w:rStyle w:val="Hyperlink"/>
                <w:rFonts w:asciiTheme="majorHAnsi" w:hAnsiTheme="majorHAnsi" w:cstheme="majorHAnsi"/>
                <w:noProof/>
                <w:sz w:val="26"/>
                <w:szCs w:val="26"/>
              </w:rPr>
              <w:t>1.4.1. Nhân tố khách quan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_Toc198709971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29</w:t>
            </w:r>
            <w:r w:rsidR="00ED419E" w:rsidRPr="00ED419E">
              <w:rPr>
                <w:rFonts w:asciiTheme="majorHAnsi" w:hAnsiTheme="majorHAnsi" w:cstheme="majorHAnsi"/>
                <w:noProof/>
                <w:webHidden/>
                <w:sz w:val="26"/>
                <w:szCs w:val="26"/>
              </w:rPr>
              <w:fldChar w:fldCharType="end"/>
            </w:r>
          </w:hyperlink>
        </w:p>
        <w:p w14:paraId="4BC32C95" w14:textId="1BE31EA5"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72" w:history="1">
            <w:r w:rsidR="00ED419E" w:rsidRPr="00ED419E">
              <w:rPr>
                <w:rStyle w:val="Hyperlink"/>
                <w:rFonts w:asciiTheme="majorHAnsi" w:hAnsiTheme="majorHAnsi" w:cstheme="majorHAnsi"/>
                <w:noProof/>
                <w:sz w:val="26"/>
                <w:szCs w:val="26"/>
              </w:rPr>
              <w:t>1.4.2. Nhóm nhân tố chủ quan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_Toc198709972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31</w:t>
            </w:r>
            <w:r w:rsidR="00ED419E" w:rsidRPr="00ED419E">
              <w:rPr>
                <w:rFonts w:asciiTheme="majorHAnsi" w:hAnsiTheme="majorHAnsi" w:cstheme="majorHAnsi"/>
                <w:noProof/>
                <w:webHidden/>
                <w:sz w:val="26"/>
                <w:szCs w:val="26"/>
              </w:rPr>
              <w:fldChar w:fldCharType="end"/>
            </w:r>
          </w:hyperlink>
        </w:p>
        <w:p w14:paraId="19922DDE" w14:textId="5FDBE34B"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09973" w:history="1">
            <w:r w:rsidR="00ED419E" w:rsidRPr="00ED419E">
              <w:rPr>
                <w:rStyle w:val="Hyperlink"/>
                <w:rFonts w:asciiTheme="majorHAnsi" w:hAnsiTheme="majorHAnsi" w:cstheme="majorHAnsi"/>
                <w:noProof/>
                <w:sz w:val="26"/>
                <w:szCs w:val="26"/>
                <w:lang w:val="vi-VN"/>
              </w:rPr>
              <w:t>KẾT LUẬN PHẦN 1</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_Toc198709973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32</w:t>
            </w:r>
            <w:r w:rsidR="00ED419E" w:rsidRPr="00ED419E">
              <w:rPr>
                <w:rFonts w:asciiTheme="majorHAnsi" w:hAnsiTheme="majorHAnsi" w:cstheme="majorHAnsi"/>
                <w:noProof/>
                <w:webHidden/>
                <w:sz w:val="26"/>
                <w:szCs w:val="26"/>
              </w:rPr>
              <w:fldChar w:fldCharType="end"/>
            </w:r>
          </w:hyperlink>
        </w:p>
        <w:p w14:paraId="17F65A0B" w14:textId="4542E109"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09974" w:history="1">
            <w:r w:rsidR="00ED419E" w:rsidRPr="00ED419E">
              <w:rPr>
                <w:rStyle w:val="Hyperlink"/>
                <w:rFonts w:asciiTheme="majorHAnsi" w:hAnsiTheme="majorHAnsi" w:cstheme="majorHAnsi"/>
                <w:noProof/>
                <w:sz w:val="26"/>
                <w:szCs w:val="26"/>
                <w:lang w:val="vi-VN"/>
              </w:rPr>
              <w:t>PHẦN 2</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_Toc198709974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33</w:t>
            </w:r>
            <w:r w:rsidR="00ED419E" w:rsidRPr="00ED419E">
              <w:rPr>
                <w:rFonts w:asciiTheme="majorHAnsi" w:hAnsiTheme="majorHAnsi" w:cstheme="majorHAnsi"/>
                <w:noProof/>
                <w:webHidden/>
                <w:sz w:val="26"/>
                <w:szCs w:val="26"/>
              </w:rPr>
              <w:fldChar w:fldCharType="end"/>
            </w:r>
          </w:hyperlink>
        </w:p>
        <w:p w14:paraId="60E91AE8" w14:textId="381F647E"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09975" w:history="1">
            <w:r w:rsidR="00ED419E" w:rsidRPr="00ED419E">
              <w:rPr>
                <w:rStyle w:val="Hyperlink"/>
                <w:rFonts w:asciiTheme="majorHAnsi" w:hAnsiTheme="majorHAnsi" w:cstheme="majorHAnsi"/>
                <w:noProof/>
                <w:sz w:val="26"/>
                <w:szCs w:val="26"/>
                <w:lang w:val="vi-VN"/>
              </w:rPr>
              <w:t>THỰC TRẠNG AN TOÀN TÀI CHÍNH CÁC CÔNG TY CỔ PHẦN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_Toc198709975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33</w:t>
            </w:r>
            <w:r w:rsidR="00ED419E" w:rsidRPr="00ED419E">
              <w:rPr>
                <w:rFonts w:asciiTheme="majorHAnsi" w:hAnsiTheme="majorHAnsi" w:cstheme="majorHAnsi"/>
                <w:noProof/>
                <w:webHidden/>
                <w:sz w:val="26"/>
                <w:szCs w:val="26"/>
              </w:rPr>
              <w:fldChar w:fldCharType="end"/>
            </w:r>
          </w:hyperlink>
        </w:p>
        <w:p w14:paraId="69BA17FC" w14:textId="15CB7A87"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09976" w:history="1">
            <w:r w:rsidR="00ED419E" w:rsidRPr="00ED419E">
              <w:rPr>
                <w:rStyle w:val="Hyperlink"/>
                <w:rFonts w:asciiTheme="majorHAnsi" w:hAnsiTheme="majorHAnsi" w:cstheme="majorHAnsi"/>
                <w:noProof/>
                <w:sz w:val="26"/>
                <w:szCs w:val="26"/>
                <w:lang w:val="vi-VN"/>
              </w:rPr>
              <w:t>2.1. Tổng quan về một số công ty cổ phần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_Toc198709976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33</w:t>
            </w:r>
            <w:r w:rsidR="00ED419E" w:rsidRPr="00ED419E">
              <w:rPr>
                <w:rFonts w:asciiTheme="majorHAnsi" w:hAnsiTheme="majorHAnsi" w:cstheme="majorHAnsi"/>
                <w:noProof/>
                <w:webHidden/>
                <w:sz w:val="26"/>
                <w:szCs w:val="26"/>
              </w:rPr>
              <w:fldChar w:fldCharType="end"/>
            </w:r>
          </w:hyperlink>
        </w:p>
        <w:p w14:paraId="2337195B" w14:textId="0BE8E584"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77" w:history="1">
            <w:r w:rsidR="00ED419E" w:rsidRPr="00ED419E">
              <w:rPr>
                <w:rStyle w:val="Hyperlink"/>
                <w:rFonts w:asciiTheme="majorHAnsi" w:hAnsiTheme="majorHAnsi" w:cstheme="majorHAnsi"/>
                <w:noProof/>
                <w:sz w:val="26"/>
                <w:szCs w:val="26"/>
                <w:lang w:val="vi-VN"/>
              </w:rPr>
              <w:t>2.1.1. Quá trình hình thành và phát triển của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_Toc198709977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33</w:t>
            </w:r>
            <w:r w:rsidR="00ED419E" w:rsidRPr="00ED419E">
              <w:rPr>
                <w:rFonts w:asciiTheme="majorHAnsi" w:hAnsiTheme="majorHAnsi" w:cstheme="majorHAnsi"/>
                <w:noProof/>
                <w:webHidden/>
                <w:sz w:val="26"/>
                <w:szCs w:val="26"/>
              </w:rPr>
              <w:fldChar w:fldCharType="end"/>
            </w:r>
          </w:hyperlink>
        </w:p>
        <w:p w14:paraId="13D486BC" w14:textId="108B2788"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78" w:history="1">
            <w:r w:rsidR="00ED419E" w:rsidRPr="00ED419E">
              <w:rPr>
                <w:rStyle w:val="Hyperlink"/>
                <w:rFonts w:asciiTheme="majorHAnsi" w:hAnsiTheme="majorHAnsi" w:cstheme="majorHAnsi"/>
                <w:noProof/>
                <w:sz w:val="26"/>
                <w:szCs w:val="26"/>
                <w:lang w:val="vi-VN"/>
              </w:rPr>
              <w:t>2.1.2. Đặc điểm chung về các công ty cổ phần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_Toc198709978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34</w:t>
            </w:r>
            <w:r w:rsidR="00ED419E" w:rsidRPr="00ED419E">
              <w:rPr>
                <w:rFonts w:asciiTheme="majorHAnsi" w:hAnsiTheme="majorHAnsi" w:cstheme="majorHAnsi"/>
                <w:noProof/>
                <w:webHidden/>
                <w:sz w:val="26"/>
                <w:szCs w:val="26"/>
              </w:rPr>
              <w:fldChar w:fldCharType="end"/>
            </w:r>
          </w:hyperlink>
        </w:p>
        <w:p w14:paraId="5B41A97F" w14:textId="19FDD2BD"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79" w:history="1">
            <w:r w:rsidR="00ED419E" w:rsidRPr="00ED419E">
              <w:rPr>
                <w:rStyle w:val="Hyperlink"/>
                <w:rFonts w:asciiTheme="majorHAnsi" w:hAnsiTheme="majorHAnsi" w:cstheme="majorHAnsi"/>
                <w:noProof/>
                <w:sz w:val="26"/>
                <w:szCs w:val="26"/>
                <w:lang w:val="vi-VN"/>
              </w:rPr>
              <w:t>2.1.3. Thông tin về một số công ty cổ phần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_Toc198709979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35</w:t>
            </w:r>
            <w:r w:rsidR="00ED419E" w:rsidRPr="00ED419E">
              <w:rPr>
                <w:rFonts w:asciiTheme="majorHAnsi" w:hAnsiTheme="majorHAnsi" w:cstheme="majorHAnsi"/>
                <w:noProof/>
                <w:webHidden/>
                <w:sz w:val="26"/>
                <w:szCs w:val="26"/>
              </w:rPr>
              <w:fldChar w:fldCharType="end"/>
            </w:r>
          </w:hyperlink>
        </w:p>
        <w:p w14:paraId="011046C1" w14:textId="113EF35B"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09980" w:history="1">
            <w:r w:rsidR="00ED419E" w:rsidRPr="00ED419E">
              <w:rPr>
                <w:rStyle w:val="Hyperlink"/>
                <w:rFonts w:asciiTheme="majorHAnsi" w:hAnsiTheme="majorHAnsi" w:cstheme="majorHAnsi"/>
                <w:noProof/>
                <w:sz w:val="26"/>
                <w:szCs w:val="26"/>
              </w:rPr>
              <w:t>2.2. Tình hình hoạt động sản xuất kinh doanh của một số CTCP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_Toc198709980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36</w:t>
            </w:r>
            <w:r w:rsidR="00ED419E" w:rsidRPr="00ED419E">
              <w:rPr>
                <w:rFonts w:asciiTheme="majorHAnsi" w:hAnsiTheme="majorHAnsi" w:cstheme="majorHAnsi"/>
                <w:noProof/>
                <w:webHidden/>
                <w:sz w:val="26"/>
                <w:szCs w:val="26"/>
              </w:rPr>
              <w:fldChar w:fldCharType="end"/>
            </w:r>
          </w:hyperlink>
        </w:p>
        <w:p w14:paraId="687716E1" w14:textId="04472150"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09981" w:history="1">
            <w:r w:rsidR="00ED419E" w:rsidRPr="00ED419E">
              <w:rPr>
                <w:rStyle w:val="Hyperlink"/>
                <w:rFonts w:asciiTheme="majorHAnsi" w:hAnsiTheme="majorHAnsi" w:cstheme="majorHAnsi"/>
                <w:noProof/>
                <w:sz w:val="26"/>
                <w:szCs w:val="26"/>
                <w:lang w:val="vi-VN"/>
              </w:rPr>
              <w:t>2.3. Thực trạng an toàn tài chính các CTCP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_Toc198709981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37</w:t>
            </w:r>
            <w:r w:rsidR="00ED419E" w:rsidRPr="00ED419E">
              <w:rPr>
                <w:rFonts w:asciiTheme="majorHAnsi" w:hAnsiTheme="majorHAnsi" w:cstheme="majorHAnsi"/>
                <w:noProof/>
                <w:webHidden/>
                <w:sz w:val="26"/>
                <w:szCs w:val="26"/>
              </w:rPr>
              <w:fldChar w:fldCharType="end"/>
            </w:r>
          </w:hyperlink>
        </w:p>
        <w:p w14:paraId="3BB59B7E" w14:textId="03AADD91"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82" w:history="1">
            <w:r w:rsidR="00ED419E" w:rsidRPr="00ED419E">
              <w:rPr>
                <w:rStyle w:val="Hyperlink"/>
                <w:rFonts w:asciiTheme="majorHAnsi" w:hAnsiTheme="majorHAnsi" w:cstheme="majorHAnsi"/>
                <w:noProof/>
                <w:sz w:val="26"/>
                <w:szCs w:val="26"/>
                <w:lang w:val="vi-VN"/>
              </w:rPr>
              <w:t>2.3.1. Khả năng thanh toán của các công ty</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_Toc198709982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37</w:t>
            </w:r>
            <w:r w:rsidR="00ED419E" w:rsidRPr="00ED419E">
              <w:rPr>
                <w:rFonts w:asciiTheme="majorHAnsi" w:hAnsiTheme="majorHAnsi" w:cstheme="majorHAnsi"/>
                <w:noProof/>
                <w:webHidden/>
                <w:sz w:val="26"/>
                <w:szCs w:val="26"/>
              </w:rPr>
              <w:fldChar w:fldCharType="end"/>
            </w:r>
          </w:hyperlink>
        </w:p>
        <w:p w14:paraId="1F54C539" w14:textId="0D087F79"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86" w:history="1">
            <w:r w:rsidR="00ED419E" w:rsidRPr="00ED419E">
              <w:rPr>
                <w:rStyle w:val="Hyperlink"/>
                <w:rFonts w:asciiTheme="majorHAnsi" w:hAnsiTheme="majorHAnsi" w:cstheme="majorHAnsi"/>
                <w:noProof/>
                <w:sz w:val="26"/>
                <w:szCs w:val="26"/>
                <w:lang w:val="vi-VN"/>
              </w:rPr>
              <w:t>2.3.2. Cơ cấu nguồn vốn và tài sản của các công ty</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_Toc198709986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44</w:t>
            </w:r>
            <w:r w:rsidR="00ED419E" w:rsidRPr="00ED419E">
              <w:rPr>
                <w:rFonts w:asciiTheme="majorHAnsi" w:hAnsiTheme="majorHAnsi" w:cstheme="majorHAnsi"/>
                <w:noProof/>
                <w:webHidden/>
                <w:sz w:val="26"/>
                <w:szCs w:val="26"/>
              </w:rPr>
              <w:fldChar w:fldCharType="end"/>
            </w:r>
          </w:hyperlink>
        </w:p>
        <w:p w14:paraId="466AA6AD" w14:textId="3694A558"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91" w:history="1">
            <w:r w:rsidR="00ED419E" w:rsidRPr="00ED419E">
              <w:rPr>
                <w:rStyle w:val="Hyperlink"/>
                <w:rFonts w:asciiTheme="majorHAnsi" w:hAnsiTheme="majorHAnsi" w:cstheme="majorHAnsi"/>
                <w:noProof/>
                <w:sz w:val="26"/>
                <w:szCs w:val="26"/>
                <w:lang w:val="vi-VN"/>
              </w:rPr>
              <w:t>2.3.3. Hiệu suất hoạt động của các công ty</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_Toc198709991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49</w:t>
            </w:r>
            <w:r w:rsidR="00ED419E" w:rsidRPr="00ED419E">
              <w:rPr>
                <w:rFonts w:asciiTheme="majorHAnsi" w:hAnsiTheme="majorHAnsi" w:cstheme="majorHAnsi"/>
                <w:noProof/>
                <w:webHidden/>
                <w:sz w:val="26"/>
                <w:szCs w:val="26"/>
              </w:rPr>
              <w:fldChar w:fldCharType="end"/>
            </w:r>
          </w:hyperlink>
        </w:p>
        <w:p w14:paraId="6534B79B" w14:textId="2CCBFDE6"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95" w:history="1">
            <w:r w:rsidR="00ED419E" w:rsidRPr="00ED419E">
              <w:rPr>
                <w:rStyle w:val="Hyperlink"/>
                <w:rFonts w:asciiTheme="majorHAnsi" w:hAnsiTheme="majorHAnsi" w:cstheme="majorHAnsi"/>
                <w:noProof/>
                <w:sz w:val="26"/>
                <w:szCs w:val="26"/>
                <w:lang w:val="vi-VN"/>
              </w:rPr>
              <w:t>2.3.4. Khả năng sinh lời của các công ty</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_Toc198709995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53</w:t>
            </w:r>
            <w:r w:rsidR="00ED419E" w:rsidRPr="00ED419E">
              <w:rPr>
                <w:rFonts w:asciiTheme="majorHAnsi" w:hAnsiTheme="majorHAnsi" w:cstheme="majorHAnsi"/>
                <w:noProof/>
                <w:webHidden/>
                <w:sz w:val="26"/>
                <w:szCs w:val="26"/>
              </w:rPr>
              <w:fldChar w:fldCharType="end"/>
            </w:r>
          </w:hyperlink>
        </w:p>
        <w:p w14:paraId="4A53C0D4" w14:textId="00F3BC0C"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09999" w:history="1">
            <w:r w:rsidR="00ED419E" w:rsidRPr="00ED419E">
              <w:rPr>
                <w:rStyle w:val="Hyperlink"/>
                <w:rFonts w:asciiTheme="majorHAnsi" w:hAnsiTheme="majorHAnsi" w:cstheme="majorHAnsi"/>
                <w:noProof/>
                <w:sz w:val="26"/>
                <w:szCs w:val="26"/>
                <w:lang w:val="vi-VN"/>
              </w:rPr>
              <w:t>2.3.5. Nhận xét chung về thực trạng an toàn tài chính của các CTCP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_Toc198709999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59</w:t>
            </w:r>
            <w:r w:rsidR="00ED419E" w:rsidRPr="00ED419E">
              <w:rPr>
                <w:rFonts w:asciiTheme="majorHAnsi" w:hAnsiTheme="majorHAnsi" w:cstheme="majorHAnsi"/>
                <w:noProof/>
                <w:webHidden/>
                <w:sz w:val="26"/>
                <w:szCs w:val="26"/>
              </w:rPr>
              <w:fldChar w:fldCharType="end"/>
            </w:r>
          </w:hyperlink>
        </w:p>
        <w:p w14:paraId="0A195531" w14:textId="530D9257"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00" w:history="1">
            <w:r w:rsidR="00ED419E" w:rsidRPr="00ED419E">
              <w:rPr>
                <w:rStyle w:val="Hyperlink"/>
                <w:rFonts w:asciiTheme="majorHAnsi" w:hAnsiTheme="majorHAnsi" w:cstheme="majorHAnsi"/>
                <w:noProof/>
                <w:sz w:val="26"/>
                <w:szCs w:val="26"/>
              </w:rPr>
              <w:t>2.3.5.1. Kết quả đạt được</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_Toc198710000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59</w:t>
            </w:r>
            <w:r w:rsidR="00ED419E" w:rsidRPr="00ED419E">
              <w:rPr>
                <w:rFonts w:asciiTheme="majorHAnsi" w:hAnsiTheme="majorHAnsi" w:cstheme="majorHAnsi"/>
                <w:noProof/>
                <w:webHidden/>
                <w:sz w:val="26"/>
                <w:szCs w:val="26"/>
              </w:rPr>
              <w:fldChar w:fldCharType="end"/>
            </w:r>
          </w:hyperlink>
        </w:p>
        <w:p w14:paraId="08E5F9EB" w14:textId="46E262A9"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01" w:history="1">
            <w:r w:rsidR="00ED419E" w:rsidRPr="00ED419E">
              <w:rPr>
                <w:rStyle w:val="Hyperlink"/>
                <w:rFonts w:asciiTheme="majorHAnsi" w:hAnsiTheme="majorHAnsi" w:cstheme="majorHAnsi"/>
                <w:noProof/>
                <w:sz w:val="26"/>
                <w:szCs w:val="26"/>
              </w:rPr>
              <w:t>2.3.5.2. Hạn chế:</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_Toc198710001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60</w:t>
            </w:r>
            <w:r w:rsidR="00ED419E" w:rsidRPr="00ED419E">
              <w:rPr>
                <w:rFonts w:asciiTheme="majorHAnsi" w:hAnsiTheme="majorHAnsi" w:cstheme="majorHAnsi"/>
                <w:noProof/>
                <w:webHidden/>
                <w:sz w:val="26"/>
                <w:szCs w:val="26"/>
              </w:rPr>
              <w:fldChar w:fldCharType="end"/>
            </w:r>
          </w:hyperlink>
        </w:p>
        <w:p w14:paraId="79B159ED" w14:textId="1BE48A83"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02" w:history="1">
            <w:r w:rsidR="00ED419E" w:rsidRPr="00ED419E">
              <w:rPr>
                <w:rStyle w:val="Hyperlink"/>
                <w:rFonts w:asciiTheme="majorHAnsi" w:hAnsiTheme="majorHAnsi" w:cstheme="majorHAnsi"/>
                <w:noProof/>
                <w:sz w:val="26"/>
                <w:szCs w:val="26"/>
              </w:rPr>
              <w:t>2.3.5.3. Nguyên nhân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_Toc198710002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61</w:t>
            </w:r>
            <w:r w:rsidR="00ED419E" w:rsidRPr="00ED419E">
              <w:rPr>
                <w:rFonts w:asciiTheme="majorHAnsi" w:hAnsiTheme="majorHAnsi" w:cstheme="majorHAnsi"/>
                <w:noProof/>
                <w:webHidden/>
                <w:sz w:val="26"/>
                <w:szCs w:val="26"/>
              </w:rPr>
              <w:fldChar w:fldCharType="end"/>
            </w:r>
          </w:hyperlink>
        </w:p>
        <w:p w14:paraId="23D3C3B9" w14:textId="20B65AD7"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10003" w:history="1">
            <w:r w:rsidR="00ED419E" w:rsidRPr="00ED419E">
              <w:rPr>
                <w:rStyle w:val="Hyperlink"/>
                <w:rFonts w:asciiTheme="majorHAnsi" w:hAnsiTheme="majorHAnsi" w:cstheme="majorHAnsi"/>
                <w:noProof/>
                <w:sz w:val="26"/>
                <w:szCs w:val="26"/>
                <w:lang w:val="vi-VN"/>
              </w:rPr>
              <w:t>KẾT LUẬN PHẦN 2</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_Toc198710003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63</w:t>
            </w:r>
            <w:r w:rsidR="00ED419E" w:rsidRPr="00ED419E">
              <w:rPr>
                <w:rFonts w:asciiTheme="majorHAnsi" w:hAnsiTheme="majorHAnsi" w:cstheme="majorHAnsi"/>
                <w:noProof/>
                <w:webHidden/>
                <w:sz w:val="26"/>
                <w:szCs w:val="26"/>
              </w:rPr>
              <w:fldChar w:fldCharType="end"/>
            </w:r>
          </w:hyperlink>
        </w:p>
        <w:p w14:paraId="0E0855F8" w14:textId="6E4639DD"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10004" w:history="1">
            <w:r w:rsidR="00ED419E" w:rsidRPr="00ED419E">
              <w:rPr>
                <w:rStyle w:val="Hyperlink"/>
                <w:rFonts w:asciiTheme="majorHAnsi" w:hAnsiTheme="majorHAnsi" w:cstheme="majorHAnsi"/>
                <w:noProof/>
                <w:sz w:val="26"/>
                <w:szCs w:val="26"/>
                <w:lang w:val="vi-VN"/>
              </w:rPr>
              <w:t>PHẦN  3</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_Toc198710004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64</w:t>
            </w:r>
            <w:r w:rsidR="00ED419E" w:rsidRPr="00ED419E">
              <w:rPr>
                <w:rFonts w:asciiTheme="majorHAnsi" w:hAnsiTheme="majorHAnsi" w:cstheme="majorHAnsi"/>
                <w:noProof/>
                <w:webHidden/>
                <w:sz w:val="26"/>
                <w:szCs w:val="26"/>
              </w:rPr>
              <w:fldChar w:fldCharType="end"/>
            </w:r>
          </w:hyperlink>
        </w:p>
        <w:p w14:paraId="70D6C2B0" w14:textId="525AE9AB"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10005" w:history="1">
            <w:r w:rsidR="00ED419E" w:rsidRPr="00ED419E">
              <w:rPr>
                <w:rStyle w:val="Hyperlink"/>
                <w:rFonts w:asciiTheme="majorHAnsi" w:hAnsiTheme="majorHAnsi" w:cstheme="majorHAnsi"/>
                <w:noProof/>
                <w:sz w:val="26"/>
                <w:szCs w:val="26"/>
                <w:lang w:val="vi-VN"/>
              </w:rPr>
              <w:t>ĐỀ XUẤT MỘT SỐ GIẢI PHÁP NÂNG CAO AN TOÀN TÀI CHÍNH CHO CÁC CÔNG TY CỔ PHẦN</w:t>
            </w:r>
            <w:r w:rsidR="00ED419E">
              <w:rPr>
                <w:rStyle w:val="Hyperlink"/>
                <w:rFonts w:asciiTheme="majorHAnsi" w:hAnsiTheme="majorHAnsi" w:cstheme="majorHAnsi"/>
                <w:noProof/>
                <w:sz w:val="26"/>
                <w:szCs w:val="26"/>
                <w:lang w:val="vi-VN"/>
              </w:rPr>
              <w:t xml:space="preserve"> </w:t>
            </w:r>
            <w:r w:rsidR="00ED419E" w:rsidRPr="00ED419E">
              <w:rPr>
                <w:rStyle w:val="Hyperlink"/>
                <w:rFonts w:asciiTheme="majorHAnsi" w:hAnsiTheme="majorHAnsi" w:cstheme="majorHAnsi"/>
                <w:noProof/>
                <w:sz w:val="26"/>
                <w:szCs w:val="26"/>
                <w:lang w:val="vi-VN"/>
              </w:rPr>
              <w:t>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_Toc198710005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64</w:t>
            </w:r>
            <w:r w:rsidR="00ED419E" w:rsidRPr="00ED419E">
              <w:rPr>
                <w:rFonts w:asciiTheme="majorHAnsi" w:hAnsiTheme="majorHAnsi" w:cstheme="majorHAnsi"/>
                <w:noProof/>
                <w:webHidden/>
                <w:sz w:val="26"/>
                <w:szCs w:val="26"/>
              </w:rPr>
              <w:fldChar w:fldCharType="end"/>
            </w:r>
          </w:hyperlink>
        </w:p>
        <w:p w14:paraId="79F7D198" w14:textId="28CA7D41"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10006" w:history="1">
            <w:r w:rsidR="00ED419E" w:rsidRPr="00ED419E">
              <w:rPr>
                <w:rStyle w:val="Hyperlink"/>
                <w:rFonts w:asciiTheme="majorHAnsi" w:hAnsiTheme="majorHAnsi" w:cstheme="majorHAnsi"/>
                <w:noProof/>
                <w:sz w:val="26"/>
                <w:szCs w:val="26"/>
                <w:lang w:val="vi-VN"/>
              </w:rPr>
              <w:t>3.1. Định hướng đảm bảo an toàn toàn tài chính của các công ty cổ phần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_Toc198710006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64</w:t>
            </w:r>
            <w:r w:rsidR="00ED419E" w:rsidRPr="00ED419E">
              <w:rPr>
                <w:rFonts w:asciiTheme="majorHAnsi" w:hAnsiTheme="majorHAnsi" w:cstheme="majorHAnsi"/>
                <w:noProof/>
                <w:webHidden/>
                <w:sz w:val="26"/>
                <w:szCs w:val="26"/>
              </w:rPr>
              <w:fldChar w:fldCharType="end"/>
            </w:r>
          </w:hyperlink>
        </w:p>
        <w:p w14:paraId="3330B792" w14:textId="57900192" w:rsidR="00ED419E" w:rsidRPr="00ED419E" w:rsidRDefault="009C5163">
          <w:pPr>
            <w:pStyle w:val="TOC2"/>
            <w:tabs>
              <w:tab w:val="right" w:leader="dot" w:pos="9056"/>
            </w:tabs>
            <w:rPr>
              <w:rFonts w:asciiTheme="majorHAnsi" w:hAnsiTheme="majorHAnsi" w:cstheme="majorHAnsi"/>
              <w:b w:val="0"/>
              <w:bCs w:val="0"/>
              <w:noProof/>
              <w:sz w:val="26"/>
              <w:szCs w:val="26"/>
              <w:lang w:val="vi-VN" w:eastAsia="vi-VN"/>
            </w:rPr>
          </w:pPr>
          <w:hyperlink w:anchor="_Toc198710007" w:history="1">
            <w:r w:rsidR="00ED419E" w:rsidRPr="00ED419E">
              <w:rPr>
                <w:rStyle w:val="Hyperlink"/>
                <w:rFonts w:asciiTheme="majorHAnsi" w:hAnsiTheme="majorHAnsi" w:cstheme="majorHAnsi"/>
                <w:noProof/>
                <w:sz w:val="26"/>
                <w:szCs w:val="26"/>
                <w:lang w:val="vi-VN"/>
              </w:rPr>
              <w:t>3.2. Một số giải pháp, kiến nghị đề xuất cải thiện tình hình tài chính và đảm bảo an toàn tài chính cho các công ty cổ phần niêm yết thuộc TKV</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_Toc198710007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65</w:t>
            </w:r>
            <w:r w:rsidR="00ED419E" w:rsidRPr="00ED419E">
              <w:rPr>
                <w:rFonts w:asciiTheme="majorHAnsi" w:hAnsiTheme="majorHAnsi" w:cstheme="majorHAnsi"/>
                <w:noProof/>
                <w:webHidden/>
                <w:sz w:val="26"/>
                <w:szCs w:val="26"/>
              </w:rPr>
              <w:fldChar w:fldCharType="end"/>
            </w:r>
          </w:hyperlink>
        </w:p>
        <w:p w14:paraId="6EFF1F8C" w14:textId="5F69D80D"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08" w:history="1">
            <w:r w:rsidR="00ED419E" w:rsidRPr="00ED419E">
              <w:rPr>
                <w:rStyle w:val="Hyperlink"/>
                <w:rFonts w:asciiTheme="majorHAnsi" w:hAnsiTheme="majorHAnsi" w:cstheme="majorHAnsi"/>
                <w:noProof/>
                <w:sz w:val="26"/>
                <w:szCs w:val="26"/>
                <w:lang w:val="vi-VN"/>
              </w:rPr>
              <w:t>3.2.1. Nhóm giải pháp về khả năng thanh toán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_Toc198710008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65</w:t>
            </w:r>
            <w:r w:rsidR="00ED419E" w:rsidRPr="00ED419E">
              <w:rPr>
                <w:rFonts w:asciiTheme="majorHAnsi" w:hAnsiTheme="majorHAnsi" w:cstheme="majorHAnsi"/>
                <w:noProof/>
                <w:webHidden/>
                <w:sz w:val="26"/>
                <w:szCs w:val="26"/>
              </w:rPr>
              <w:fldChar w:fldCharType="end"/>
            </w:r>
          </w:hyperlink>
        </w:p>
        <w:p w14:paraId="4C6A30F3" w14:textId="450C916A"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09" w:history="1">
            <w:r w:rsidR="00ED419E" w:rsidRPr="00ED419E">
              <w:rPr>
                <w:rStyle w:val="Hyperlink"/>
                <w:rFonts w:asciiTheme="majorHAnsi" w:hAnsiTheme="majorHAnsi" w:cstheme="majorHAnsi"/>
                <w:noProof/>
                <w:sz w:val="26"/>
                <w:szCs w:val="26"/>
                <w:lang w:val="vi-VN"/>
              </w:rPr>
              <w:t>3.2.2. Nhóm giải pháp về cơ cấu nguồn vốn và tài sản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_Toc198710009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67</w:t>
            </w:r>
            <w:r w:rsidR="00ED419E" w:rsidRPr="00ED419E">
              <w:rPr>
                <w:rFonts w:asciiTheme="majorHAnsi" w:hAnsiTheme="majorHAnsi" w:cstheme="majorHAnsi"/>
                <w:noProof/>
                <w:webHidden/>
                <w:sz w:val="26"/>
                <w:szCs w:val="26"/>
              </w:rPr>
              <w:fldChar w:fldCharType="end"/>
            </w:r>
          </w:hyperlink>
        </w:p>
        <w:p w14:paraId="20E4B41E" w14:textId="263107EC"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10" w:history="1">
            <w:r w:rsidR="00ED419E" w:rsidRPr="00ED419E">
              <w:rPr>
                <w:rStyle w:val="Hyperlink"/>
                <w:rFonts w:asciiTheme="majorHAnsi" w:hAnsiTheme="majorHAnsi" w:cstheme="majorHAnsi"/>
                <w:noProof/>
                <w:sz w:val="26"/>
                <w:szCs w:val="26"/>
                <w:lang w:val="vi-VN"/>
              </w:rPr>
              <w:t>3.2.3. Nhóm giải pháp về hiệu suất hoạt động</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_Toc198710010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69</w:t>
            </w:r>
            <w:r w:rsidR="00ED419E" w:rsidRPr="00ED419E">
              <w:rPr>
                <w:rFonts w:asciiTheme="majorHAnsi" w:hAnsiTheme="majorHAnsi" w:cstheme="majorHAnsi"/>
                <w:noProof/>
                <w:webHidden/>
                <w:sz w:val="26"/>
                <w:szCs w:val="26"/>
              </w:rPr>
              <w:fldChar w:fldCharType="end"/>
            </w:r>
          </w:hyperlink>
        </w:p>
        <w:p w14:paraId="00DEB493" w14:textId="1118D017"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11" w:history="1">
            <w:r w:rsidR="00ED419E" w:rsidRPr="00ED419E">
              <w:rPr>
                <w:rStyle w:val="Hyperlink"/>
                <w:rFonts w:asciiTheme="majorHAnsi" w:hAnsiTheme="majorHAnsi" w:cstheme="majorHAnsi"/>
                <w:noProof/>
                <w:sz w:val="26"/>
                <w:szCs w:val="26"/>
                <w:lang w:val="vi-VN"/>
              </w:rPr>
              <w:t>3.2.4. Nhóm giải pháp về khả năng sinh lời</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_Toc198710011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70</w:t>
            </w:r>
            <w:r w:rsidR="00ED419E" w:rsidRPr="00ED419E">
              <w:rPr>
                <w:rFonts w:asciiTheme="majorHAnsi" w:hAnsiTheme="majorHAnsi" w:cstheme="majorHAnsi"/>
                <w:noProof/>
                <w:webHidden/>
                <w:sz w:val="26"/>
                <w:szCs w:val="26"/>
              </w:rPr>
              <w:fldChar w:fldCharType="end"/>
            </w:r>
          </w:hyperlink>
        </w:p>
        <w:p w14:paraId="7AC21E6D" w14:textId="333B2F37"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12" w:history="1">
            <w:r w:rsidR="00ED419E" w:rsidRPr="00ED419E">
              <w:rPr>
                <w:rStyle w:val="Hyperlink"/>
                <w:rFonts w:asciiTheme="majorHAnsi" w:hAnsiTheme="majorHAnsi" w:cstheme="majorHAnsi"/>
                <w:noProof/>
                <w:sz w:val="26"/>
                <w:szCs w:val="26"/>
                <w:lang w:val="vi-VN"/>
              </w:rPr>
              <w:t>3.2.5. Nhóm giải pháp về quản trị và minh bạch tài chính</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_Toc198710012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72</w:t>
            </w:r>
            <w:r w:rsidR="00ED419E" w:rsidRPr="00ED419E">
              <w:rPr>
                <w:rFonts w:asciiTheme="majorHAnsi" w:hAnsiTheme="majorHAnsi" w:cstheme="majorHAnsi"/>
                <w:noProof/>
                <w:webHidden/>
                <w:sz w:val="26"/>
                <w:szCs w:val="26"/>
              </w:rPr>
              <w:fldChar w:fldCharType="end"/>
            </w:r>
          </w:hyperlink>
        </w:p>
        <w:p w14:paraId="04163031" w14:textId="6C71499B"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13" w:history="1">
            <w:r w:rsidR="00ED419E" w:rsidRPr="00ED419E">
              <w:rPr>
                <w:rStyle w:val="Hyperlink"/>
                <w:rFonts w:asciiTheme="majorHAnsi" w:hAnsiTheme="majorHAnsi" w:cstheme="majorHAnsi"/>
                <w:noProof/>
                <w:sz w:val="26"/>
                <w:szCs w:val="26"/>
                <w:lang w:val="vi-VN"/>
              </w:rPr>
              <w:t>3.2.6. Nhóm giải pháp về quản lý rủi ro tài chính</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_Toc198710013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74</w:t>
            </w:r>
            <w:r w:rsidR="00ED419E" w:rsidRPr="00ED419E">
              <w:rPr>
                <w:rFonts w:asciiTheme="majorHAnsi" w:hAnsiTheme="majorHAnsi" w:cstheme="majorHAnsi"/>
                <w:noProof/>
                <w:webHidden/>
                <w:sz w:val="26"/>
                <w:szCs w:val="26"/>
              </w:rPr>
              <w:fldChar w:fldCharType="end"/>
            </w:r>
          </w:hyperlink>
        </w:p>
        <w:p w14:paraId="624378BA" w14:textId="5C4445FB"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14" w:history="1">
            <w:r w:rsidR="00ED419E" w:rsidRPr="00ED419E">
              <w:rPr>
                <w:rStyle w:val="Hyperlink"/>
                <w:rFonts w:asciiTheme="majorHAnsi" w:hAnsiTheme="majorHAnsi" w:cstheme="majorHAnsi"/>
                <w:noProof/>
                <w:sz w:val="26"/>
                <w:szCs w:val="26"/>
                <w:lang w:val="vi-VN"/>
              </w:rPr>
              <w:t>3.2.7. Một số kiến nghị với Chính Phủ</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_Toc198710014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77</w:t>
            </w:r>
            <w:r w:rsidR="00ED419E" w:rsidRPr="00ED419E">
              <w:rPr>
                <w:rFonts w:asciiTheme="majorHAnsi" w:hAnsiTheme="majorHAnsi" w:cstheme="majorHAnsi"/>
                <w:noProof/>
                <w:webHidden/>
                <w:sz w:val="26"/>
                <w:szCs w:val="26"/>
              </w:rPr>
              <w:fldChar w:fldCharType="end"/>
            </w:r>
          </w:hyperlink>
        </w:p>
        <w:p w14:paraId="517B68DC" w14:textId="5D6934E1" w:rsidR="00ED419E" w:rsidRPr="00ED419E" w:rsidRDefault="009C5163">
          <w:pPr>
            <w:pStyle w:val="TOC3"/>
            <w:tabs>
              <w:tab w:val="right" w:leader="dot" w:pos="9056"/>
            </w:tabs>
            <w:rPr>
              <w:rFonts w:asciiTheme="majorHAnsi" w:hAnsiTheme="majorHAnsi" w:cstheme="majorHAnsi"/>
              <w:noProof/>
              <w:sz w:val="26"/>
              <w:szCs w:val="26"/>
              <w:lang w:val="vi-VN" w:eastAsia="vi-VN"/>
            </w:rPr>
          </w:pPr>
          <w:hyperlink w:anchor="_Toc198710015" w:history="1">
            <w:r w:rsidR="00ED419E" w:rsidRPr="00ED419E">
              <w:rPr>
                <w:rStyle w:val="Hyperlink"/>
                <w:rFonts w:asciiTheme="majorHAnsi" w:hAnsiTheme="majorHAnsi" w:cstheme="majorHAnsi"/>
                <w:noProof/>
                <w:sz w:val="26"/>
                <w:szCs w:val="26"/>
                <w:lang w:val="vi-VN"/>
              </w:rPr>
              <w:t>3.2.8. Kết luận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_Toc198710015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77</w:t>
            </w:r>
            <w:r w:rsidR="00ED419E" w:rsidRPr="00ED419E">
              <w:rPr>
                <w:rFonts w:asciiTheme="majorHAnsi" w:hAnsiTheme="majorHAnsi" w:cstheme="majorHAnsi"/>
                <w:noProof/>
                <w:webHidden/>
                <w:sz w:val="26"/>
                <w:szCs w:val="26"/>
              </w:rPr>
              <w:fldChar w:fldCharType="end"/>
            </w:r>
          </w:hyperlink>
        </w:p>
        <w:p w14:paraId="0672B257" w14:textId="77B3CF70"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10016" w:history="1">
            <w:r w:rsidR="00ED419E" w:rsidRPr="00ED419E">
              <w:rPr>
                <w:rStyle w:val="Hyperlink"/>
                <w:rFonts w:asciiTheme="majorHAnsi" w:hAnsiTheme="majorHAnsi" w:cstheme="majorHAnsi"/>
                <w:noProof/>
                <w:sz w:val="26"/>
                <w:szCs w:val="26"/>
                <w:lang w:val="vi-VN"/>
              </w:rPr>
              <w:t>KẾT LUẬN PHẦN 3</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_Toc198710016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80</w:t>
            </w:r>
            <w:r w:rsidR="00ED419E" w:rsidRPr="00ED419E">
              <w:rPr>
                <w:rFonts w:asciiTheme="majorHAnsi" w:hAnsiTheme="majorHAnsi" w:cstheme="majorHAnsi"/>
                <w:noProof/>
                <w:webHidden/>
                <w:sz w:val="26"/>
                <w:szCs w:val="26"/>
              </w:rPr>
              <w:fldChar w:fldCharType="end"/>
            </w:r>
          </w:hyperlink>
        </w:p>
        <w:p w14:paraId="79307517" w14:textId="36110480"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10017" w:history="1">
            <w:r w:rsidR="00ED419E" w:rsidRPr="00ED419E">
              <w:rPr>
                <w:rStyle w:val="Hyperlink"/>
                <w:rFonts w:asciiTheme="majorHAnsi" w:hAnsiTheme="majorHAnsi" w:cstheme="majorHAnsi"/>
                <w:noProof/>
                <w:sz w:val="26"/>
                <w:szCs w:val="26"/>
                <w:lang w:val="vi-VN"/>
              </w:rPr>
              <w:t>KẾT LUẬN</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_Toc198710017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81</w:t>
            </w:r>
            <w:r w:rsidR="00ED419E" w:rsidRPr="00ED419E">
              <w:rPr>
                <w:rFonts w:asciiTheme="majorHAnsi" w:hAnsiTheme="majorHAnsi" w:cstheme="majorHAnsi"/>
                <w:noProof/>
                <w:webHidden/>
                <w:sz w:val="26"/>
                <w:szCs w:val="26"/>
              </w:rPr>
              <w:fldChar w:fldCharType="end"/>
            </w:r>
          </w:hyperlink>
        </w:p>
        <w:p w14:paraId="5308EA1E" w14:textId="342757E7" w:rsidR="00ED419E" w:rsidRPr="00ED419E" w:rsidRDefault="009C5163">
          <w:pPr>
            <w:pStyle w:val="TOC1"/>
            <w:rPr>
              <w:rFonts w:asciiTheme="majorHAnsi" w:hAnsiTheme="majorHAnsi" w:cstheme="majorHAnsi"/>
              <w:b w:val="0"/>
              <w:bCs w:val="0"/>
              <w:i w:val="0"/>
              <w:iCs w:val="0"/>
              <w:noProof/>
              <w:sz w:val="26"/>
              <w:szCs w:val="26"/>
              <w:lang w:val="vi-VN" w:eastAsia="vi-VN"/>
            </w:rPr>
          </w:pPr>
          <w:hyperlink w:anchor="_Toc198710018" w:history="1">
            <w:r w:rsidR="00ED419E" w:rsidRPr="00ED419E">
              <w:rPr>
                <w:rStyle w:val="Hyperlink"/>
                <w:rFonts w:asciiTheme="majorHAnsi" w:hAnsiTheme="majorHAnsi" w:cstheme="majorHAnsi"/>
                <w:noProof/>
                <w:sz w:val="26"/>
                <w:szCs w:val="26"/>
                <w:lang w:val="vi-VN"/>
              </w:rPr>
              <w:t>TÀI LIỆU THAM KHẢO</w:t>
            </w:r>
            <w:r w:rsidR="00ED419E" w:rsidRPr="00ED419E">
              <w:rPr>
                <w:rFonts w:asciiTheme="majorHAnsi" w:hAnsiTheme="majorHAnsi" w:cstheme="majorHAnsi"/>
                <w:noProof/>
                <w:webHidden/>
                <w:sz w:val="26"/>
                <w:szCs w:val="26"/>
              </w:rPr>
              <w:tab/>
            </w:r>
            <w:r w:rsidR="00ED419E" w:rsidRPr="00ED419E">
              <w:rPr>
                <w:rFonts w:asciiTheme="majorHAnsi" w:hAnsiTheme="majorHAnsi" w:cstheme="majorHAnsi"/>
                <w:noProof/>
                <w:webHidden/>
                <w:sz w:val="26"/>
                <w:szCs w:val="26"/>
              </w:rPr>
              <w:fldChar w:fldCharType="begin"/>
            </w:r>
            <w:r w:rsidR="00ED419E" w:rsidRPr="00ED419E">
              <w:rPr>
                <w:rFonts w:asciiTheme="majorHAnsi" w:hAnsiTheme="majorHAnsi" w:cstheme="majorHAnsi"/>
                <w:noProof/>
                <w:webHidden/>
                <w:sz w:val="26"/>
                <w:szCs w:val="26"/>
              </w:rPr>
              <w:instrText xml:space="preserve"> PAGEREF _Toc198710018 \h </w:instrText>
            </w:r>
            <w:r w:rsidR="00ED419E" w:rsidRPr="00ED419E">
              <w:rPr>
                <w:rFonts w:asciiTheme="majorHAnsi" w:hAnsiTheme="majorHAnsi" w:cstheme="majorHAnsi"/>
                <w:noProof/>
                <w:webHidden/>
                <w:sz w:val="26"/>
                <w:szCs w:val="26"/>
              </w:rPr>
            </w:r>
            <w:r w:rsidR="00ED419E" w:rsidRPr="00ED419E">
              <w:rPr>
                <w:rFonts w:asciiTheme="majorHAnsi" w:hAnsiTheme="majorHAnsi" w:cstheme="majorHAnsi"/>
                <w:noProof/>
                <w:webHidden/>
                <w:sz w:val="26"/>
                <w:szCs w:val="26"/>
              </w:rPr>
              <w:fldChar w:fldCharType="separate"/>
            </w:r>
            <w:r w:rsidR="003803F6">
              <w:rPr>
                <w:rFonts w:asciiTheme="majorHAnsi" w:hAnsiTheme="majorHAnsi" w:cstheme="majorHAnsi"/>
                <w:noProof/>
                <w:webHidden/>
                <w:sz w:val="26"/>
                <w:szCs w:val="26"/>
              </w:rPr>
              <w:t>83</w:t>
            </w:r>
            <w:r w:rsidR="00ED419E" w:rsidRPr="00ED419E">
              <w:rPr>
                <w:rFonts w:asciiTheme="majorHAnsi" w:hAnsiTheme="majorHAnsi" w:cstheme="majorHAnsi"/>
                <w:noProof/>
                <w:webHidden/>
                <w:sz w:val="26"/>
                <w:szCs w:val="26"/>
              </w:rPr>
              <w:fldChar w:fldCharType="end"/>
            </w:r>
          </w:hyperlink>
        </w:p>
        <w:p w14:paraId="53873ACB" w14:textId="180A56FE" w:rsidR="005B0517" w:rsidRPr="00ED419E" w:rsidRDefault="005B0517" w:rsidP="005B0517">
          <w:pPr>
            <w:rPr>
              <w:rFonts w:asciiTheme="majorHAnsi" w:hAnsiTheme="majorHAnsi" w:cstheme="majorHAnsi"/>
              <w:sz w:val="26"/>
              <w:szCs w:val="26"/>
            </w:rPr>
          </w:pPr>
          <w:r w:rsidRPr="00ED419E">
            <w:rPr>
              <w:rFonts w:asciiTheme="majorHAnsi" w:hAnsiTheme="majorHAnsi" w:cstheme="majorHAnsi"/>
              <w:b/>
              <w:bCs/>
              <w:noProof/>
              <w:sz w:val="26"/>
              <w:szCs w:val="26"/>
            </w:rPr>
            <w:fldChar w:fldCharType="end"/>
          </w:r>
        </w:p>
      </w:sdtContent>
    </w:sdt>
    <w:p w14:paraId="35D64E51" w14:textId="43B421FE" w:rsidR="004B6704" w:rsidRPr="00B167D1" w:rsidRDefault="004B6704" w:rsidP="004B6704">
      <w:pPr>
        <w:spacing w:line="312" w:lineRule="auto"/>
        <w:jc w:val="both"/>
        <w:rPr>
          <w:rFonts w:ascii="Times New Roman" w:hAnsi="Times New Roman" w:cs="Times New Roman"/>
          <w:b/>
          <w:bCs/>
          <w:sz w:val="26"/>
          <w:szCs w:val="26"/>
          <w:lang w:val="vi-VN"/>
        </w:rPr>
        <w:sectPr w:rsidR="004B6704" w:rsidRPr="00B167D1" w:rsidSect="004B6704">
          <w:footerReference w:type="default" r:id="rId13"/>
          <w:pgSz w:w="11901" w:h="16840"/>
          <w:pgMar w:top="1134" w:right="1134" w:bottom="1134" w:left="1701" w:header="709" w:footer="709" w:gutter="0"/>
          <w:pgNumType w:fmt="lowerRoman" w:start="1"/>
          <w:cols w:space="708"/>
          <w:docGrid w:linePitch="360"/>
        </w:sectPr>
      </w:pPr>
    </w:p>
    <w:p w14:paraId="798739F0" w14:textId="112223A1" w:rsidR="004B6704" w:rsidRPr="004B6704" w:rsidRDefault="004B6704" w:rsidP="002F29F9">
      <w:pPr>
        <w:pStyle w:val="P1"/>
        <w:rPr>
          <w:lang w:val="vi-VN"/>
        </w:rPr>
      </w:pPr>
      <w:bookmarkStart w:id="6" w:name="_Toc197781124"/>
      <w:bookmarkStart w:id="7" w:name="_Toc197781406"/>
      <w:bookmarkStart w:id="8" w:name="_Toc198281642"/>
      <w:bookmarkStart w:id="9" w:name="_Toc198284427"/>
      <w:bookmarkStart w:id="10" w:name="_Toc198709948"/>
      <w:r w:rsidRPr="004B6704">
        <w:rPr>
          <w:lang w:val="vi-VN"/>
        </w:rPr>
        <w:lastRenderedPageBreak/>
        <w:t>MỞ ĐẦU</w:t>
      </w:r>
      <w:bookmarkEnd w:id="6"/>
      <w:bookmarkEnd w:id="7"/>
      <w:bookmarkEnd w:id="8"/>
      <w:bookmarkEnd w:id="9"/>
      <w:bookmarkEnd w:id="10"/>
    </w:p>
    <w:p w14:paraId="53C69516" w14:textId="77777777" w:rsidR="004B6704" w:rsidRPr="00F22BA5" w:rsidRDefault="004B6704" w:rsidP="00ED419E">
      <w:pPr>
        <w:pStyle w:val="p2"/>
      </w:pPr>
      <w:bookmarkStart w:id="11" w:name="_Toc197781125"/>
      <w:bookmarkStart w:id="12" w:name="_Toc197781407"/>
      <w:r w:rsidRPr="00F22BA5">
        <w:t>1. Lý do chọn đề tài</w:t>
      </w:r>
      <w:bookmarkEnd w:id="11"/>
      <w:bookmarkEnd w:id="12"/>
    </w:p>
    <w:p w14:paraId="04525239"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Trong bối cảnh nền kinh tế ngày càng phát triển và hội nhập, sự ổn định và an toàn tài chính của các công ty cổ phần đóng vai trò quan trọng trong việc duy trì sự phát triển bền vững của các doanh nghiệp và nền kinh tế quốc gia. Đặc biệt, đối với các công ty cổ phần niêm yết, vấn đề này càng trở nên cấp thiết do sự tác động mạnh mẽ từ các yếu tố thị trường và yêu cầu về minh bạch tài chính.</w:t>
      </w:r>
    </w:p>
    <w:p w14:paraId="65291764"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Tập đoàn Công nghiệp Than – Khoáng sản Việt Nam (TKV) là một trong những tập đoàn kinh tế nhà nước lớn nhất của Việt Nam, hoạt động chủ yếu trong lĩnh vực công nghiệp khai thác than, khoáng sản, với</w:t>
      </w:r>
      <w:r w:rsidRPr="00C076C0">
        <w:rPr>
          <w:rFonts w:ascii="Times New Roman" w:hAnsi="Times New Roman" w:cs="Times New Roman"/>
          <w:sz w:val="26"/>
          <w:szCs w:val="26"/>
          <w:lang w:val="vi-VN"/>
        </w:rPr>
        <w:t xml:space="preserve"> </w:t>
      </w:r>
      <w:r w:rsidRPr="004B6704">
        <w:rPr>
          <w:rFonts w:ascii="Times New Roman" w:hAnsi="Times New Roman" w:cs="Times New Roman"/>
          <w:sz w:val="26"/>
          <w:szCs w:val="26"/>
          <w:lang w:val="vi-VN"/>
        </w:rPr>
        <w:t>mô hình hoạt động Công ty mẹ - Công ty con bao gồm các công ty con là công ty cổ phần được niêm yết trên sàn chứng khoán. Những công ty này không chỉ đóng góp lớn vào ngân sách nhà nước mà còn có ảnh hưởng sâu rộng đến nền kinh tế và thị trường tài chính Việt Nam.</w:t>
      </w:r>
    </w:p>
    <w:p w14:paraId="74734A7D"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Trong môi trường kinh doanh ngày càng cạnh tranh và đầy rủi ro, việc đánh giá an toàn tài chính của các công ty cổ phần niêm yết thuộc TKV là vô cùng quan trọng. An toàn tài chính không chỉ là yếu tố phản ánh khả năng duy trì hoạt động bền vững của doanh nghiệp mà còn ảnh hưởng trực tiếp đến niềm tin của nhà đầu tư và các đối tác kinh doanh. Các yếu tố như khả năng thanh toán nợ, tỷ lệ nợ vay, cấu trúc vốn, hiệu quả sinh lời đều là những chỉ số quan trọng để xác định tình hình tài chính của các công ty này có an toàn hay không.</w:t>
      </w:r>
    </w:p>
    <w:p w14:paraId="05FDA496"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Tuy nhiên, mặc dù các công ty cổ phần niêm yết thuộc TKV đã có những bước phát triển vượt bậc trong thời gian qua, nhưng cũng không ít lần phải đối mặt với nguy cơ mất an toàn tài chính do sự biến động của thị trường cũng như các yếu tố vĩ mô. Chính vì vậy, việc nghiên cứu và đánh giá mức độ an toàn tài chính của các công ty này là một nhiệm vụ cần thiết, không chỉ giúp các nhà quản lý, nhà đầu tư có cái nhìn rõ ràng hơn về sức khỏe tài chính của các công ty mà còn góp phần vào việc cải thiện chiến lược tài chính của các doanh nghiệp này.</w:t>
      </w:r>
    </w:p>
    <w:p w14:paraId="6E9FB5AD"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Nghiên cứu an toàn tài chính của các công ty cổ phần niêm yết thuộc TKV không chỉ có ý nghĩa đối với các công ty trong việc cải thiện sức khỏe tài chính mà còn đóng vai trò quan trọng đối với các nhà đầu tư, các tổ chức tài chính và cơ quan quản lý nhà nước và sự ổn định chung của ngành công nghiệp khoáng sản tại Việt Nam. Trong bối cảnh nền kinh tế toàn cầu và thị trường tài chính Việt Nam ngày càng biến động, việc duy trì một hệ thống tài chính an toàn là yếu tố sống còn đối với bất kỳ doanh nghiệp nào, đặc biệt là các doanh nghiệp lớn và có ảnh hưởng như các công ty cổ phần niêm yết thuộc TKV.</w:t>
      </w:r>
    </w:p>
    <w:p w14:paraId="0009ADFB"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lastRenderedPageBreak/>
        <w:t>Ngoài ra, kết quả nghiên cứu sẽ là cơ sở giúp các công ty cổ phần này có thể đưa ra các quyết định chiến lược, cải thiện khả năng quản lý tài chính và nâng cao giá trị doanh nghiệp trên thị trường chứng khoán.</w:t>
      </w:r>
    </w:p>
    <w:p w14:paraId="0E641AAD" w14:textId="77777777" w:rsidR="004B6704" w:rsidRPr="00F22BA5" w:rsidRDefault="004B6704" w:rsidP="00ED419E">
      <w:pPr>
        <w:pStyle w:val="p2"/>
      </w:pPr>
      <w:bookmarkStart w:id="13" w:name="_Toc197781126"/>
      <w:bookmarkStart w:id="14" w:name="_Toc197781408"/>
      <w:r w:rsidRPr="00F22BA5">
        <w:t>2. Mục tiêu nghiên cứu</w:t>
      </w:r>
      <w:bookmarkEnd w:id="13"/>
      <w:bookmarkEnd w:id="14"/>
    </w:p>
    <w:p w14:paraId="316023EF"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Mục tiêu của nghiên cứu này là đánh giá và phân tích mức độ an toàn tài chính của một số công ty cổ phần niêm yết thuộc TKV trong giai đoạn 2019-2023. Cụ thể, nghiên cứu sẽ tập trung vào việc phân tích một chỉ số tài chính phản ánh an toàn tài chính chủ yếu của các công ty này.</w:t>
      </w:r>
    </w:p>
    <w:p w14:paraId="504F5B16"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Mục tiêu nghiên cứu không chỉ dừng lại ở việc đưa ra đánh giá tổng thể về an toàn tài chính của các công ty cổ phần niêm yết thuộc TKV, mà còn làm rõ các yếu tố tác động đến an toàn tài chính, từ đó đề xuất các giải pháp cải thiện tình hình tài chính và nâng cao sự bền vững trong hoạt động kinh doanh của các công ty này.</w:t>
      </w:r>
    </w:p>
    <w:p w14:paraId="0F664BC3" w14:textId="77777777" w:rsidR="004B6704" w:rsidRPr="00F22BA5" w:rsidRDefault="004B6704" w:rsidP="00ED419E">
      <w:pPr>
        <w:pStyle w:val="p2"/>
      </w:pPr>
      <w:bookmarkStart w:id="15" w:name="_Toc197781127"/>
      <w:bookmarkStart w:id="16" w:name="_Toc197781409"/>
      <w:r w:rsidRPr="00F22BA5">
        <w:t>3. Câu hỏi nghiên cứu và giả thuyết</w:t>
      </w:r>
      <w:bookmarkEnd w:id="15"/>
      <w:bookmarkEnd w:id="16"/>
    </w:p>
    <w:p w14:paraId="6275397A" w14:textId="77777777" w:rsidR="004B6704" w:rsidRPr="004B6704" w:rsidRDefault="004B6704" w:rsidP="004B6704">
      <w:pPr>
        <w:spacing w:line="312" w:lineRule="auto"/>
        <w:ind w:firstLine="720"/>
        <w:jc w:val="both"/>
        <w:rPr>
          <w:rFonts w:ascii="Times New Roman" w:hAnsi="Times New Roman" w:cs="Times New Roman"/>
          <w:b/>
          <w:bCs/>
          <w:sz w:val="26"/>
          <w:szCs w:val="26"/>
          <w:lang w:val="vi-VN"/>
        </w:rPr>
      </w:pPr>
      <w:r w:rsidRPr="004B6704">
        <w:rPr>
          <w:rFonts w:ascii="Times New Roman" w:hAnsi="Times New Roman" w:cs="Times New Roman"/>
          <w:i/>
          <w:iCs/>
          <w:sz w:val="26"/>
          <w:szCs w:val="26"/>
          <w:lang w:val="vi-VN"/>
        </w:rPr>
        <w:t>Câu hỏi nghiên cứu</w:t>
      </w:r>
      <w:r w:rsidRPr="004B6704">
        <w:rPr>
          <w:rFonts w:ascii="Times New Roman" w:hAnsi="Times New Roman" w:cs="Times New Roman"/>
          <w:sz w:val="26"/>
          <w:szCs w:val="26"/>
          <w:lang w:val="vi-VN"/>
        </w:rPr>
        <w:t>: Các công ty cổ phần niêm yết thuộc TKV hiện nay có an toàn tài chính hay không? Những yếu tố nào tác động lớn đến mức độ an toàn tài chính của các công ty này?</w:t>
      </w:r>
    </w:p>
    <w:p w14:paraId="462ADBA8" w14:textId="77777777" w:rsidR="004B6704" w:rsidRPr="004B6704" w:rsidRDefault="004B6704" w:rsidP="004B6704">
      <w:pPr>
        <w:spacing w:line="312" w:lineRule="auto"/>
        <w:ind w:firstLine="720"/>
        <w:jc w:val="both"/>
        <w:rPr>
          <w:rFonts w:ascii="Times New Roman" w:hAnsi="Times New Roman" w:cs="Times New Roman"/>
          <w:b/>
          <w:bCs/>
          <w:sz w:val="26"/>
          <w:szCs w:val="26"/>
          <w:lang w:val="vi-VN"/>
        </w:rPr>
      </w:pPr>
      <w:r w:rsidRPr="004B6704">
        <w:rPr>
          <w:rFonts w:ascii="Times New Roman" w:hAnsi="Times New Roman" w:cs="Times New Roman"/>
          <w:i/>
          <w:iCs/>
          <w:sz w:val="26"/>
          <w:szCs w:val="26"/>
          <w:lang w:val="vi-VN"/>
        </w:rPr>
        <w:t>Giả thuyết nghiên cứu</w:t>
      </w:r>
      <w:r w:rsidRPr="004B6704">
        <w:rPr>
          <w:rFonts w:ascii="Times New Roman" w:hAnsi="Times New Roman" w:cs="Times New Roman"/>
          <w:sz w:val="26"/>
          <w:szCs w:val="26"/>
          <w:lang w:val="vi-VN"/>
        </w:rPr>
        <w:t>: Các yếu tố như cấu trúc vốn, khả năng sinh lời, khả năng thanh toán nợ và quản lý chi phí có ảnh hưởng đáng kể đến an toàn tài chính của các công ty cổ phần niêm yết thuộc TKV. Ngoài ra, môi trường kinh tế vĩ mô và chính sách tài chính của nhà nước cũng là những yếu tố tác động quan trọng đến tình hình tài chính của các doanh nghiệp này.</w:t>
      </w:r>
    </w:p>
    <w:p w14:paraId="753989CE" w14:textId="77777777" w:rsidR="004B6704" w:rsidRPr="00F22BA5" w:rsidRDefault="004B6704" w:rsidP="00ED419E">
      <w:pPr>
        <w:pStyle w:val="p2"/>
      </w:pPr>
      <w:bookmarkStart w:id="17" w:name="_Toc197781129"/>
      <w:bookmarkStart w:id="18" w:name="_Toc197781411"/>
      <w:r w:rsidRPr="00F22BA5">
        <w:t>4. Phạm vi và đối tượng nghiên cứu</w:t>
      </w:r>
      <w:bookmarkEnd w:id="17"/>
      <w:bookmarkEnd w:id="18"/>
    </w:p>
    <w:p w14:paraId="3B689281" w14:textId="22B10EA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Đối tượng nghiên cứu của đề tài này là tình hình an toàn tài chính tại một số công ty cổ phần niêm yết tiêu biểu thuộc TKV, bao gồm những công ty hoạt động trong lĩnh vực khai thác và chế biến than, khoáng sản có cổ phiếu niêm yết trên thị trường chứ</w:t>
      </w:r>
      <w:r w:rsidR="009D3D34">
        <w:rPr>
          <w:rFonts w:ascii="Times New Roman" w:hAnsi="Times New Roman" w:cs="Times New Roman"/>
          <w:sz w:val="26"/>
          <w:szCs w:val="26"/>
          <w:lang w:val="vi-VN"/>
        </w:rPr>
        <w:t>ng khoán</w:t>
      </w:r>
      <w:r w:rsidRPr="004B6704">
        <w:rPr>
          <w:rFonts w:ascii="Times New Roman" w:hAnsi="Times New Roman" w:cs="Times New Roman"/>
          <w:sz w:val="26"/>
          <w:szCs w:val="26"/>
          <w:lang w:val="vi-VN"/>
        </w:rPr>
        <w:t xml:space="preserve"> như: </w:t>
      </w:r>
      <w:r w:rsidRPr="004B6704">
        <w:rPr>
          <w:rFonts w:ascii="Times New Roman" w:hAnsi="Times New Roman" w:cs="Times New Roman"/>
          <w:iCs/>
          <w:sz w:val="26"/>
          <w:szCs w:val="26"/>
          <w:lang w:val="vi-VN"/>
        </w:rPr>
        <w:t>Công ty cổ phần Than Vàng Danh (TVD), Công ty cổ phần Than Mông Dương (MDC), Công ty cổ phần Than Hà Lầm (HLC), Công ty cổ phần Than Hà Tu (THT), Công ty cổ phần Than Núi Béo (NBC).</w:t>
      </w:r>
    </w:p>
    <w:p w14:paraId="35C943A5"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 Nghiên cứu sẽ được thực hiện trong phạm vi thời gian từ năm 2019 - 2023, nhằm đánh giá các biến động và xu hướng tài chính trong giai đoạn này.</w:t>
      </w:r>
    </w:p>
    <w:p w14:paraId="0534D02F"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Phạm vi nghiên cứu cũng sẽ được giới hạn trong một số chỉ tiêu phản ánh an toàn tài chính trong các chỉ số tài chính chính yếu, phổ biến như: </w:t>
      </w:r>
    </w:p>
    <w:p w14:paraId="56235A3D" w14:textId="1AD1AFC8"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 </w:t>
      </w:r>
      <w:r w:rsidR="00C07A85" w:rsidRPr="00F22BA5">
        <w:rPr>
          <w:rFonts w:ascii="Times New Roman" w:hAnsi="Times New Roman" w:cs="Times New Roman"/>
          <w:sz w:val="26"/>
          <w:szCs w:val="26"/>
          <w:lang w:val="vi-VN"/>
        </w:rPr>
        <w:t>K</w:t>
      </w:r>
      <w:r w:rsidRPr="004B6704">
        <w:rPr>
          <w:rFonts w:ascii="Times New Roman" w:hAnsi="Times New Roman" w:cs="Times New Roman"/>
          <w:sz w:val="26"/>
          <w:szCs w:val="26"/>
          <w:lang w:val="vi-VN"/>
        </w:rPr>
        <w:t>hả</w:t>
      </w:r>
      <w:r w:rsidR="00C07A85">
        <w:rPr>
          <w:rFonts w:ascii="Times New Roman" w:hAnsi="Times New Roman" w:cs="Times New Roman"/>
          <w:sz w:val="26"/>
          <w:szCs w:val="26"/>
          <w:lang w:val="vi-VN"/>
        </w:rPr>
        <w:t xml:space="preserve"> năng thanh toán</w:t>
      </w:r>
      <w:r w:rsidR="00C07A85" w:rsidRPr="00F22BA5">
        <w:rPr>
          <w:rFonts w:ascii="Times New Roman" w:hAnsi="Times New Roman" w:cs="Times New Roman"/>
          <w:sz w:val="26"/>
          <w:szCs w:val="26"/>
          <w:lang w:val="vi-VN"/>
        </w:rPr>
        <w:t xml:space="preserve">: Hệ số </w:t>
      </w:r>
      <w:r w:rsidRPr="004B6704">
        <w:rPr>
          <w:rFonts w:ascii="Times New Roman" w:hAnsi="Times New Roman" w:cs="Times New Roman"/>
          <w:sz w:val="26"/>
          <w:szCs w:val="26"/>
          <w:lang w:val="vi-VN"/>
        </w:rPr>
        <w:t xml:space="preserve">khả năng thanh toán hiện thời, </w:t>
      </w:r>
      <w:r w:rsidR="00C07A85" w:rsidRPr="00F22BA5">
        <w:rPr>
          <w:rFonts w:ascii="Times New Roman" w:hAnsi="Times New Roman" w:cs="Times New Roman"/>
          <w:sz w:val="26"/>
          <w:szCs w:val="26"/>
          <w:lang w:val="vi-VN"/>
        </w:rPr>
        <w:t xml:space="preserve">Hệ số </w:t>
      </w:r>
      <w:r w:rsidRPr="004B6704">
        <w:rPr>
          <w:rFonts w:ascii="Times New Roman" w:hAnsi="Times New Roman" w:cs="Times New Roman"/>
          <w:sz w:val="26"/>
          <w:szCs w:val="26"/>
          <w:lang w:val="vi-VN"/>
        </w:rPr>
        <w:t xml:space="preserve">khả năng thanh toán nhanh, </w:t>
      </w:r>
      <w:r w:rsidR="00C07A85" w:rsidRPr="00F22BA5">
        <w:rPr>
          <w:rFonts w:ascii="Times New Roman" w:hAnsi="Times New Roman" w:cs="Times New Roman"/>
          <w:sz w:val="26"/>
          <w:szCs w:val="26"/>
          <w:lang w:val="vi-VN"/>
        </w:rPr>
        <w:t xml:space="preserve">Hệ số </w:t>
      </w:r>
      <w:r w:rsidRPr="004B6704">
        <w:rPr>
          <w:rFonts w:ascii="Times New Roman" w:hAnsi="Times New Roman" w:cs="Times New Roman"/>
          <w:sz w:val="26"/>
          <w:szCs w:val="26"/>
          <w:lang w:val="vi-VN"/>
        </w:rPr>
        <w:t xml:space="preserve">khả năng thanh toán tức thời, </w:t>
      </w:r>
      <w:r w:rsidR="00C07A85" w:rsidRPr="00F22BA5">
        <w:rPr>
          <w:rFonts w:ascii="Times New Roman" w:hAnsi="Times New Roman" w:cs="Times New Roman"/>
          <w:sz w:val="26"/>
          <w:szCs w:val="26"/>
          <w:lang w:val="vi-VN"/>
        </w:rPr>
        <w:t xml:space="preserve">Hệ số </w:t>
      </w:r>
      <w:r w:rsidRPr="004B6704">
        <w:rPr>
          <w:rFonts w:ascii="Times New Roman" w:hAnsi="Times New Roman" w:cs="Times New Roman"/>
          <w:sz w:val="26"/>
          <w:szCs w:val="26"/>
          <w:lang w:val="vi-VN"/>
        </w:rPr>
        <w:t>khả năng thanh toán lãi vay.</w:t>
      </w:r>
    </w:p>
    <w:p w14:paraId="2549B4B9" w14:textId="42D4E394" w:rsidR="004B6704" w:rsidRPr="00AF3D5D" w:rsidRDefault="004B6704" w:rsidP="004B6704">
      <w:pPr>
        <w:spacing w:line="312" w:lineRule="auto"/>
        <w:ind w:firstLine="720"/>
        <w:jc w:val="both"/>
        <w:rPr>
          <w:rFonts w:ascii="Times New Roman" w:hAnsi="Times New Roman" w:cs="Times New Roman"/>
          <w:strike/>
          <w:sz w:val="26"/>
          <w:szCs w:val="26"/>
          <w:lang w:val="vi-VN"/>
        </w:rPr>
      </w:pPr>
      <w:r w:rsidRPr="00AF3D5D">
        <w:rPr>
          <w:rFonts w:ascii="Times New Roman" w:hAnsi="Times New Roman" w:cs="Times New Roman"/>
          <w:sz w:val="26"/>
          <w:szCs w:val="26"/>
          <w:lang w:val="vi-VN"/>
        </w:rPr>
        <w:lastRenderedPageBreak/>
        <w:t xml:space="preserve">- </w:t>
      </w:r>
      <w:r w:rsidR="00C07A85" w:rsidRPr="00F22BA5">
        <w:rPr>
          <w:rFonts w:ascii="Times New Roman" w:hAnsi="Times New Roman" w:cs="Times New Roman"/>
          <w:sz w:val="26"/>
          <w:szCs w:val="26"/>
          <w:lang w:val="vi-VN"/>
        </w:rPr>
        <w:t>Cơ</w:t>
      </w:r>
      <w:r w:rsidRPr="00AF3D5D">
        <w:rPr>
          <w:rFonts w:ascii="Times New Roman" w:hAnsi="Times New Roman" w:cs="Times New Roman"/>
          <w:sz w:val="26"/>
          <w:szCs w:val="26"/>
          <w:lang w:val="vi-VN"/>
        </w:rPr>
        <w:t xml:space="preserve"> cấu nguồn vốn và tài sả</w:t>
      </w:r>
      <w:r w:rsidR="00C07A85">
        <w:rPr>
          <w:rFonts w:ascii="Times New Roman" w:hAnsi="Times New Roman" w:cs="Times New Roman"/>
          <w:sz w:val="26"/>
          <w:szCs w:val="26"/>
          <w:lang w:val="vi-VN"/>
        </w:rPr>
        <w:t xml:space="preserve">n như: </w:t>
      </w:r>
      <w:r w:rsidR="00C07A85" w:rsidRPr="00F22BA5">
        <w:rPr>
          <w:rFonts w:ascii="Times New Roman" w:hAnsi="Times New Roman" w:cs="Times New Roman"/>
          <w:sz w:val="26"/>
          <w:szCs w:val="26"/>
          <w:lang w:val="vi-VN"/>
        </w:rPr>
        <w:t>T</w:t>
      </w:r>
      <w:r w:rsidRPr="00AF3D5D">
        <w:rPr>
          <w:rFonts w:ascii="Times New Roman" w:hAnsi="Times New Roman" w:cs="Times New Roman"/>
          <w:sz w:val="26"/>
          <w:szCs w:val="26"/>
          <w:lang w:val="vi-VN"/>
        </w:rPr>
        <w:t>ỷ suất đầu tư tài sản ngắn hạn, tỷ suất đầ</w:t>
      </w:r>
      <w:r w:rsidR="00C07A85">
        <w:rPr>
          <w:rFonts w:ascii="Times New Roman" w:hAnsi="Times New Roman" w:cs="Times New Roman"/>
          <w:sz w:val="26"/>
          <w:szCs w:val="26"/>
          <w:lang w:val="vi-VN"/>
        </w:rPr>
        <w:t xml:space="preserve">u tư </w:t>
      </w:r>
      <w:r w:rsidRPr="00AF3D5D">
        <w:rPr>
          <w:rFonts w:ascii="Times New Roman" w:hAnsi="Times New Roman" w:cs="Times New Roman"/>
          <w:sz w:val="26"/>
          <w:szCs w:val="26"/>
          <w:lang w:val="vi-VN"/>
        </w:rPr>
        <w:t xml:space="preserve">tài sản dài hạn, hệ số nợ, hệ số tự tài trợ, hệ số nợ phải trả trên vốn chủ sở hữu. </w:t>
      </w:r>
    </w:p>
    <w:p w14:paraId="17A6D987" w14:textId="69BB05F0" w:rsidR="004B6704" w:rsidRPr="00F22BA5"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xml:space="preserve">- </w:t>
      </w:r>
      <w:r w:rsidR="00C07A85" w:rsidRPr="00F22BA5">
        <w:rPr>
          <w:rFonts w:ascii="Times New Roman" w:hAnsi="Times New Roman" w:cs="Times New Roman"/>
          <w:sz w:val="26"/>
          <w:szCs w:val="26"/>
          <w:lang w:val="vi-VN"/>
        </w:rPr>
        <w:t>H</w:t>
      </w:r>
      <w:r w:rsidRPr="00AF3D5D">
        <w:rPr>
          <w:rFonts w:ascii="Times New Roman" w:hAnsi="Times New Roman" w:cs="Times New Roman"/>
          <w:sz w:val="26"/>
          <w:szCs w:val="26"/>
          <w:lang w:val="vi-VN"/>
        </w:rPr>
        <w:t>iệu suất hoạt động như: vòng quay hàng tồ</w:t>
      </w:r>
      <w:r w:rsidR="00D73EE0">
        <w:rPr>
          <w:rFonts w:ascii="Times New Roman" w:hAnsi="Times New Roman" w:cs="Times New Roman"/>
          <w:sz w:val="26"/>
          <w:szCs w:val="26"/>
          <w:lang w:val="vi-VN"/>
        </w:rPr>
        <w:t>n kho,</w:t>
      </w:r>
      <w:r w:rsidR="00D73EE0" w:rsidRPr="00F22BA5">
        <w:rPr>
          <w:rFonts w:ascii="Times New Roman" w:hAnsi="Times New Roman" w:cs="Times New Roman"/>
          <w:sz w:val="26"/>
          <w:szCs w:val="26"/>
          <w:lang w:val="vi-VN"/>
        </w:rPr>
        <w:t xml:space="preserve"> </w:t>
      </w:r>
      <w:r w:rsidR="009D3D34" w:rsidRPr="00F22BA5">
        <w:rPr>
          <w:rFonts w:ascii="Times New Roman" w:hAnsi="Times New Roman" w:cs="Times New Roman"/>
          <w:sz w:val="26"/>
          <w:szCs w:val="26"/>
          <w:lang w:val="vi-VN"/>
        </w:rPr>
        <w:t>vòng quay tài sản, hiệu suất sử dụng vốn cố định</w:t>
      </w:r>
      <w:r w:rsidR="00C07A85" w:rsidRPr="00F22BA5">
        <w:rPr>
          <w:rFonts w:ascii="Times New Roman" w:hAnsi="Times New Roman" w:cs="Times New Roman"/>
          <w:sz w:val="26"/>
          <w:szCs w:val="26"/>
          <w:lang w:val="vi-VN"/>
        </w:rPr>
        <w:t>.</w:t>
      </w:r>
    </w:p>
    <w:p w14:paraId="76F3CBFC" w14:textId="1DB5A99B"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xml:space="preserve">- </w:t>
      </w:r>
      <w:r w:rsidR="00C07A85" w:rsidRPr="00F22BA5">
        <w:rPr>
          <w:rFonts w:ascii="Times New Roman" w:hAnsi="Times New Roman" w:cs="Times New Roman"/>
          <w:sz w:val="26"/>
          <w:szCs w:val="26"/>
          <w:lang w:val="vi-VN"/>
        </w:rPr>
        <w:t>Khả năng</w:t>
      </w:r>
      <w:r w:rsidRPr="00AF3D5D">
        <w:rPr>
          <w:rFonts w:ascii="Times New Roman" w:hAnsi="Times New Roman" w:cs="Times New Roman"/>
          <w:sz w:val="26"/>
          <w:szCs w:val="26"/>
          <w:lang w:val="vi-VN"/>
        </w:rPr>
        <w:t xml:space="preserve"> sinh lời như: </w:t>
      </w:r>
      <w:r w:rsidR="00C07A85" w:rsidRPr="00F22BA5">
        <w:rPr>
          <w:rFonts w:ascii="Times New Roman" w:hAnsi="Times New Roman" w:cs="Times New Roman"/>
          <w:sz w:val="26"/>
          <w:szCs w:val="26"/>
          <w:lang w:val="vi-VN"/>
        </w:rPr>
        <w:t>T</w:t>
      </w:r>
      <w:r w:rsidRPr="00AF3D5D">
        <w:rPr>
          <w:rFonts w:ascii="Times New Roman" w:hAnsi="Times New Roman" w:cs="Times New Roman"/>
          <w:sz w:val="26"/>
          <w:szCs w:val="26"/>
          <w:lang w:val="vi-VN"/>
        </w:rPr>
        <w:t xml:space="preserve">ỷ suất LNST trên doanh thu (ROS), </w:t>
      </w:r>
      <w:r w:rsidR="00C07A85" w:rsidRPr="00F22BA5">
        <w:rPr>
          <w:rFonts w:ascii="Times New Roman" w:hAnsi="Times New Roman" w:cs="Times New Roman"/>
          <w:sz w:val="26"/>
          <w:szCs w:val="26"/>
          <w:lang w:val="vi-VN"/>
        </w:rPr>
        <w:t>T</w:t>
      </w:r>
      <w:r w:rsidRPr="00AF3D5D">
        <w:rPr>
          <w:rFonts w:ascii="Times New Roman" w:hAnsi="Times New Roman" w:cs="Times New Roman"/>
          <w:sz w:val="26"/>
          <w:szCs w:val="26"/>
          <w:lang w:val="vi-VN"/>
        </w:rPr>
        <w:t xml:space="preserve">ỷ suất sinh lời kinh tế của tài sản (BEP), </w:t>
      </w:r>
      <w:r w:rsidR="00C07A85" w:rsidRPr="00F22BA5">
        <w:rPr>
          <w:rFonts w:ascii="Times New Roman" w:hAnsi="Times New Roman" w:cs="Times New Roman"/>
          <w:sz w:val="26"/>
          <w:szCs w:val="26"/>
          <w:lang w:val="vi-VN"/>
        </w:rPr>
        <w:t>T</w:t>
      </w:r>
      <w:r w:rsidRPr="00AF3D5D">
        <w:rPr>
          <w:rFonts w:ascii="Times New Roman" w:hAnsi="Times New Roman" w:cs="Times New Roman"/>
          <w:sz w:val="26"/>
          <w:szCs w:val="26"/>
          <w:lang w:val="vi-VN"/>
        </w:rPr>
        <w:t xml:space="preserve">ỷ suất LNST trên VKD (ROA), </w:t>
      </w:r>
      <w:r w:rsidR="00C07A85" w:rsidRPr="00F22BA5">
        <w:rPr>
          <w:rFonts w:ascii="Times New Roman" w:hAnsi="Times New Roman" w:cs="Times New Roman"/>
          <w:sz w:val="26"/>
          <w:szCs w:val="26"/>
          <w:lang w:val="vi-VN"/>
        </w:rPr>
        <w:t>T</w:t>
      </w:r>
      <w:r w:rsidRPr="00AF3D5D">
        <w:rPr>
          <w:rFonts w:ascii="Times New Roman" w:hAnsi="Times New Roman" w:cs="Times New Roman"/>
          <w:sz w:val="26"/>
          <w:szCs w:val="26"/>
          <w:lang w:val="vi-VN"/>
        </w:rPr>
        <w:t>ỷ suất lợi nhuận VCSH (ROE).</w:t>
      </w:r>
    </w:p>
    <w:p w14:paraId="01E56861" w14:textId="77777777" w:rsidR="004B6704" w:rsidRPr="00F22BA5" w:rsidRDefault="004B6704" w:rsidP="00ED419E">
      <w:pPr>
        <w:pStyle w:val="p2"/>
      </w:pPr>
      <w:bookmarkStart w:id="19" w:name="_Toc197781130"/>
      <w:bookmarkStart w:id="20" w:name="_Toc197781412"/>
      <w:r w:rsidRPr="00F22BA5">
        <w:t>5. Phương pháp nghiên cứu</w:t>
      </w:r>
      <w:bookmarkEnd w:id="19"/>
      <w:bookmarkEnd w:id="20"/>
    </w:p>
    <w:p w14:paraId="58E1FF05" w14:textId="77777777"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Nghiên cứu này sẽ sử dụng phương pháp nghiên cứu định lượng, kết hợp với phân tích các chỉ số tài chính để đánh giá an toàn tài chính của các công ty cổ phần niêm yết thuộc TKV. Các công cụ tài chính như phân tích tỷ số tài chính, phân tích dòng tiền, và mô hình đánh giá rủi ro sẽ được áp dụng để phân tích dữ liệu tài chính từ báo cáo tài chính của các công ty trong giai đoạn nghiên cứu.</w:t>
      </w:r>
    </w:p>
    <w:p w14:paraId="71013BFB" w14:textId="77777777"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Ngoài ra, nghiên cứu cũng sẽ sử dụng các phương pháp thống kê mô tả để phân tích xu hướng và so sánh kết quả giữa các công ty trong TKV, từ đó đưa ra những nhận định về mức độ an toàn tài chính của từng công ty.</w:t>
      </w:r>
    </w:p>
    <w:p w14:paraId="576702DE" w14:textId="77777777" w:rsidR="004B6704" w:rsidRPr="00F22BA5" w:rsidRDefault="004B6704" w:rsidP="00ED419E">
      <w:pPr>
        <w:pStyle w:val="p2"/>
      </w:pPr>
      <w:bookmarkStart w:id="21" w:name="_Toc197781131"/>
      <w:bookmarkStart w:id="22" w:name="_Toc197781413"/>
      <w:r w:rsidRPr="00F22BA5">
        <w:t>6. Tổng quan về cấu trúc bài nghiên cứu</w:t>
      </w:r>
      <w:bookmarkEnd w:id="21"/>
      <w:bookmarkEnd w:id="22"/>
    </w:p>
    <w:p w14:paraId="25E5F410" w14:textId="77777777"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Bài nghiên cứu này sẽ được trình bày thành 3 phần chính sau:</w:t>
      </w:r>
    </w:p>
    <w:p w14:paraId="01D0D57F" w14:textId="77777777"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b/>
          <w:bCs/>
          <w:i/>
          <w:iCs/>
          <w:sz w:val="26"/>
          <w:szCs w:val="26"/>
          <w:lang w:val="vi-VN"/>
        </w:rPr>
        <w:t>Phần 1:</w:t>
      </w:r>
      <w:r w:rsidRPr="00AF3D5D">
        <w:rPr>
          <w:rFonts w:ascii="Times New Roman" w:hAnsi="Times New Roman" w:cs="Times New Roman"/>
          <w:sz w:val="26"/>
          <w:szCs w:val="26"/>
          <w:lang w:val="vi-VN"/>
        </w:rPr>
        <w:t xml:space="preserve"> </w:t>
      </w:r>
      <w:r w:rsidRPr="00C076C0">
        <w:rPr>
          <w:rFonts w:ascii="Times New Roman" w:hAnsi="Times New Roman" w:cs="Times New Roman"/>
          <w:sz w:val="26"/>
          <w:szCs w:val="26"/>
          <w:lang w:val="pt-BR"/>
        </w:rPr>
        <w:t>Nghiên cứu cơ sở lý luận về an toàn tài chính trong doanh nghiệp</w:t>
      </w:r>
    </w:p>
    <w:p w14:paraId="439B07C8" w14:textId="77777777"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b/>
          <w:bCs/>
          <w:i/>
          <w:iCs/>
          <w:sz w:val="26"/>
          <w:szCs w:val="26"/>
          <w:lang w:val="vi-VN"/>
        </w:rPr>
        <w:t>Phần 2:</w:t>
      </w:r>
      <w:r w:rsidRPr="00AF3D5D">
        <w:rPr>
          <w:rFonts w:ascii="Times New Roman" w:hAnsi="Times New Roman" w:cs="Times New Roman"/>
          <w:sz w:val="26"/>
          <w:szCs w:val="26"/>
          <w:lang w:val="vi-VN"/>
        </w:rPr>
        <w:t xml:space="preserve"> </w:t>
      </w:r>
      <w:r w:rsidRPr="00C076C0">
        <w:rPr>
          <w:rFonts w:ascii="Times New Roman" w:hAnsi="Times New Roman" w:cs="Times New Roman"/>
          <w:sz w:val="26"/>
          <w:szCs w:val="26"/>
          <w:lang w:val="pt-BR"/>
        </w:rPr>
        <w:t>Nghiên cứu thực trạng an toàn tài chính tại công ty cổ phần niêm yết thuộc TKV giai đoạn 2019-2023</w:t>
      </w:r>
    </w:p>
    <w:p w14:paraId="2D8668AA" w14:textId="0BF64FFD" w:rsidR="004B6704" w:rsidRPr="00F22BA5" w:rsidRDefault="004B6704" w:rsidP="009D3D34">
      <w:pPr>
        <w:spacing w:line="312" w:lineRule="auto"/>
        <w:jc w:val="both"/>
        <w:rPr>
          <w:rFonts w:ascii="Times New Roman" w:hAnsi="Times New Roman" w:cs="Times New Roman"/>
          <w:sz w:val="26"/>
          <w:szCs w:val="26"/>
          <w:lang w:val="pt-BR"/>
        </w:rPr>
      </w:pPr>
      <w:r w:rsidRPr="00C076C0">
        <w:rPr>
          <w:rFonts w:ascii="Times New Roman" w:hAnsi="Times New Roman" w:cs="Times New Roman"/>
          <w:sz w:val="26"/>
          <w:szCs w:val="26"/>
          <w:lang w:val="vi-VN"/>
        </w:rPr>
        <w:t xml:space="preserve">          </w:t>
      </w:r>
      <w:r w:rsidRPr="004B6704">
        <w:rPr>
          <w:rFonts w:ascii="Times New Roman" w:hAnsi="Times New Roman" w:cs="Times New Roman"/>
          <w:b/>
          <w:bCs/>
          <w:i/>
          <w:iCs/>
          <w:sz w:val="26"/>
          <w:szCs w:val="26"/>
          <w:lang w:val="vi-VN"/>
        </w:rPr>
        <w:t>Phần 3:</w:t>
      </w:r>
      <w:r w:rsidRPr="004B6704">
        <w:rPr>
          <w:rFonts w:ascii="Times New Roman" w:hAnsi="Times New Roman" w:cs="Times New Roman"/>
          <w:sz w:val="26"/>
          <w:szCs w:val="26"/>
          <w:lang w:val="vi-VN"/>
        </w:rPr>
        <w:t xml:space="preserve"> </w:t>
      </w:r>
      <w:r w:rsidRPr="00C076C0">
        <w:rPr>
          <w:rFonts w:ascii="Times New Roman" w:hAnsi="Times New Roman" w:cs="Times New Roman"/>
          <w:sz w:val="26"/>
          <w:szCs w:val="26"/>
          <w:lang w:val="pt-BR"/>
        </w:rPr>
        <w:t xml:space="preserve">Đề xuất một số </w:t>
      </w:r>
      <w:r w:rsidR="00F76309">
        <w:rPr>
          <w:rFonts w:ascii="Times New Roman" w:hAnsi="Times New Roman" w:cs="Times New Roman"/>
          <w:sz w:val="26"/>
          <w:szCs w:val="26"/>
          <w:lang w:val="pt-BR"/>
        </w:rPr>
        <w:t>giải pháp</w:t>
      </w:r>
      <w:r w:rsidRPr="00C076C0">
        <w:rPr>
          <w:rFonts w:ascii="Times New Roman" w:hAnsi="Times New Roman" w:cs="Times New Roman"/>
          <w:sz w:val="26"/>
          <w:szCs w:val="26"/>
          <w:lang w:val="pt-BR"/>
        </w:rPr>
        <w:t xml:space="preserve"> nâng</w:t>
      </w:r>
      <w:r w:rsidRPr="00C076C0">
        <w:rPr>
          <w:rFonts w:ascii="Times New Roman" w:hAnsi="Times New Roman" w:cs="Times New Roman"/>
          <w:sz w:val="26"/>
          <w:szCs w:val="26"/>
          <w:lang w:val="vi-VN"/>
        </w:rPr>
        <w:t xml:space="preserve"> c</w:t>
      </w:r>
      <w:r w:rsidRPr="00C076C0">
        <w:rPr>
          <w:rFonts w:ascii="Times New Roman" w:hAnsi="Times New Roman" w:cs="Times New Roman"/>
          <w:sz w:val="26"/>
          <w:szCs w:val="26"/>
          <w:lang w:val="pt-BR"/>
        </w:rPr>
        <w:t xml:space="preserve">ao an toàn tài </w:t>
      </w:r>
      <w:r w:rsidRPr="00C076C0">
        <w:rPr>
          <w:rFonts w:ascii="Times New Roman" w:hAnsi="Times New Roman" w:cs="Times New Roman"/>
          <w:sz w:val="26"/>
          <w:szCs w:val="26"/>
          <w:lang w:val="vi-VN"/>
        </w:rPr>
        <w:t>c</w:t>
      </w:r>
      <w:r w:rsidRPr="00C076C0">
        <w:rPr>
          <w:rFonts w:ascii="Times New Roman" w:hAnsi="Times New Roman" w:cs="Times New Roman"/>
          <w:sz w:val="26"/>
          <w:szCs w:val="26"/>
          <w:lang w:val="pt-BR"/>
        </w:rPr>
        <w:t xml:space="preserve">hính </w:t>
      </w:r>
      <w:r w:rsidR="009D3D34" w:rsidRPr="00F22BA5">
        <w:rPr>
          <w:rFonts w:ascii="Times New Roman" w:hAnsi="Times New Roman" w:cs="Times New Roman"/>
          <w:sz w:val="26"/>
          <w:szCs w:val="26"/>
          <w:lang w:val="pt-BR"/>
        </w:rPr>
        <w:t>tại công ty cổ phần niêm yết thuộc TKV</w:t>
      </w:r>
    </w:p>
    <w:p w14:paraId="430E7D5A" w14:textId="77777777" w:rsidR="00B269A5" w:rsidRDefault="00B269A5">
      <w:pPr>
        <w:rPr>
          <w:lang w:val="vi-VN"/>
        </w:rPr>
      </w:pPr>
    </w:p>
    <w:p w14:paraId="05030B76" w14:textId="77777777" w:rsidR="004B6704" w:rsidRDefault="004B6704">
      <w:pPr>
        <w:rPr>
          <w:lang w:val="vi-VN"/>
        </w:rPr>
      </w:pPr>
    </w:p>
    <w:p w14:paraId="5BEA365D" w14:textId="77777777" w:rsidR="004B6704" w:rsidRDefault="004B6704">
      <w:pPr>
        <w:rPr>
          <w:lang w:val="vi-VN"/>
        </w:rPr>
      </w:pPr>
    </w:p>
    <w:p w14:paraId="4D1EEF4C" w14:textId="77777777" w:rsidR="004B6704" w:rsidRDefault="004B6704">
      <w:pPr>
        <w:rPr>
          <w:lang w:val="vi-VN"/>
        </w:rPr>
      </w:pPr>
    </w:p>
    <w:p w14:paraId="3F526D7C" w14:textId="77777777" w:rsidR="004B6704" w:rsidRDefault="004B6704">
      <w:pPr>
        <w:rPr>
          <w:lang w:val="vi-VN"/>
        </w:rPr>
      </w:pPr>
    </w:p>
    <w:p w14:paraId="06E48CB5" w14:textId="77777777" w:rsidR="004B6704" w:rsidRDefault="004B6704">
      <w:pPr>
        <w:rPr>
          <w:lang w:val="vi-VN"/>
        </w:rPr>
      </w:pPr>
    </w:p>
    <w:p w14:paraId="7AC43B11" w14:textId="77777777" w:rsidR="004B6704" w:rsidRDefault="004B6704">
      <w:pPr>
        <w:rPr>
          <w:lang w:val="vi-VN"/>
        </w:rPr>
      </w:pPr>
    </w:p>
    <w:p w14:paraId="07E84174" w14:textId="77777777" w:rsidR="004B6704" w:rsidRDefault="004B6704">
      <w:pPr>
        <w:rPr>
          <w:lang w:val="vi-VN"/>
        </w:rPr>
      </w:pPr>
    </w:p>
    <w:p w14:paraId="18FE03C5" w14:textId="77777777" w:rsidR="004B6704" w:rsidRDefault="004B6704">
      <w:pPr>
        <w:rPr>
          <w:lang w:val="vi-VN"/>
        </w:rPr>
      </w:pPr>
    </w:p>
    <w:p w14:paraId="25E0E0DF" w14:textId="77777777" w:rsidR="004B6704" w:rsidRDefault="004B6704">
      <w:pPr>
        <w:rPr>
          <w:lang w:val="vi-VN"/>
        </w:rPr>
      </w:pPr>
    </w:p>
    <w:p w14:paraId="3AA560A5" w14:textId="77777777" w:rsidR="004B6704" w:rsidRDefault="004B6704">
      <w:pPr>
        <w:rPr>
          <w:lang w:val="vi-VN"/>
        </w:rPr>
      </w:pPr>
    </w:p>
    <w:p w14:paraId="4FE58B1F" w14:textId="77777777" w:rsidR="004B6704" w:rsidRDefault="004B6704">
      <w:pPr>
        <w:rPr>
          <w:lang w:val="vi-VN"/>
        </w:rPr>
      </w:pPr>
    </w:p>
    <w:p w14:paraId="702D87FA" w14:textId="77777777" w:rsidR="004B6704" w:rsidRDefault="004B6704">
      <w:pPr>
        <w:rPr>
          <w:lang w:val="vi-VN"/>
        </w:rPr>
      </w:pPr>
    </w:p>
    <w:p w14:paraId="63883126" w14:textId="77777777" w:rsidR="004B6704" w:rsidRDefault="004B6704">
      <w:pPr>
        <w:rPr>
          <w:lang w:val="vi-VN"/>
        </w:rPr>
      </w:pPr>
    </w:p>
    <w:p w14:paraId="75A4C0D2" w14:textId="70308426" w:rsidR="004B6704" w:rsidRDefault="004B6704">
      <w:pPr>
        <w:rPr>
          <w:lang w:val="vi-VN"/>
        </w:rPr>
      </w:pPr>
    </w:p>
    <w:p w14:paraId="104A9F31" w14:textId="1402E70A" w:rsidR="009D3D34" w:rsidRDefault="009D3D34">
      <w:pPr>
        <w:rPr>
          <w:lang w:val="vi-VN"/>
        </w:rPr>
      </w:pPr>
    </w:p>
    <w:p w14:paraId="509536F2" w14:textId="77777777" w:rsidR="004B6704" w:rsidRPr="004B6704" w:rsidRDefault="004B6704" w:rsidP="005B0517">
      <w:pPr>
        <w:pStyle w:val="Heading1"/>
        <w:rPr>
          <w:lang w:val="vi-VN"/>
        </w:rPr>
      </w:pPr>
      <w:bookmarkStart w:id="23" w:name="_Toc198281643"/>
      <w:bookmarkStart w:id="24" w:name="_Toc198284428"/>
      <w:bookmarkStart w:id="25" w:name="_Toc198709949"/>
      <w:bookmarkStart w:id="26" w:name="_Toc197781132"/>
      <w:bookmarkStart w:id="27" w:name="_Toc197781414"/>
      <w:r w:rsidRPr="004B6704">
        <w:rPr>
          <w:lang w:val="vi-VN"/>
        </w:rPr>
        <w:lastRenderedPageBreak/>
        <w:t>PHẦN 1</w:t>
      </w:r>
      <w:bookmarkEnd w:id="23"/>
      <w:bookmarkEnd w:id="24"/>
      <w:bookmarkEnd w:id="25"/>
    </w:p>
    <w:p w14:paraId="0769BE14" w14:textId="1AC062D1" w:rsidR="004B6704" w:rsidRPr="004B6704" w:rsidRDefault="004B6704" w:rsidP="005B0517">
      <w:pPr>
        <w:pStyle w:val="Heading1"/>
        <w:rPr>
          <w:lang w:val="vi-VN"/>
        </w:rPr>
      </w:pPr>
      <w:r w:rsidRPr="004B6704">
        <w:rPr>
          <w:lang w:val="vi-VN"/>
        </w:rPr>
        <w:t xml:space="preserve"> </w:t>
      </w:r>
      <w:bookmarkStart w:id="28" w:name="_Toc198281644"/>
      <w:bookmarkStart w:id="29" w:name="_Toc198284429"/>
      <w:bookmarkStart w:id="30" w:name="_Toc198709950"/>
      <w:r w:rsidRPr="004B6704">
        <w:rPr>
          <w:lang w:val="vi-VN"/>
        </w:rPr>
        <w:t>NGHÊN CỨU CƠ SỞ LÝ LUẬN VỀ AN TOÀN TÀI CHÍNH TRONG DOANH NGHIỆP</w:t>
      </w:r>
      <w:bookmarkEnd w:id="26"/>
      <w:bookmarkEnd w:id="27"/>
      <w:bookmarkEnd w:id="28"/>
      <w:bookmarkEnd w:id="29"/>
      <w:bookmarkEnd w:id="30"/>
    </w:p>
    <w:p w14:paraId="7EADC8C6" w14:textId="68F74B94" w:rsidR="004B6704" w:rsidRPr="006216C0" w:rsidRDefault="004B6704" w:rsidP="005B0517">
      <w:pPr>
        <w:pStyle w:val="Heading2"/>
      </w:pPr>
      <w:bookmarkStart w:id="31" w:name="_Toc198709951"/>
      <w:bookmarkStart w:id="32" w:name="_Toc197781134"/>
      <w:bookmarkStart w:id="33" w:name="_Toc197781416"/>
      <w:r w:rsidRPr="006216C0">
        <w:t>1.1. An toàn tài chính trong công ty cổ phần</w:t>
      </w:r>
      <w:bookmarkEnd w:id="31"/>
    </w:p>
    <w:p w14:paraId="6BFC4704" w14:textId="77777777" w:rsidR="004B6704" w:rsidRPr="006216C0" w:rsidRDefault="004B6704" w:rsidP="005B0517">
      <w:pPr>
        <w:pStyle w:val="Heading3"/>
      </w:pPr>
      <w:bookmarkStart w:id="34" w:name="_Toc198709952"/>
      <w:bookmarkEnd w:id="32"/>
      <w:bookmarkEnd w:id="33"/>
      <w:r w:rsidRPr="006216C0">
        <w:t>1.1.1. Công ty cổ phần</w:t>
      </w:r>
      <w:bookmarkEnd w:id="34"/>
    </w:p>
    <w:p w14:paraId="483D64A8" w14:textId="77777777" w:rsidR="004B6704" w:rsidRPr="009D3D34" w:rsidRDefault="004B6704" w:rsidP="008A5BBD">
      <w:pPr>
        <w:pStyle w:val="p3"/>
      </w:pPr>
      <w:bookmarkStart w:id="35" w:name="_Toc197781135"/>
      <w:bookmarkStart w:id="36" w:name="_Toc197781417"/>
      <w:bookmarkStart w:id="37" w:name="_Toc198281645"/>
      <w:bookmarkStart w:id="38" w:name="_Toc198284430"/>
      <w:bookmarkStart w:id="39" w:name="_Toc198709953"/>
      <w:r w:rsidRPr="009D3D34">
        <w:t>1.1.1.1. Khái niệm</w:t>
      </w:r>
      <w:bookmarkEnd w:id="35"/>
      <w:bookmarkEnd w:id="36"/>
      <w:bookmarkEnd w:id="37"/>
      <w:bookmarkEnd w:id="38"/>
      <w:bookmarkEnd w:id="39"/>
    </w:p>
    <w:p w14:paraId="764B52C6" w14:textId="77777777" w:rsidR="004B6704" w:rsidRPr="004B6704" w:rsidRDefault="004B6704" w:rsidP="004B6704">
      <w:pPr>
        <w:spacing w:line="312" w:lineRule="auto"/>
        <w:jc w:val="both"/>
        <w:rPr>
          <w:rFonts w:ascii="Times New Roman" w:hAnsi="Times New Roman" w:cs="Times New Roman"/>
          <w:sz w:val="26"/>
          <w:szCs w:val="26"/>
          <w:lang w:val="vi-VN"/>
        </w:rPr>
      </w:pPr>
      <w:r w:rsidRPr="00C076C0">
        <w:rPr>
          <w:rFonts w:ascii="Times New Roman" w:hAnsi="Times New Roman" w:cs="Times New Roman"/>
          <w:sz w:val="26"/>
          <w:szCs w:val="26"/>
          <w:lang w:val="vi-VN"/>
        </w:rPr>
        <w:t xml:space="preserve">     </w:t>
      </w:r>
      <w:r w:rsidRPr="004B6704">
        <w:rPr>
          <w:rFonts w:ascii="Times New Roman" w:hAnsi="Times New Roman" w:cs="Times New Roman"/>
          <w:sz w:val="26"/>
          <w:szCs w:val="26"/>
          <w:lang w:val="vi-VN"/>
        </w:rPr>
        <w:t>Trong nền kinh tế thị trường, công ty cổ phần là loại hình doanh nghiệp phổ biến, có ý nghĩa và vai trò to lớn đối với sự phát triển nền kinh tế quốc dân. </w:t>
      </w:r>
    </w:p>
    <w:p w14:paraId="42B37CA7"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Doanh nghiệp có vốn điều lệ được chia thành nhiều phần bằng nhau được gọi là công ty cổ phần.</w:t>
      </w:r>
    </w:p>
    <w:p w14:paraId="7AC1DCEB"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Cổ đông có thể là tổ chức hoặc cá nhân sở hữu cổ phần; tối thiểu là 3 cổ đông và không hạn chế số lượng tối đa.</w:t>
      </w:r>
    </w:p>
    <w:p w14:paraId="7A4523CC"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Cổ đông chỉ chịu trách nhiệm về nợ và các nghĩa vụ tài sản khác dựa trên số vốn đã góp vào doanh nghiệp.</w:t>
      </w:r>
    </w:p>
    <w:p w14:paraId="497B2FD6"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Cổ đông có quyền tự do chuyển nhượng cổ phần của mình cho người khác, trừ một số trường hợp đã có quy định của pháp luật, điều này đã tạo ra tính linh hoạt trong việc huy động vốn và thu hút các nhà đầu tư.</w:t>
      </w:r>
    </w:p>
    <w:p w14:paraId="15E6FFC8"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Cổ tức là lợi nhuận mà cổ đông nhận được từ việc sở hữu cổ phần của doanh nghiệp, được chia từ lợi nhuận sau thuế và chênh lệch giá cổ phần.</w:t>
      </w:r>
    </w:p>
    <w:p w14:paraId="59EF69BB"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Đại hội đồng cổ đông sẽ có quyền quyết định phân phối lợi nhuận sau thuế.</w:t>
      </w:r>
    </w:p>
    <w:p w14:paraId="50B80F1D"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Công ty cổ phần có khả năng huy động vốn lớn, vì ngoài các hình thức huy động vốn thông thường, công ty cổ phần có thể phát hành các loại chứng khoán như cổ phiếu và trái phiếu.</w:t>
      </w:r>
    </w:p>
    <w:p w14:paraId="40289FC1" w14:textId="77777777" w:rsidR="004B6704" w:rsidRPr="004B6704" w:rsidRDefault="004B6704" w:rsidP="008A5BBD">
      <w:pPr>
        <w:pStyle w:val="p3"/>
      </w:pPr>
      <w:bookmarkStart w:id="40" w:name="_Toc197781136"/>
      <w:bookmarkStart w:id="41" w:name="_Toc197781418"/>
      <w:bookmarkStart w:id="42" w:name="_Toc198281646"/>
      <w:bookmarkStart w:id="43" w:name="_Toc198284431"/>
      <w:bookmarkStart w:id="44" w:name="_Toc198709954"/>
      <w:r w:rsidRPr="004B6704">
        <w:t>1.1.1.2. Các hoạt động của công ty cổ phần:</w:t>
      </w:r>
      <w:bookmarkEnd w:id="40"/>
      <w:bookmarkEnd w:id="41"/>
      <w:bookmarkEnd w:id="42"/>
      <w:bookmarkEnd w:id="43"/>
      <w:bookmarkEnd w:id="44"/>
    </w:p>
    <w:p w14:paraId="71858F3E" w14:textId="77777777" w:rsidR="004B6704" w:rsidRPr="004B6704" w:rsidRDefault="004B6704" w:rsidP="004B6704">
      <w:pPr>
        <w:spacing w:line="312" w:lineRule="auto"/>
        <w:ind w:firstLine="34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Công ty cổ phần có thể hoạt động ở rất nhiều lĩnh vực khác nhau, tùy thuộc vào mục đích kinh doanh để nhằm tối đa hóa lợi nhuận. Một số hoạt động có thể kể đến như sau:</w:t>
      </w:r>
    </w:p>
    <w:p w14:paraId="2BD53F73"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Kinh doanh và cung cấp sản phẩm/dịch vụ: Đây là hoạt động chủ yếu của công ty cổ phần, liên quan đến tất cả các công đoạn mua bán, sản xuất, chế biến, phân phối hoặc cung cấp các sản phẩm/dịch vụ mà công ty đã đăng ký trong giấy phép kinh doanh.</w:t>
      </w:r>
    </w:p>
    <w:p w14:paraId="2EEFF76B"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Gọi vốn và phát hành cổ phần: Nhằm mục đích có thể huy động được các nguồn vốn bên ngoài, giúp tăng số vốn tự có của mình, thì công ty cổphần có thể huy động vốn từ cổ đông thông qua việc phát hành cổ phần</w:t>
      </w:r>
    </w:p>
    <w:p w14:paraId="46F39924"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lastRenderedPageBreak/>
        <w:t>- Quản lý tài chính và phân chia lợi nhuận: Công ty cổ phần cần quản lý tài chính chặt chẽ không chỉ nhằm ổn định tài chính cho doanh nghiệp phát triển, nâng tầm vị thế, thu hút đầu tư mà còn đảm bảo quyền lợi cho cổ đông. Việc phân chia lợi nhuận sẽ được thực hiện theo quy định của Nhà nước và quy định riêng của từng công ty, phần lợi nhuận được chia cho các cổ đông được gọi là cổ tức, nó sẽ tùy thuộc vào tỷ lệ cổ phần mà cổ đông đang sở hữu.</w:t>
      </w:r>
    </w:p>
    <w:p w14:paraId="0A46C8AE"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Quản lý điều hành: Hội đồng quản trị (do các cổ đông bầu ra) sẽ điều hành và đưa ra các quyết định quan trọng của công ty. Hoạt động này có vai trò đảm bảo hoạt động hiệu quả của công ty, lập chiến lược và phát hiện rủi ro, quản lý tài chính, giám sát và kiểm soát, bảo vệ quyền lợi của cổ đông… </w:t>
      </w:r>
    </w:p>
    <w:p w14:paraId="588D8371"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Mua bán và sáp nhập (hay còn gọi là hoạt động M&amp;A - Mergers and Acquisitions): Đây là phương pháp giành quyền kiểm soát của một công ty khác nhằm mở rộng quy mô, tăng cường sức mạnh tài chính của công ty cổ phần.</w:t>
      </w:r>
    </w:p>
    <w:p w14:paraId="47F863C9"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Xây dựng và phát triển thương hiệu: Hoạt động này giúp công ty cổ phần có dấu ấn trong lòng khách hàng, tạo niềm tin và thúc đẩy doanh thu bán hàng, tăng cường sự cạnh tranh và nhận diện của thương hiệu trên thị trường, từ đó tăng giá trị của công ty, thu hút đầu tư và mở rộng thị trường, nâng cao giá trị cổ phiếu, tạo ra lợi ích lâu dài cho các cổ đông. </w:t>
      </w:r>
    </w:p>
    <w:p w14:paraId="1F18F8C7"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Tuân thủ pháp luật: Công ty cổ phần phải tuân thủ các quy định pháp luật, hay báo cáo tài chính minh bạch để tránh rủi ro pháp lý, đảm bảo quyền lợi cho các bên.</w:t>
      </w:r>
    </w:p>
    <w:p w14:paraId="1C0CAD35" w14:textId="77777777" w:rsidR="004B6704" w:rsidRPr="004B6704" w:rsidRDefault="004B6704" w:rsidP="008A5BBD">
      <w:pPr>
        <w:pStyle w:val="p3"/>
      </w:pPr>
      <w:bookmarkStart w:id="45" w:name="_Toc197781137"/>
      <w:bookmarkStart w:id="46" w:name="_Toc197781419"/>
      <w:bookmarkStart w:id="47" w:name="_Toc198281647"/>
      <w:bookmarkStart w:id="48" w:name="_Toc198284432"/>
      <w:bookmarkStart w:id="49" w:name="_Toc198709955"/>
      <w:r w:rsidRPr="004B6704">
        <w:t>1.1.1.3. Đặc điểm hoạt động tác động đến tài chính của công ty cổ phần</w:t>
      </w:r>
      <w:bookmarkEnd w:id="45"/>
      <w:bookmarkEnd w:id="46"/>
      <w:bookmarkEnd w:id="47"/>
      <w:bookmarkEnd w:id="48"/>
      <w:bookmarkEnd w:id="49"/>
    </w:p>
    <w:p w14:paraId="2D5D8599" w14:textId="77777777" w:rsidR="004B6704" w:rsidRPr="004B6704" w:rsidRDefault="004B6704" w:rsidP="004B6704">
      <w:pPr>
        <w:spacing w:line="312" w:lineRule="auto"/>
        <w:jc w:val="both"/>
        <w:rPr>
          <w:rFonts w:ascii="Times New Roman" w:hAnsi="Times New Roman" w:cs="Times New Roman"/>
          <w:b/>
          <w:bCs/>
          <w:i/>
          <w:iCs/>
          <w:sz w:val="26"/>
          <w:szCs w:val="26"/>
          <w:lang w:val="vi-VN"/>
        </w:rPr>
      </w:pPr>
      <w:r w:rsidRPr="00C076C0">
        <w:rPr>
          <w:rFonts w:ascii="Times New Roman" w:hAnsi="Times New Roman" w:cs="Times New Roman"/>
          <w:sz w:val="26"/>
          <w:szCs w:val="26"/>
          <w:lang w:val="vi-VN"/>
        </w:rPr>
        <w:t xml:space="preserve">     </w:t>
      </w:r>
      <w:r w:rsidRPr="004B6704">
        <w:rPr>
          <w:rFonts w:ascii="Times New Roman" w:hAnsi="Times New Roman" w:cs="Times New Roman"/>
          <w:sz w:val="26"/>
          <w:szCs w:val="26"/>
          <w:lang w:val="vi-VN"/>
        </w:rPr>
        <w:t>Công ty cổ phần có những đặc điểm hoạt động đặc trưng, phân biệt với các loại hình doanh nghiệp khác. Dưới đây là một số đặc điểm quan trọng trong hoạt động của công ty cổ phần:</w:t>
      </w:r>
    </w:p>
    <w:p w14:paraId="77DB1306"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lang w:val="vi-VN"/>
        </w:rPr>
      </w:pPr>
      <w:r w:rsidRPr="00E67018">
        <w:rPr>
          <w:rFonts w:ascii="Times New Roman" w:hAnsi="Times New Roman" w:cs="Times New Roman"/>
          <w:i/>
          <w:iCs/>
          <w:sz w:val="26"/>
          <w:szCs w:val="26"/>
          <w:lang w:val="vi-VN"/>
        </w:rPr>
        <w:t>Chia sẻ vốn thông qua cổ phần:</w:t>
      </w:r>
    </w:p>
    <w:p w14:paraId="2A75C238"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b/>
          <w:bCs/>
          <w:sz w:val="26"/>
          <w:szCs w:val="26"/>
          <w:lang w:val="vi-VN"/>
        </w:rPr>
        <w:t xml:space="preserve">      </w:t>
      </w:r>
      <w:r w:rsidRPr="00E67018">
        <w:rPr>
          <w:rFonts w:ascii="Times New Roman" w:hAnsi="Times New Roman" w:cs="Times New Roman"/>
          <w:sz w:val="26"/>
          <w:szCs w:val="26"/>
          <w:lang w:val="vi-VN"/>
        </w:rPr>
        <w:t>Đặc điểm:</w:t>
      </w:r>
      <w:r w:rsidRPr="004B6704">
        <w:rPr>
          <w:rFonts w:ascii="Times New Roman" w:hAnsi="Times New Roman" w:cs="Times New Roman"/>
          <w:sz w:val="26"/>
          <w:szCs w:val="26"/>
          <w:lang w:val="vi-VN"/>
        </w:rPr>
        <w:t xml:space="preserve"> Công ty cổ phần là một loại hình doanh nghiệp mà vốn điều lệ được chia thành các phần bằng nhau, cổ đông sở hữu cổ phần sẽ có quyền lợi và nghĩa vụ tương ứng với số cổ phần của họ. Công ty có thể phát hành thêm cổ phần để huy động vốn khi cần thiết.</w:t>
      </w:r>
    </w:p>
    <w:p w14:paraId="02A8ADB2"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b/>
          <w:bCs/>
          <w:sz w:val="26"/>
          <w:szCs w:val="26"/>
          <w:lang w:val="vi-VN"/>
        </w:rPr>
        <w:t xml:space="preserve">     </w:t>
      </w:r>
      <w:r w:rsidRPr="00E67018">
        <w:rPr>
          <w:rFonts w:ascii="Times New Roman" w:hAnsi="Times New Roman" w:cs="Times New Roman"/>
          <w:sz w:val="26"/>
          <w:szCs w:val="26"/>
          <w:lang w:val="vi-VN"/>
        </w:rPr>
        <w:t>Ảnh hưởng đến tài chính:</w:t>
      </w:r>
      <w:r w:rsidRPr="004B6704">
        <w:rPr>
          <w:rFonts w:ascii="Times New Roman" w:hAnsi="Times New Roman" w:cs="Times New Roman"/>
          <w:sz w:val="26"/>
          <w:szCs w:val="26"/>
          <w:lang w:val="vi-VN"/>
        </w:rPr>
        <w:t xml:space="preserve"> Việc chia sẻ vốn qua cổ phần giúp công ty huy động được nguồn tài chính lớn từ nhiều nhà đầu tư, dễ dàng tiếp cận vốn để phát triển sản phẩm, mở rộng quy mô hoặc thực hiện các dự án lớn mà không phải vay mượn nhiều. Quá đó, tạo nền tảng tài chính ổn định và linh hoạt.</w:t>
      </w:r>
    </w:p>
    <w:p w14:paraId="1C1C46DB"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lang w:val="vi-VN"/>
        </w:rPr>
      </w:pPr>
      <w:r w:rsidRPr="00E67018">
        <w:rPr>
          <w:rFonts w:ascii="Times New Roman" w:hAnsi="Times New Roman" w:cs="Times New Roman"/>
          <w:i/>
          <w:iCs/>
          <w:sz w:val="26"/>
          <w:szCs w:val="26"/>
          <w:lang w:val="vi-VN"/>
        </w:rPr>
        <w:t>Cổ đông chịu trách nhiệm hữu hạn:</w:t>
      </w:r>
    </w:p>
    <w:p w14:paraId="03D6F417" w14:textId="77777777" w:rsidR="004B6704" w:rsidRPr="004B6704" w:rsidRDefault="004B6704"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lastRenderedPageBreak/>
        <w:t xml:space="preserve">      Đặc điểm:</w:t>
      </w:r>
      <w:r w:rsidRPr="004B6704">
        <w:rPr>
          <w:rFonts w:ascii="Times New Roman" w:hAnsi="Times New Roman" w:cs="Times New Roman"/>
          <w:sz w:val="26"/>
          <w:szCs w:val="26"/>
          <w:lang w:val="vi-VN"/>
        </w:rPr>
        <w:t xml:space="preserve"> Cổ đông chỉ chịu trách nhiệm về nghĩa vụ tài chính trong phạm vi số vốn mà họ đã góp. Nếu công ty gặp khó khăn tài chính hoặc phá sản, cổ đông không phải chịu trách nhiệm cá nhân.</w:t>
      </w:r>
    </w:p>
    <w:p w14:paraId="685EC722" w14:textId="77777777" w:rsidR="004B6704" w:rsidRPr="004B6704" w:rsidRDefault="004B6704"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      Ảnh hưởng đến tài chính: </w:t>
      </w:r>
      <w:r w:rsidRPr="004B6704">
        <w:rPr>
          <w:rFonts w:ascii="Times New Roman" w:hAnsi="Times New Roman" w:cs="Times New Roman"/>
          <w:sz w:val="26"/>
          <w:szCs w:val="26"/>
          <w:lang w:val="vi-VN"/>
        </w:rPr>
        <w:t>Cổ đông không phải chịu trách nhiệm vô hạn về nghĩa vụ tài chính, điều này tạo ra niềm tin cho các nhà đầu tư vì họ có thể hạn chế rủi ro tài chính cá nhân. Tuy nhiên, trong những tình huống khủng hoảng tài chính, cũng có thể tạo ra sự dè dặt trong việc bảo vệ tài sản của công ty trong những tình huống khủng hoảng tài chính.</w:t>
      </w:r>
    </w:p>
    <w:p w14:paraId="170A46B6"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lang w:val="vi-VN"/>
        </w:rPr>
      </w:pPr>
      <w:r w:rsidRPr="00E67018">
        <w:rPr>
          <w:rFonts w:ascii="Times New Roman" w:hAnsi="Times New Roman" w:cs="Times New Roman"/>
          <w:i/>
          <w:iCs/>
          <w:sz w:val="26"/>
          <w:szCs w:val="26"/>
          <w:lang w:val="vi-VN"/>
        </w:rPr>
        <w:t xml:space="preserve">Cơ cấu tổ chức rõ ràng với sự phân quyền: </w:t>
      </w:r>
    </w:p>
    <w:p w14:paraId="0047620D" w14:textId="77777777" w:rsidR="004B6704" w:rsidRPr="004B6704" w:rsidRDefault="004B6704"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      Đặc điểm:</w:t>
      </w:r>
      <w:r w:rsidRPr="004B6704">
        <w:rPr>
          <w:rFonts w:ascii="Times New Roman" w:hAnsi="Times New Roman" w:cs="Times New Roman"/>
          <w:b/>
          <w:bCs/>
          <w:sz w:val="26"/>
          <w:szCs w:val="26"/>
          <w:lang w:val="vi-VN"/>
        </w:rPr>
        <w:t xml:space="preserve"> </w:t>
      </w:r>
      <w:r w:rsidRPr="004B6704">
        <w:rPr>
          <w:rFonts w:ascii="Times New Roman" w:hAnsi="Times New Roman" w:cs="Times New Roman"/>
          <w:sz w:val="26"/>
          <w:szCs w:val="26"/>
          <w:lang w:val="vi-VN"/>
        </w:rPr>
        <w:t>Công ty cổ phần có cơ cấu tổ chức phân cấp rõ ràng với ba cơ quan chính:</w:t>
      </w:r>
    </w:p>
    <w:p w14:paraId="4D894D76" w14:textId="24654CD9"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  </w:t>
      </w:r>
      <w:r w:rsidR="003A3D75">
        <w:rPr>
          <w:rFonts w:ascii="Times New Roman" w:hAnsi="Times New Roman" w:cs="Times New Roman"/>
          <w:sz w:val="26"/>
          <w:szCs w:val="26"/>
          <w:lang w:val="vi-VN"/>
        </w:rPr>
        <w:t xml:space="preserve">       </w:t>
      </w:r>
      <w:r w:rsidRPr="00E67018">
        <w:rPr>
          <w:rFonts w:ascii="Times New Roman" w:hAnsi="Times New Roman" w:cs="Times New Roman"/>
          <w:sz w:val="26"/>
          <w:szCs w:val="26"/>
          <w:lang w:val="vi-VN"/>
        </w:rPr>
        <w:t>- Đại hội đồng cổ đông:</w:t>
      </w:r>
      <w:r w:rsidRPr="004B6704">
        <w:rPr>
          <w:rFonts w:ascii="Times New Roman" w:hAnsi="Times New Roman" w:cs="Times New Roman"/>
          <w:sz w:val="26"/>
          <w:szCs w:val="26"/>
          <w:lang w:val="vi-VN"/>
        </w:rPr>
        <w:t xml:space="preserve"> Là cơ quan quyền lực cao nhất, đại diện cho tất cả cổ đông, quyết định các vấn đề quan trọng như sửa đổi điều lệ, chia cổ tức, bầu cử hội đồng quản trị.</w:t>
      </w:r>
    </w:p>
    <w:p w14:paraId="276D7F50" w14:textId="46EA4568"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 </w:t>
      </w:r>
      <w:r w:rsidR="003A3D75">
        <w:rPr>
          <w:rFonts w:ascii="Times New Roman" w:hAnsi="Times New Roman" w:cs="Times New Roman"/>
          <w:sz w:val="26"/>
          <w:szCs w:val="26"/>
          <w:lang w:val="vi-VN"/>
        </w:rPr>
        <w:t xml:space="preserve">       </w:t>
      </w:r>
      <w:r w:rsidRPr="004B6704">
        <w:rPr>
          <w:rFonts w:ascii="Times New Roman" w:hAnsi="Times New Roman" w:cs="Times New Roman"/>
          <w:sz w:val="26"/>
          <w:szCs w:val="26"/>
          <w:lang w:val="vi-VN"/>
        </w:rPr>
        <w:t xml:space="preserve"> </w:t>
      </w:r>
      <w:r w:rsidRPr="00E67018">
        <w:rPr>
          <w:rFonts w:ascii="Times New Roman" w:hAnsi="Times New Roman" w:cs="Times New Roman"/>
          <w:sz w:val="26"/>
          <w:szCs w:val="26"/>
          <w:lang w:val="vi-VN"/>
        </w:rPr>
        <w:t>- Hội đồng quản trị (HĐQT):</w:t>
      </w:r>
      <w:r w:rsidRPr="004B6704">
        <w:rPr>
          <w:rFonts w:ascii="Times New Roman" w:hAnsi="Times New Roman" w:cs="Times New Roman"/>
          <w:sz w:val="26"/>
          <w:szCs w:val="26"/>
          <w:lang w:val="vi-VN"/>
        </w:rPr>
        <w:t xml:space="preserve"> Là cơ quan quản lý, điều hành hoạt động của công ty giữa các kỳ đại hội đồng cổ đông.</w:t>
      </w:r>
    </w:p>
    <w:p w14:paraId="2EB9E0F4" w14:textId="57895BE4" w:rsidR="004B6704" w:rsidRPr="004B6704" w:rsidRDefault="003A3D75"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         </w:t>
      </w:r>
      <w:r w:rsidR="004B6704" w:rsidRPr="00E67018">
        <w:rPr>
          <w:rFonts w:ascii="Times New Roman" w:hAnsi="Times New Roman" w:cs="Times New Roman"/>
          <w:sz w:val="26"/>
          <w:szCs w:val="26"/>
          <w:lang w:val="vi-VN"/>
        </w:rPr>
        <w:t>- Ban giám đốc (hoặc giám đốc điều hành):</w:t>
      </w:r>
      <w:r w:rsidR="004B6704" w:rsidRPr="004B6704">
        <w:rPr>
          <w:rFonts w:ascii="Times New Roman" w:hAnsi="Times New Roman" w:cs="Times New Roman"/>
          <w:sz w:val="26"/>
          <w:szCs w:val="26"/>
          <w:lang w:val="vi-VN"/>
        </w:rPr>
        <w:t xml:space="preserve"> Là cơ quan thực hiện các công việc quản lý hàng ngày, được Hội đồng quản trị bổ nhiệm.</w:t>
      </w:r>
    </w:p>
    <w:p w14:paraId="2BF7AFA8" w14:textId="77777777" w:rsidR="004B6704" w:rsidRPr="004B6704" w:rsidRDefault="004B6704" w:rsidP="004B6704">
      <w:pPr>
        <w:spacing w:line="312" w:lineRule="auto"/>
        <w:ind w:left="142" w:firstLine="142"/>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Ảnh hưởng đến tài chính: </w:t>
      </w:r>
      <w:r w:rsidRPr="004B6704">
        <w:rPr>
          <w:rFonts w:ascii="Times New Roman" w:hAnsi="Times New Roman" w:cs="Times New Roman"/>
          <w:sz w:val="26"/>
          <w:szCs w:val="26"/>
          <w:lang w:val="vi-VN"/>
        </w:rPr>
        <w:t>Việc có một cơ cấu tổ chức rõ ràng giúp công ty điều hành tài chính một cách hiệu quả, đảm bảo việc phân bổ tài chính hợp lý cho các hoạt động kinh doanh và giảm thiểu rủi ro tài chính do quản lý kém. Điều này cũng tạo ra sự minh bạch trong việc giám sát và kiểm soát dòng tiền.</w:t>
      </w:r>
    </w:p>
    <w:p w14:paraId="581A90A7"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lang w:val="vi-VN"/>
        </w:rPr>
      </w:pPr>
      <w:r w:rsidRPr="00E67018">
        <w:rPr>
          <w:rFonts w:ascii="Times New Roman" w:hAnsi="Times New Roman" w:cs="Times New Roman"/>
          <w:i/>
          <w:iCs/>
          <w:sz w:val="26"/>
          <w:szCs w:val="26"/>
          <w:lang w:val="vi-VN"/>
        </w:rPr>
        <w:t>Cổ đông có quyền chuyển nhượng cổ phần tự do:</w:t>
      </w:r>
    </w:p>
    <w:p w14:paraId="0E2C4198"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b/>
          <w:bCs/>
          <w:sz w:val="26"/>
          <w:szCs w:val="26"/>
          <w:lang w:val="vi-VN"/>
        </w:rPr>
        <w:t xml:space="preserve">      </w:t>
      </w:r>
      <w:r w:rsidRPr="00E67018">
        <w:rPr>
          <w:rFonts w:ascii="Times New Roman" w:hAnsi="Times New Roman" w:cs="Times New Roman"/>
          <w:sz w:val="26"/>
          <w:szCs w:val="26"/>
          <w:lang w:val="vi-VN"/>
        </w:rPr>
        <w:t>Đặc điểm:</w:t>
      </w:r>
      <w:r w:rsidRPr="004B6704">
        <w:rPr>
          <w:rFonts w:ascii="Times New Roman" w:hAnsi="Times New Roman" w:cs="Times New Roman"/>
          <w:sz w:val="26"/>
          <w:szCs w:val="26"/>
          <w:lang w:val="vi-VN"/>
        </w:rPr>
        <w:t xml:space="preserve"> Cổ đông có quyền tự do chuyển nhượng cổ phần cho người khác, điều này tạo ra tính linh hoạt trong việc thay đổi cơ cấu sở hữu.</w:t>
      </w:r>
    </w:p>
    <w:p w14:paraId="52DD1F69" w14:textId="77777777" w:rsidR="004B6704" w:rsidRPr="004B6704" w:rsidRDefault="004B6704"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      Ảnh hưởng đến tài chính:</w:t>
      </w:r>
      <w:r w:rsidRPr="004B6704">
        <w:rPr>
          <w:rFonts w:ascii="Times New Roman" w:hAnsi="Times New Roman" w:cs="Times New Roman"/>
          <w:sz w:val="26"/>
          <w:szCs w:val="26"/>
          <w:lang w:val="vi-VN"/>
        </w:rPr>
        <w:t xml:space="preserve"> Tính linh hoạt trong việc chuyển nhượng cổ phần giúp công ty dễ dàng thu hút vốn từ các nhà đầu tư mới hoặc bán cổ phần khi cần thiết. Điều này giúp công ty có khả năng huy động tài chính từ nhiều nguồn khác nhau, tăng tính thanh khoản và duy trì khả năng huy động vốn linh hoạt.</w:t>
      </w:r>
    </w:p>
    <w:p w14:paraId="080AEC05"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lang w:val="vi-VN"/>
        </w:rPr>
      </w:pPr>
      <w:r w:rsidRPr="00E67018">
        <w:rPr>
          <w:rFonts w:ascii="Times New Roman" w:hAnsi="Times New Roman" w:cs="Times New Roman"/>
          <w:i/>
          <w:iCs/>
          <w:sz w:val="26"/>
          <w:szCs w:val="26"/>
          <w:lang w:val="vi-VN"/>
        </w:rPr>
        <w:t>CTCP có thể huy động vốn dễ dàng thông qua phát hành cổ phần:</w:t>
      </w:r>
    </w:p>
    <w:p w14:paraId="260D2C5F" w14:textId="77777777" w:rsidR="004B6704" w:rsidRPr="004B6704" w:rsidRDefault="004B6704"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      Đặc điểm:</w:t>
      </w:r>
      <w:r w:rsidRPr="004B6704">
        <w:rPr>
          <w:rFonts w:ascii="Times New Roman" w:hAnsi="Times New Roman" w:cs="Times New Roman"/>
          <w:sz w:val="26"/>
          <w:szCs w:val="26"/>
          <w:lang w:val="vi-VN"/>
        </w:rPr>
        <w:t xml:space="preserve"> Công ty cổ phần có thể huy động vốn từ nhiều nguồn khác nhau, chủ yếu là từ việc phát hành cổ phần. </w:t>
      </w:r>
    </w:p>
    <w:p w14:paraId="626C06F6"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b/>
          <w:bCs/>
          <w:sz w:val="26"/>
          <w:szCs w:val="26"/>
          <w:lang w:val="vi-VN"/>
        </w:rPr>
        <w:t xml:space="preserve">      </w:t>
      </w:r>
      <w:r w:rsidRPr="00E67018">
        <w:rPr>
          <w:rFonts w:ascii="Times New Roman" w:hAnsi="Times New Roman" w:cs="Times New Roman"/>
          <w:sz w:val="26"/>
          <w:szCs w:val="26"/>
          <w:lang w:val="vi-VN"/>
        </w:rPr>
        <w:t>Ảnh hưởng đến tài chính:</w:t>
      </w:r>
      <w:r w:rsidRPr="004B6704">
        <w:rPr>
          <w:rFonts w:ascii="Times New Roman" w:hAnsi="Times New Roman" w:cs="Times New Roman"/>
          <w:sz w:val="26"/>
          <w:szCs w:val="26"/>
          <w:lang w:val="vi-VN"/>
        </w:rPr>
        <w:t xml:space="preserve"> Việc phát hành cổ phần giúp công ty dễ dàng huy động vốn mà không phải trả lãi như khi vay nợ. Điều này tạo ra một dòng tiền dài hạn ổn định và giảm gánh nặng nợ phải trả, giúp công ty duy trì hoạt động bền </w:t>
      </w:r>
      <w:r w:rsidRPr="004B6704">
        <w:rPr>
          <w:rFonts w:ascii="Times New Roman" w:hAnsi="Times New Roman" w:cs="Times New Roman"/>
          <w:sz w:val="26"/>
          <w:szCs w:val="26"/>
          <w:lang w:val="vi-VN"/>
        </w:rPr>
        <w:lastRenderedPageBreak/>
        <w:t>vững. Tuy nhiên, việc phát hành cổ phần cũng làm pha loãng quyền sở hữu của các cổ đông hiện tại.</w:t>
      </w:r>
    </w:p>
    <w:p w14:paraId="6553EC06"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lang w:val="vi-VN"/>
        </w:rPr>
      </w:pPr>
      <w:r w:rsidRPr="00E67018">
        <w:rPr>
          <w:rFonts w:ascii="Times New Roman" w:hAnsi="Times New Roman" w:cs="Times New Roman"/>
          <w:i/>
          <w:iCs/>
          <w:sz w:val="26"/>
          <w:szCs w:val="26"/>
          <w:lang w:val="vi-VN"/>
        </w:rPr>
        <w:t>Phải tuân thủ quy định pháp lý, chịu sự giám sát và kiểm tra:</w:t>
      </w:r>
    </w:p>
    <w:p w14:paraId="5F928828" w14:textId="77777777" w:rsidR="004B6704" w:rsidRPr="004B6704" w:rsidRDefault="004B6704" w:rsidP="004B6704">
      <w:pPr>
        <w:pStyle w:val="ListParagraph"/>
        <w:spacing w:line="312" w:lineRule="auto"/>
        <w:ind w:left="0"/>
        <w:jc w:val="both"/>
        <w:rPr>
          <w:rFonts w:ascii="Times New Roman" w:hAnsi="Times New Roman" w:cs="Times New Roman"/>
          <w:sz w:val="26"/>
          <w:szCs w:val="26"/>
          <w:lang w:val="vi-VN"/>
        </w:rPr>
      </w:pPr>
      <w:r w:rsidRPr="004B6704">
        <w:rPr>
          <w:rFonts w:ascii="Times New Roman" w:hAnsi="Times New Roman" w:cs="Times New Roman"/>
          <w:b/>
          <w:bCs/>
          <w:sz w:val="26"/>
          <w:szCs w:val="26"/>
          <w:lang w:val="vi-VN"/>
        </w:rPr>
        <w:t xml:space="preserve">      </w:t>
      </w:r>
      <w:r w:rsidRPr="00E67018">
        <w:rPr>
          <w:rFonts w:ascii="Times New Roman" w:hAnsi="Times New Roman" w:cs="Times New Roman"/>
          <w:sz w:val="26"/>
          <w:szCs w:val="26"/>
          <w:lang w:val="vi-VN"/>
        </w:rPr>
        <w:t>Đặc điểm:</w:t>
      </w:r>
      <w:r w:rsidRPr="004B6704">
        <w:rPr>
          <w:rFonts w:ascii="Times New Roman" w:hAnsi="Times New Roman" w:cs="Times New Roman"/>
          <w:sz w:val="26"/>
          <w:szCs w:val="26"/>
          <w:lang w:val="vi-VN"/>
        </w:rPr>
        <w:t xml:space="preserve"> Công ty cổ phần phải chịu sự giám sát của các cơ quan quản lý nhà nước, như cơ quan thuế, cơ quan chứng khoán (nếu là công ty đại chúng), và các cơ quan kiểm toán. Công ty cổ phần phải công khai báo cáo tài chính và tuân thủ các quy định pháp lý liên quan đến tài chính, bao gồm việc kiểm toán độc lập và công khai báo cáo tài chính hàng năm.</w:t>
      </w:r>
    </w:p>
    <w:p w14:paraId="137E488A" w14:textId="77777777" w:rsidR="004B6704" w:rsidRPr="004B6704" w:rsidRDefault="004B6704"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      Ảnh hưởng đến tài chính:</w:t>
      </w:r>
      <w:r w:rsidRPr="004B6704">
        <w:rPr>
          <w:rFonts w:ascii="Times New Roman" w:hAnsi="Times New Roman" w:cs="Times New Roman"/>
          <w:sz w:val="26"/>
          <w:szCs w:val="26"/>
          <w:lang w:val="vi-VN"/>
        </w:rPr>
        <w:t xml:space="preserve"> Điều này đảm bảo tính minh bạch, an toàn tài chính của công ty và tăng độ tin cậy của các nhà đầu tư. Việc tuân thủ các quy định pháp lý giúp công ty tránh được các rủi ro pháp lý và tài chính, đồng thời tạo dựng niềm tin trong cộng đồng các nhà đầu tư và cổ đông.</w:t>
      </w:r>
    </w:p>
    <w:p w14:paraId="6EB1A016"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lang w:val="vi-VN"/>
        </w:rPr>
      </w:pPr>
      <w:r w:rsidRPr="00E67018">
        <w:rPr>
          <w:rFonts w:ascii="Times New Roman" w:hAnsi="Times New Roman" w:cs="Times New Roman"/>
          <w:i/>
          <w:iCs/>
          <w:sz w:val="26"/>
          <w:szCs w:val="26"/>
          <w:lang w:val="vi-VN"/>
        </w:rPr>
        <w:t>CTCP có thể niêm yết trên thị trường chứng khoán:</w:t>
      </w:r>
    </w:p>
    <w:p w14:paraId="2F57508C" w14:textId="77777777" w:rsidR="004B6704" w:rsidRPr="004B6704" w:rsidRDefault="004B6704" w:rsidP="004B6704">
      <w:pPr>
        <w:spacing w:line="312" w:lineRule="auto"/>
        <w:jc w:val="both"/>
        <w:rPr>
          <w:rFonts w:ascii="Times New Roman" w:hAnsi="Times New Roman" w:cs="Times New Roman"/>
          <w:sz w:val="26"/>
          <w:szCs w:val="26"/>
          <w:lang w:val="vi-VN"/>
        </w:rPr>
      </w:pPr>
      <w:r w:rsidRPr="00E67018">
        <w:rPr>
          <w:rFonts w:ascii="Times New Roman" w:hAnsi="Times New Roman" w:cs="Times New Roman"/>
          <w:sz w:val="26"/>
          <w:szCs w:val="26"/>
          <w:lang w:val="vi-VN"/>
        </w:rPr>
        <w:t xml:space="preserve">      Đặc điểm:</w:t>
      </w:r>
      <w:r w:rsidRPr="004B6704">
        <w:rPr>
          <w:rFonts w:ascii="Times New Roman" w:hAnsi="Times New Roman" w:cs="Times New Roman"/>
          <w:b/>
          <w:bCs/>
          <w:sz w:val="26"/>
          <w:szCs w:val="26"/>
          <w:lang w:val="vi-VN"/>
        </w:rPr>
        <w:t xml:space="preserve"> </w:t>
      </w:r>
      <w:r w:rsidRPr="004B6704">
        <w:rPr>
          <w:rFonts w:ascii="Times New Roman" w:hAnsi="Times New Roman" w:cs="Times New Roman"/>
          <w:sz w:val="26"/>
          <w:szCs w:val="26"/>
          <w:lang w:val="vi-VN"/>
        </w:rPr>
        <w:t>Một trong những đặc điểm nổi bật của công ty cổ phần là khả năng phát hành cổ phiếu ra công chúng (trong trường hợp công ty cổ phần đại chúng) để huy động vốn từ thị trường chứng khoán. Công ty cổ phần có thể niêm yết cổ phiếu trên sàn giao dịch chứng khoán, qua đó thu hút các nhà đầu tư cá nhân và tổ chức.</w:t>
      </w:r>
    </w:p>
    <w:p w14:paraId="43B9DBB5"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b/>
          <w:bCs/>
          <w:sz w:val="26"/>
          <w:szCs w:val="26"/>
          <w:lang w:val="vi-VN"/>
        </w:rPr>
        <w:t xml:space="preserve">     </w:t>
      </w:r>
      <w:r w:rsidRPr="00E67018">
        <w:rPr>
          <w:rFonts w:ascii="Times New Roman" w:hAnsi="Times New Roman" w:cs="Times New Roman"/>
          <w:sz w:val="26"/>
          <w:szCs w:val="26"/>
          <w:lang w:val="vi-VN"/>
        </w:rPr>
        <w:t>Ảnh hưởng đến tài chính:</w:t>
      </w:r>
      <w:r w:rsidRPr="004B6704">
        <w:rPr>
          <w:rFonts w:ascii="Times New Roman" w:hAnsi="Times New Roman" w:cs="Times New Roman"/>
          <w:sz w:val="26"/>
          <w:szCs w:val="26"/>
          <w:lang w:val="vi-VN"/>
        </w:rPr>
        <w:t xml:space="preserve"> Việc niêm yết trên sàn chứng khoán giúp công ty tiếp cận nguồn vốn từ nhiều nhà đầu tư và tạo ra cơ hội để công ty mở rộng quy mô nhanh chóng. Tuy nhiên, điều này cũng đòi hỏi công ty phải đáp ứng các yêu cầu công khai thông tin và chịu sự giám sát của cơ quan chức năng, ảnh hưởng đến tính minh bạch tài chính của công ty.</w:t>
      </w:r>
    </w:p>
    <w:p w14:paraId="4C2E8838" w14:textId="77777777" w:rsidR="004B6704" w:rsidRPr="00E67018" w:rsidRDefault="004B6704" w:rsidP="004B6704">
      <w:pPr>
        <w:pStyle w:val="ListParagraph"/>
        <w:numPr>
          <w:ilvl w:val="0"/>
          <w:numId w:val="3"/>
        </w:numPr>
        <w:spacing w:line="312" w:lineRule="auto"/>
        <w:jc w:val="both"/>
        <w:rPr>
          <w:rFonts w:ascii="Times New Roman" w:hAnsi="Times New Roman" w:cs="Times New Roman"/>
          <w:i/>
          <w:iCs/>
          <w:sz w:val="26"/>
          <w:szCs w:val="26"/>
        </w:rPr>
      </w:pPr>
      <w:r w:rsidRPr="00E67018">
        <w:rPr>
          <w:rFonts w:ascii="Times New Roman" w:hAnsi="Times New Roman" w:cs="Times New Roman"/>
          <w:i/>
          <w:iCs/>
          <w:sz w:val="26"/>
          <w:szCs w:val="26"/>
        </w:rPr>
        <w:t>Sự phân chia lợi nhuận:</w:t>
      </w:r>
    </w:p>
    <w:p w14:paraId="302CA18A" w14:textId="77777777" w:rsidR="004B6704" w:rsidRPr="00C076C0" w:rsidRDefault="004B6704" w:rsidP="004B6704">
      <w:pPr>
        <w:spacing w:line="312" w:lineRule="auto"/>
        <w:jc w:val="both"/>
        <w:rPr>
          <w:rFonts w:ascii="Times New Roman" w:hAnsi="Times New Roman" w:cs="Times New Roman"/>
          <w:sz w:val="26"/>
          <w:szCs w:val="26"/>
        </w:rPr>
      </w:pPr>
      <w:r w:rsidRPr="00E67018">
        <w:rPr>
          <w:rFonts w:ascii="Times New Roman" w:hAnsi="Times New Roman" w:cs="Times New Roman"/>
          <w:sz w:val="26"/>
          <w:szCs w:val="26"/>
        </w:rPr>
        <w:t xml:space="preserve">    </w:t>
      </w:r>
      <w:r w:rsidRPr="00E67018">
        <w:rPr>
          <w:rFonts w:ascii="Times New Roman" w:hAnsi="Times New Roman" w:cs="Times New Roman"/>
          <w:sz w:val="26"/>
          <w:szCs w:val="26"/>
          <w:lang w:val="vi-VN"/>
        </w:rPr>
        <w:t xml:space="preserve"> </w:t>
      </w:r>
      <w:r w:rsidRPr="00E67018">
        <w:rPr>
          <w:rFonts w:ascii="Times New Roman" w:hAnsi="Times New Roman" w:cs="Times New Roman"/>
          <w:sz w:val="26"/>
          <w:szCs w:val="26"/>
        </w:rPr>
        <w:t xml:space="preserve"> Đặc điểm:</w:t>
      </w:r>
      <w:r w:rsidRPr="00C076C0">
        <w:rPr>
          <w:rFonts w:ascii="Times New Roman" w:hAnsi="Times New Roman" w:cs="Times New Roman"/>
          <w:sz w:val="26"/>
          <w:szCs w:val="26"/>
        </w:rPr>
        <w:t xml:space="preserve"> Lợi nhuận của công ty sau khi trừ các chi phí sẽ được chia cho cổ đông dưới hình thức cổ tức. Cổ tức có thể được trả bằng tiền mặt hoặc bằng cổ phiếu. Tỷ lệ cổ tức mà mỗi cổ đông nhận được tương ứng với tỷ lệ cổ phần mà họ sở hữu trong công ty.</w:t>
      </w:r>
    </w:p>
    <w:p w14:paraId="3B3DF2C4"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b/>
          <w:bCs/>
          <w:sz w:val="26"/>
          <w:szCs w:val="26"/>
        </w:rPr>
        <w:t xml:space="preserve">     </w:t>
      </w:r>
      <w:r w:rsidRPr="00E67018">
        <w:rPr>
          <w:rFonts w:ascii="Times New Roman" w:hAnsi="Times New Roman" w:cs="Times New Roman"/>
          <w:sz w:val="26"/>
          <w:szCs w:val="26"/>
        </w:rPr>
        <w:t>Ảnh hưởng đến tài chính:</w:t>
      </w:r>
      <w:r w:rsidRPr="00C076C0">
        <w:rPr>
          <w:rFonts w:ascii="Times New Roman" w:hAnsi="Times New Roman" w:cs="Times New Roman"/>
          <w:sz w:val="26"/>
          <w:szCs w:val="26"/>
        </w:rPr>
        <w:t xml:space="preserve"> Chính sách cổ tức ảnh hưởng trực tiếp đến dòng tiền của công ty. Nếu công ty chia cổ tức cao, sẽ giảm bớt phần lợi nhuận tái đầu tư vào công ty. Ngược lại, việc không chia cổ tức hoặc chia thấp có thể giúp công ty duy trì vốn tái đầu tư để phát triển dài hạn và đảm bảo tài chính ổn định.</w:t>
      </w:r>
    </w:p>
    <w:p w14:paraId="5297158E" w14:textId="77777777" w:rsidR="004B6704" w:rsidRPr="00E67018" w:rsidRDefault="004B6704" w:rsidP="004B6704">
      <w:pPr>
        <w:pStyle w:val="ListParagraph"/>
        <w:numPr>
          <w:ilvl w:val="0"/>
          <w:numId w:val="3"/>
        </w:numPr>
        <w:spacing w:line="312" w:lineRule="auto"/>
        <w:ind w:left="0" w:firstLine="357"/>
        <w:jc w:val="both"/>
        <w:rPr>
          <w:rFonts w:ascii="Times New Roman" w:hAnsi="Times New Roman" w:cs="Times New Roman"/>
          <w:i/>
          <w:iCs/>
          <w:sz w:val="26"/>
          <w:szCs w:val="26"/>
        </w:rPr>
      </w:pPr>
      <w:r w:rsidRPr="00E67018">
        <w:rPr>
          <w:rFonts w:ascii="Times New Roman" w:hAnsi="Times New Roman" w:cs="Times New Roman"/>
          <w:i/>
          <w:iCs/>
          <w:sz w:val="26"/>
          <w:szCs w:val="26"/>
        </w:rPr>
        <w:t>Đảm bảo tính ổn định và lâu dài:</w:t>
      </w:r>
    </w:p>
    <w:p w14:paraId="0922C5F3" w14:textId="77777777" w:rsidR="004B6704" w:rsidRPr="004B6704" w:rsidRDefault="004B6704" w:rsidP="004B6704">
      <w:pPr>
        <w:pStyle w:val="ListParagraph"/>
        <w:spacing w:line="312" w:lineRule="auto"/>
        <w:ind w:left="0"/>
        <w:jc w:val="both"/>
        <w:rPr>
          <w:rFonts w:ascii="Times New Roman" w:hAnsi="Times New Roman" w:cs="Times New Roman"/>
          <w:sz w:val="26"/>
          <w:szCs w:val="26"/>
          <w:lang w:val="vi-VN"/>
        </w:rPr>
      </w:pPr>
      <w:r w:rsidRPr="00C076C0">
        <w:rPr>
          <w:rFonts w:ascii="Times New Roman" w:hAnsi="Times New Roman" w:cs="Times New Roman"/>
          <w:sz w:val="26"/>
          <w:szCs w:val="26"/>
          <w:lang w:val="vi-VN"/>
        </w:rPr>
        <w:t xml:space="preserve">     </w:t>
      </w:r>
      <w:r w:rsidRPr="004B6704">
        <w:rPr>
          <w:rFonts w:ascii="Times New Roman" w:hAnsi="Times New Roman" w:cs="Times New Roman"/>
          <w:sz w:val="26"/>
          <w:szCs w:val="26"/>
          <w:lang w:val="vi-VN"/>
        </w:rPr>
        <w:t>Công ty cổ phần có thể tồn tại lâu dài dù có sự thay đổi cổ đông vì quyền sở hữu không phụ thuộc vào cá nhân cổ đông mà phụ thuộc vào số lượng cổ phần của họ. Nếu một cổ đông rút vốn, cổ phần của họ có thể được chuyển nhượng cho người khác mà không ảnh hưởng đến hoạt động của công ty.</w:t>
      </w:r>
    </w:p>
    <w:p w14:paraId="1610BB32" w14:textId="77777777" w:rsidR="004B6704" w:rsidRPr="004B6704" w:rsidRDefault="004B6704" w:rsidP="004B6704">
      <w:pPr>
        <w:spacing w:line="312" w:lineRule="auto"/>
        <w:jc w:val="both"/>
        <w:rPr>
          <w:rFonts w:ascii="Times New Roman" w:hAnsi="Times New Roman" w:cs="Times New Roman"/>
          <w:b/>
          <w:bCs/>
          <w:sz w:val="26"/>
          <w:szCs w:val="26"/>
          <w:lang w:val="vi-VN"/>
        </w:rPr>
      </w:pPr>
      <w:r w:rsidRPr="00C076C0">
        <w:rPr>
          <w:rFonts w:ascii="Times New Roman" w:hAnsi="Times New Roman" w:cs="Times New Roman"/>
          <w:b/>
          <w:bCs/>
          <w:sz w:val="26"/>
          <w:szCs w:val="26"/>
          <w:lang w:val="vi-VN"/>
        </w:rPr>
        <w:lastRenderedPageBreak/>
        <w:t xml:space="preserve">     </w:t>
      </w:r>
      <w:r w:rsidRPr="004B6704">
        <w:rPr>
          <w:rFonts w:ascii="Times New Roman" w:hAnsi="Times New Roman" w:cs="Times New Roman"/>
          <w:b/>
          <w:bCs/>
          <w:sz w:val="26"/>
          <w:szCs w:val="26"/>
          <w:lang w:val="vi-VN"/>
        </w:rPr>
        <w:t xml:space="preserve">Kết luận: </w:t>
      </w:r>
      <w:r w:rsidRPr="003A3D75">
        <w:rPr>
          <w:rFonts w:ascii="Times New Roman" w:hAnsi="Times New Roman" w:cs="Times New Roman"/>
          <w:iCs/>
          <w:sz w:val="26"/>
          <w:szCs w:val="26"/>
          <w:lang w:val="vi-VN"/>
        </w:rPr>
        <w:t>Các đặc điểm hoạt động của công ty cổ phần như huy động vốn qua cổ phần, cơ cấu tổ chức rõ ràng, khả năng niêm yết trên thị trường chứng khoán, và trách nhiệm hữu hạn của cổ đông giúp công ty duy trì tài chính ổn định, linh hoạt huy động vốn và giảm thiểu rủi ro tài chính. Tuy nhiên, việc phát hành cổ phần có thể làm pha loãng quyền sở hữu, và các quyết định tài chính cần phải được quản lý chặt chẽ để đảm bảo phát triển bền vững.</w:t>
      </w:r>
    </w:p>
    <w:p w14:paraId="1AEA1E52" w14:textId="77777777" w:rsidR="004B6704" w:rsidRPr="00B564BE" w:rsidRDefault="004B6704" w:rsidP="005B0517">
      <w:pPr>
        <w:pStyle w:val="Heading3"/>
        <w:rPr>
          <w:lang w:val="vi-VN"/>
        </w:rPr>
      </w:pPr>
      <w:bookmarkStart w:id="50" w:name="_Toc198281648"/>
      <w:bookmarkStart w:id="51" w:name="_Toc198284433"/>
      <w:bookmarkStart w:id="52" w:name="_Toc198709956"/>
      <w:r w:rsidRPr="00B564BE">
        <w:rPr>
          <w:lang w:val="vi-VN"/>
        </w:rPr>
        <w:t>1.1.2. An toàn tài chính của công ty cổ phần</w:t>
      </w:r>
      <w:bookmarkEnd w:id="50"/>
      <w:bookmarkEnd w:id="51"/>
      <w:bookmarkEnd w:id="52"/>
    </w:p>
    <w:p w14:paraId="2299E943" w14:textId="77777777" w:rsidR="004B6704" w:rsidRPr="00F22BA5" w:rsidRDefault="004B6704" w:rsidP="00ED419E">
      <w:pPr>
        <w:pStyle w:val="p2"/>
      </w:pPr>
      <w:bookmarkStart w:id="53" w:name="_Toc197781142"/>
      <w:bookmarkStart w:id="54" w:name="_Toc197781424"/>
      <w:r w:rsidRPr="00F22BA5">
        <w:t>1.1.2.1. Khái niệm</w:t>
      </w:r>
      <w:bookmarkEnd w:id="53"/>
      <w:bookmarkEnd w:id="54"/>
    </w:p>
    <w:p w14:paraId="05966F08" w14:textId="77777777" w:rsidR="004B6704" w:rsidRPr="004B6704" w:rsidRDefault="004B6704" w:rsidP="004B6704">
      <w:pPr>
        <w:spacing w:line="312" w:lineRule="auto"/>
        <w:ind w:firstLine="720"/>
        <w:jc w:val="both"/>
        <w:rPr>
          <w:rFonts w:ascii="Times New Roman" w:hAnsi="Times New Roman" w:cs="Times New Roman"/>
          <w:i/>
          <w:sz w:val="26"/>
          <w:szCs w:val="26"/>
          <w:lang w:val="vi-VN"/>
        </w:rPr>
      </w:pPr>
      <w:r w:rsidRPr="004B6704">
        <w:rPr>
          <w:rFonts w:ascii="Times New Roman" w:hAnsi="Times New Roman" w:cs="Times New Roman"/>
          <w:i/>
          <w:sz w:val="26"/>
          <w:szCs w:val="26"/>
          <w:lang w:val="vi-VN"/>
        </w:rPr>
        <w:t xml:space="preserve">* Quan niệm về an toàn </w:t>
      </w:r>
    </w:p>
    <w:p w14:paraId="772E4884"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Theo từ điển pháp luật, an toàn được hiểu là “trạng thái mà con người, thiết bị, môi trường được bảo vệ, phòng chống lại những tác nhân nguy hại có thể phát sinh (hoặc tiềm ẩn) do các nguyên nhân chủ quan, khách quan trong cuộc sống.”</w:t>
      </w:r>
    </w:p>
    <w:p w14:paraId="45A0DC26" w14:textId="3211AE02"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Theo từ điển </w:t>
      </w:r>
      <w:r w:rsidRPr="00810A24">
        <w:rPr>
          <w:rFonts w:ascii="Times New Roman" w:hAnsi="Times New Roman" w:cs="Times New Roman"/>
          <w:sz w:val="26"/>
          <w:szCs w:val="26"/>
          <w:lang w:val="vi-VN"/>
        </w:rPr>
        <w:t xml:space="preserve">tiếng </w:t>
      </w:r>
      <w:r w:rsidR="009D3D34" w:rsidRPr="00810A24">
        <w:rPr>
          <w:rFonts w:ascii="Times New Roman" w:hAnsi="Times New Roman" w:cs="Times New Roman"/>
          <w:sz w:val="26"/>
          <w:szCs w:val="26"/>
          <w:lang w:val="vi-VN"/>
        </w:rPr>
        <w:t>V</w:t>
      </w:r>
      <w:r w:rsidRPr="00810A24">
        <w:rPr>
          <w:rFonts w:ascii="Times New Roman" w:hAnsi="Times New Roman" w:cs="Times New Roman"/>
          <w:sz w:val="26"/>
          <w:szCs w:val="26"/>
          <w:lang w:val="vi-VN"/>
        </w:rPr>
        <w:t xml:space="preserve">iệt, “an </w:t>
      </w:r>
      <w:r w:rsidRPr="004B6704">
        <w:rPr>
          <w:rFonts w:ascii="Times New Roman" w:hAnsi="Times New Roman" w:cs="Times New Roman"/>
          <w:sz w:val="26"/>
          <w:szCs w:val="26"/>
          <w:lang w:val="vi-VN"/>
        </w:rPr>
        <w:t>toàn là danh từ chỉ trạng thái không có nguy cơ, không có mối đe dọa hay tổn hại đến sức khỏe, tính mạng hoặc tài sản của con người.”</w:t>
      </w:r>
    </w:p>
    <w:p w14:paraId="472A82BC" w14:textId="37D7FD50"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Theo</w:t>
      </w:r>
      <w:r w:rsidR="00810A24">
        <w:rPr>
          <w:rFonts w:ascii="Times New Roman" w:hAnsi="Times New Roman" w:cs="Times New Roman"/>
          <w:sz w:val="26"/>
          <w:szCs w:val="26"/>
          <w:lang w:val="vi-VN"/>
        </w:rPr>
        <w:t xml:space="preserve"> TCVN 6450:</w:t>
      </w:r>
      <w:r w:rsidR="00261175">
        <w:rPr>
          <w:rFonts w:ascii="Times New Roman" w:hAnsi="Times New Roman" w:cs="Times New Roman"/>
          <w:sz w:val="26"/>
          <w:szCs w:val="26"/>
          <w:lang w:val="vi-VN"/>
        </w:rPr>
        <w:t>2007</w:t>
      </w:r>
      <w:r w:rsidRPr="004B6704">
        <w:rPr>
          <w:rFonts w:ascii="Times New Roman" w:hAnsi="Times New Roman" w:cs="Times New Roman"/>
          <w:sz w:val="26"/>
          <w:szCs w:val="26"/>
          <w:lang w:val="vi-VN"/>
        </w:rPr>
        <w:t xml:space="preserve"> </w:t>
      </w:r>
      <w:r w:rsidR="00810A24">
        <w:rPr>
          <w:rFonts w:ascii="Times New Roman" w:hAnsi="Times New Roman" w:cs="Times New Roman"/>
          <w:sz w:val="26"/>
          <w:szCs w:val="26"/>
          <w:lang w:val="vi-VN"/>
        </w:rPr>
        <w:t>(</w:t>
      </w:r>
      <w:r w:rsidRPr="004B6704">
        <w:rPr>
          <w:rFonts w:ascii="Times New Roman" w:hAnsi="Times New Roman" w:cs="Times New Roman"/>
          <w:sz w:val="26"/>
          <w:szCs w:val="26"/>
          <w:lang w:val="vi-VN"/>
        </w:rPr>
        <w:t xml:space="preserve">ISO/IEC Guide </w:t>
      </w:r>
      <w:r w:rsidR="00810A24">
        <w:rPr>
          <w:rFonts w:ascii="Times New Roman" w:hAnsi="Times New Roman" w:cs="Times New Roman"/>
          <w:sz w:val="26"/>
          <w:szCs w:val="26"/>
          <w:lang w:val="vi-VN"/>
        </w:rPr>
        <w:t>2</w:t>
      </w:r>
      <w:r w:rsidRPr="004B6704">
        <w:rPr>
          <w:rFonts w:ascii="Times New Roman" w:hAnsi="Times New Roman" w:cs="Times New Roman"/>
          <w:sz w:val="26"/>
          <w:szCs w:val="26"/>
          <w:lang w:val="vi-VN"/>
        </w:rPr>
        <w:t>:</w:t>
      </w:r>
      <w:r w:rsidR="00261175">
        <w:rPr>
          <w:rFonts w:ascii="Times New Roman" w:hAnsi="Times New Roman" w:cs="Times New Roman"/>
          <w:sz w:val="26"/>
          <w:szCs w:val="26"/>
          <w:lang w:val="vi-VN"/>
        </w:rPr>
        <w:t>2004</w:t>
      </w:r>
      <w:r w:rsidR="00810A24">
        <w:rPr>
          <w:rFonts w:ascii="Times New Roman" w:hAnsi="Times New Roman" w:cs="Times New Roman"/>
          <w:sz w:val="26"/>
          <w:szCs w:val="26"/>
          <w:lang w:val="vi-VN"/>
        </w:rPr>
        <w:t>)</w:t>
      </w:r>
      <w:r w:rsidRPr="004B6704">
        <w:rPr>
          <w:rFonts w:ascii="Times New Roman" w:hAnsi="Times New Roman" w:cs="Times New Roman"/>
          <w:sz w:val="26"/>
          <w:szCs w:val="26"/>
          <w:lang w:val="vi-VN"/>
        </w:rPr>
        <w:t xml:space="preserve"> –</w:t>
      </w:r>
      <w:r w:rsidR="00261175">
        <w:rPr>
          <w:rFonts w:ascii="Times New Roman" w:hAnsi="Times New Roman" w:cs="Times New Roman"/>
          <w:sz w:val="26"/>
          <w:szCs w:val="26"/>
          <w:lang w:val="vi-VN"/>
        </w:rPr>
        <w:t xml:space="preserve"> Tiêu chuẩn hóa và các hoạt động có liên quan – thuật ngữ chung và định nghĩa,</w:t>
      </w:r>
      <w:r w:rsidRPr="004B6704">
        <w:rPr>
          <w:rFonts w:ascii="Times New Roman" w:hAnsi="Times New Roman" w:cs="Times New Roman"/>
          <w:sz w:val="26"/>
          <w:szCs w:val="26"/>
          <w:lang w:val="vi-VN"/>
        </w:rPr>
        <w:t xml:space="preserve"> </w:t>
      </w:r>
      <w:r w:rsidR="00261175">
        <w:rPr>
          <w:rFonts w:ascii="Times New Roman" w:hAnsi="Times New Roman" w:cs="Times New Roman"/>
          <w:sz w:val="26"/>
          <w:szCs w:val="26"/>
          <w:lang w:val="vi-VN"/>
        </w:rPr>
        <w:t>khái niệm về “Tính an toàn” được nêu như sau: “Sẽ k</w:t>
      </w:r>
      <w:r w:rsidR="00810A24">
        <w:rPr>
          <w:rFonts w:ascii="Times New Roman" w:hAnsi="Times New Roman" w:cs="Times New Roman"/>
          <w:sz w:val="26"/>
          <w:szCs w:val="26"/>
          <w:lang w:val="vi-VN"/>
        </w:rPr>
        <w:t>hông có những</w:t>
      </w:r>
      <w:r w:rsidRPr="004B6704">
        <w:rPr>
          <w:rFonts w:ascii="Times New Roman" w:hAnsi="Times New Roman" w:cs="Times New Roman"/>
          <w:sz w:val="26"/>
          <w:szCs w:val="26"/>
          <w:lang w:val="vi-VN"/>
        </w:rPr>
        <w:t xml:space="preserve"> rủi ro </w:t>
      </w:r>
      <w:r w:rsidR="00261175">
        <w:rPr>
          <w:rFonts w:ascii="Times New Roman" w:hAnsi="Times New Roman" w:cs="Times New Roman"/>
          <w:sz w:val="26"/>
          <w:szCs w:val="26"/>
          <w:lang w:val="vi-VN"/>
        </w:rPr>
        <w:t xml:space="preserve">gây thiệt hại </w:t>
      </w:r>
      <w:r w:rsidRPr="004B6704">
        <w:rPr>
          <w:rFonts w:ascii="Times New Roman" w:hAnsi="Times New Roman" w:cs="Times New Roman"/>
          <w:sz w:val="26"/>
          <w:szCs w:val="26"/>
          <w:lang w:val="vi-VN"/>
        </w:rPr>
        <w:t>không thể chấp nhận được".</w:t>
      </w:r>
    </w:p>
    <w:p w14:paraId="44E63379"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Từ các khái niệm trên có thể hiểu, an toàn là trạng thái ổn định, không gây ra nguy hiểm đối với sự tồn tại và phát triển của một người, một tổ chức nào đó. </w:t>
      </w:r>
    </w:p>
    <w:p w14:paraId="4E51863E" w14:textId="2296662E"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Xét trong hoạt động một doanh nghiệp nói chung, CTCP nói riêng, để tồn tại, CTCP phải thay đổi để phù hợp với những sự phát triển </w:t>
      </w:r>
      <w:r w:rsidR="009D3D34" w:rsidRPr="00F22BA5">
        <w:rPr>
          <w:rFonts w:ascii="Times New Roman" w:hAnsi="Times New Roman" w:cs="Times New Roman"/>
          <w:sz w:val="26"/>
          <w:szCs w:val="26"/>
          <w:lang w:val="vi-VN"/>
        </w:rPr>
        <w:t>nền</w:t>
      </w:r>
      <w:r w:rsidRPr="004B6704">
        <w:rPr>
          <w:rFonts w:ascii="Times New Roman" w:hAnsi="Times New Roman" w:cs="Times New Roman"/>
          <w:sz w:val="26"/>
          <w:szCs w:val="26"/>
          <w:lang w:val="vi-VN"/>
        </w:rPr>
        <w:t xml:space="preserve"> kinh tế</w:t>
      </w:r>
      <w:r w:rsidR="009D3D34" w:rsidRPr="00F22BA5">
        <w:rPr>
          <w:rFonts w:ascii="Times New Roman" w:hAnsi="Times New Roman" w:cs="Times New Roman"/>
          <w:sz w:val="26"/>
          <w:szCs w:val="26"/>
          <w:lang w:val="vi-VN"/>
        </w:rPr>
        <w:t>,</w:t>
      </w:r>
      <w:r w:rsidRPr="004B6704">
        <w:rPr>
          <w:rFonts w:ascii="Times New Roman" w:hAnsi="Times New Roman" w:cs="Times New Roman"/>
          <w:sz w:val="26"/>
          <w:szCs w:val="26"/>
          <w:lang w:val="vi-VN"/>
        </w:rPr>
        <w:t xml:space="preserve"> xã hội cũng như thị trường tài chính. Do vậy, an toàn là việc tránh được những thiệt hại ngoài khả năng kiểm soát của chủ thể.</w:t>
      </w:r>
    </w:p>
    <w:p w14:paraId="2897D7D5" w14:textId="77777777" w:rsidR="004B6704" w:rsidRPr="004B6704" w:rsidRDefault="004B6704" w:rsidP="004B6704">
      <w:pPr>
        <w:spacing w:line="312" w:lineRule="auto"/>
        <w:ind w:firstLine="720"/>
        <w:jc w:val="both"/>
        <w:rPr>
          <w:rFonts w:ascii="Times New Roman" w:hAnsi="Times New Roman" w:cs="Times New Roman"/>
          <w:i/>
          <w:sz w:val="26"/>
          <w:szCs w:val="26"/>
          <w:lang w:val="vi-VN"/>
        </w:rPr>
      </w:pPr>
      <w:r w:rsidRPr="004B6704">
        <w:rPr>
          <w:rFonts w:ascii="Times New Roman" w:hAnsi="Times New Roman" w:cs="Times New Roman"/>
          <w:i/>
          <w:sz w:val="26"/>
          <w:szCs w:val="26"/>
          <w:lang w:val="vi-VN"/>
        </w:rPr>
        <w:t>* Quan niệm về an toàn tài chính</w:t>
      </w:r>
    </w:p>
    <w:p w14:paraId="643FE204" w14:textId="5DFF1CB8"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Trong bối cảnh nền kinh tế toàn cầu ngày càng phức tạp và biến động, việc duy trì một hệ thống tài chính ổn định là yếu tố sống còn đối với các</w:t>
      </w:r>
      <w:r w:rsidR="009D3D34" w:rsidRPr="00F22BA5">
        <w:rPr>
          <w:rFonts w:ascii="Times New Roman" w:hAnsi="Times New Roman" w:cs="Times New Roman"/>
          <w:color w:val="FF0000"/>
          <w:sz w:val="26"/>
          <w:szCs w:val="26"/>
          <w:lang w:val="vi-VN"/>
        </w:rPr>
        <w:t xml:space="preserve"> </w:t>
      </w:r>
      <w:r w:rsidR="009D3D34" w:rsidRPr="00F22BA5">
        <w:rPr>
          <w:rFonts w:ascii="Times New Roman" w:hAnsi="Times New Roman" w:cs="Times New Roman"/>
          <w:sz w:val="26"/>
          <w:szCs w:val="26"/>
          <w:lang w:val="vi-VN"/>
        </w:rPr>
        <w:t>doanh nghiệp</w:t>
      </w:r>
      <w:r w:rsidRPr="00F22BA5">
        <w:rPr>
          <w:rFonts w:ascii="Times New Roman" w:hAnsi="Times New Roman" w:cs="Times New Roman"/>
          <w:sz w:val="26"/>
          <w:szCs w:val="26"/>
          <w:lang w:val="vi-VN"/>
        </w:rPr>
        <w:t xml:space="preserve">, đặc </w:t>
      </w:r>
      <w:r w:rsidRPr="004B6704">
        <w:rPr>
          <w:rFonts w:ascii="Times New Roman" w:hAnsi="Times New Roman" w:cs="Times New Roman"/>
          <w:sz w:val="26"/>
          <w:szCs w:val="26"/>
          <w:lang w:val="vi-VN"/>
        </w:rPr>
        <w:t>biệt là các công ty cổ phần. Các công ty cổ phần, với đặc trưng là huy động vốn thông qua việc phát hành cổ phiếu, phải đối mặt với rất nhiều rủi ro từ các yếu tố bên ngoài (như biến động kinh tế, lãi suất, tỷ giá hối đoái) và các yếu tố nội bộ (như cấu trúc vốn, quản lý tài chính).</w:t>
      </w:r>
    </w:p>
    <w:p w14:paraId="01CE92EA"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Do đó, quan niệm an toàn tài chính trở thành một chủ đề quan trọng cần được các nhà quản lý và cổ đông đặc biệt quan tâm.</w:t>
      </w:r>
    </w:p>
    <w:p w14:paraId="6CE6DE37"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lastRenderedPageBreak/>
        <w:t>An toàn tài chính của một công ty cổ phần có thể hiểu là khả năng duy trì và kiểm soát các yếu tố tài chính cơ bản như vốn, nợ, dòng tiền và chi phí trong suốt quá trình hoạt động, từ đó tránh được các khủng hoảng tài chính nghiêm trọng, đảm bảo sự ổn định và khả năng sinh lời lâu dài.</w:t>
      </w:r>
    </w:p>
    <w:p w14:paraId="6FE7E18F"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An toàn tài chính của một công ty cổ phần không chỉ liên quan đến việc duy trì vốn chủ sở hữu hoặc dòng tiền ổn định, mà còn bao gồm khả năng ứng phó với các rủi ro tài chính, bảo vệ công ty khỏi các cú sốc tài chính trong môi trường biến động. Nói cách khác, an toàn tài chính là trạng thái mà trong đó công ty có đủ khả năng chi trả các khoản nợ, duy trì hoạt động sản xuất kinh doanh mà không gặp phải tình trạng khủng hoảng tài chính.</w:t>
      </w:r>
    </w:p>
    <w:p w14:paraId="2DC52C5A"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An toàn tài chính có thể được đo lường qua nhiều chỉ số tài chính khác nhau, như tỷ lệ nợ/vốn chủ sở hữu, tỷ lệ thanh toán, tỷ lệ lợi nhuận, hay tỷ lệ dự trữ tài chính. Tuy nhiên, quan niệm an toàn tài chính không chỉ là một khái niệm tài chính đơn thuần mà còn gắn liền với các yếu tố chiến lược dài hạn của công ty, bao gồm khả năng đầu tư, khả năng mở rộng quy mô và khả năng duy trì lợi thế cạnh tranh trong bối cảnh nền kinh tế luôn thay đổi.</w:t>
      </w:r>
    </w:p>
    <w:p w14:paraId="004346DA" w14:textId="5E669DBB"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Như vậy, an toàn tài chính của CTCP là việc tạo lập, phân </w:t>
      </w:r>
      <w:r w:rsidRPr="00F22BA5">
        <w:rPr>
          <w:rFonts w:ascii="Times New Roman" w:hAnsi="Times New Roman" w:cs="Times New Roman"/>
          <w:sz w:val="26"/>
          <w:szCs w:val="26"/>
          <w:lang w:val="vi-VN"/>
        </w:rPr>
        <w:t>phối</w:t>
      </w:r>
      <w:r w:rsidR="009D3D34" w:rsidRPr="00F22BA5">
        <w:rPr>
          <w:rFonts w:ascii="Times New Roman" w:hAnsi="Times New Roman" w:cs="Times New Roman"/>
          <w:sz w:val="26"/>
          <w:szCs w:val="26"/>
          <w:lang w:val="vi-VN"/>
        </w:rPr>
        <w:t xml:space="preserve"> và sử dụng</w:t>
      </w:r>
      <w:r w:rsidRPr="00F22BA5">
        <w:rPr>
          <w:rFonts w:ascii="Times New Roman" w:hAnsi="Times New Roman" w:cs="Times New Roman"/>
          <w:sz w:val="26"/>
          <w:szCs w:val="26"/>
          <w:lang w:val="vi-VN"/>
        </w:rPr>
        <w:t xml:space="preserve"> </w:t>
      </w:r>
      <w:r w:rsidRPr="004B6704">
        <w:rPr>
          <w:rFonts w:ascii="Times New Roman" w:hAnsi="Times New Roman" w:cs="Times New Roman"/>
          <w:sz w:val="26"/>
          <w:szCs w:val="26"/>
          <w:lang w:val="vi-VN"/>
        </w:rPr>
        <w:t>nguồn vốn với mục tiêu tránh được những thiệt hại ngoài khả năng kiểm soát do rủi ro gây ra, đồng thời vẫn đảm bảo khả năng sinh lời cho công ty.</w:t>
      </w:r>
    </w:p>
    <w:p w14:paraId="3001B79E" w14:textId="77777777" w:rsidR="004B6704" w:rsidRPr="00F22BA5" w:rsidRDefault="004B6704" w:rsidP="00ED419E">
      <w:pPr>
        <w:pStyle w:val="p2"/>
      </w:pPr>
      <w:bookmarkStart w:id="55" w:name="_Toc197781143"/>
      <w:bookmarkStart w:id="56" w:name="_Toc197781425"/>
      <w:r w:rsidRPr="00F22BA5">
        <w:t>1.1.2.2. Ý nghĩa của an toàn tài chính đối với công ty cổ phần</w:t>
      </w:r>
      <w:bookmarkEnd w:id="55"/>
      <w:bookmarkEnd w:id="56"/>
    </w:p>
    <w:p w14:paraId="4CEDF87F" w14:textId="77777777" w:rsidR="004B6704" w:rsidRPr="004B6704" w:rsidRDefault="004B6704" w:rsidP="004B6704">
      <w:pPr>
        <w:spacing w:line="312" w:lineRule="auto"/>
        <w:ind w:firstLine="720"/>
        <w:jc w:val="both"/>
        <w:rPr>
          <w:rFonts w:ascii="Times New Roman" w:hAnsi="Times New Roman" w:cs="Times New Roman"/>
          <w:b/>
          <w:bCs/>
          <w:sz w:val="26"/>
          <w:szCs w:val="26"/>
          <w:lang w:val="vi-VN"/>
        </w:rPr>
      </w:pPr>
      <w:r w:rsidRPr="004B6704">
        <w:rPr>
          <w:rFonts w:ascii="Times New Roman" w:hAnsi="Times New Roman" w:cs="Times New Roman"/>
          <w:i/>
          <w:iCs/>
          <w:sz w:val="26"/>
          <w:szCs w:val="26"/>
          <w:lang w:val="vi-VN"/>
        </w:rPr>
        <w:t>Thứ nhất, an toàn tài chính đảm bảo khả năng thanh toán và duy trì hoạt động liên tục</w:t>
      </w:r>
    </w:p>
    <w:p w14:paraId="60630F07"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 An toàn tài chính là điều kiện tiên quyết giúp công ty duy trì khả năng thanh toán các khoản nợ, chi phí hoạt động và trả cổ tức cho cổ đông mà không gặp khó khăn. Điều này đặc biệt quan trọng vì việc mất khả năng thanh toán có thể dẫn tới khủng hoảng thanh khoản, sụt giảm tín nhiệm, thậm chí dẫn đến phá sản. Với đặc điểm là doanh nghiệp có quy mô vốn lớn và cơ cấu sở hữu phân tán, công ty cổ phần cần đảm bảo khả năng duy trì hoạt động không gián đoạn, tránh gây hoang mang cho cổ đông. Khi công ty có một hệ thống tài chính an toàn, nó có thể đối phó với những thay đổi bất ngờ trong thị trường, thay vì bị cuốn vào khủng hoảng tài chính. </w:t>
      </w:r>
    </w:p>
    <w:p w14:paraId="53447927" w14:textId="77777777" w:rsidR="004B6704" w:rsidRPr="004B6704" w:rsidRDefault="004B6704" w:rsidP="004B6704">
      <w:pPr>
        <w:spacing w:line="312" w:lineRule="auto"/>
        <w:ind w:firstLine="720"/>
        <w:jc w:val="both"/>
        <w:rPr>
          <w:rFonts w:ascii="Times New Roman" w:hAnsi="Times New Roman" w:cs="Times New Roman"/>
          <w:b/>
          <w:bCs/>
          <w:sz w:val="26"/>
          <w:szCs w:val="26"/>
          <w:lang w:val="vi-VN"/>
        </w:rPr>
      </w:pPr>
      <w:r w:rsidRPr="004B6704">
        <w:rPr>
          <w:rFonts w:ascii="Times New Roman" w:hAnsi="Times New Roman" w:cs="Times New Roman"/>
          <w:i/>
          <w:iCs/>
          <w:sz w:val="26"/>
          <w:szCs w:val="26"/>
          <w:lang w:val="vi-VN"/>
        </w:rPr>
        <w:t>Thứ hai, an toàn tài chính giảm thiểu rủi ro tài chính và đảm bảo sự ổn định trong dài hạn</w:t>
      </w:r>
    </w:p>
    <w:p w14:paraId="04E89F71"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An toàn tài chính đóng vai trò then chốt trong việc giảm thiểu rủi ro tài chính và đảm bảo sự ổn định dài hạn cho CTCP, bởi nó phản ánh khả năng doanh nghiệp kiểm soát tốt các yếu tố như tỷ lệ nợ, dòng tiền, và dự trữ tài chính. Khi công ty duy </w:t>
      </w:r>
      <w:r w:rsidRPr="004B6704">
        <w:rPr>
          <w:rFonts w:ascii="Times New Roman" w:hAnsi="Times New Roman" w:cs="Times New Roman"/>
          <w:sz w:val="26"/>
          <w:szCs w:val="26"/>
          <w:lang w:val="vi-VN"/>
        </w:rPr>
        <w:lastRenderedPageBreak/>
        <w:t>trì mức nợ hợp lý và có đủ nguồn lực thanh khoản, họ sẽ tránh được nguy cơ mất khả năng thanh toán trong bối cảnh thị trường biến động hoặc doanh thu sụt giảm. Đồng thời, một nền tảng tài chính lành mạnh giúp doanh nghiệp linh hoạt trong chiến lược kinh doanh, dễ dàng huy động vốn với chi phí thấp hơn, và tạo lòng tin với nhà đầu tư. Điều này không chỉ giúp công ty đứng vững trước rủi ro ngắn hạn, duy trì hoạt động lâu dài mà không gặp phải các cú sốc tài chính gây đổ vỡ, mà còn mở rộng cơ hội tăng trưởng bền vững trong dài hạn, từ đó xây dựng được một vị thế ổn định và cạnh tranh trên thị trường.</w:t>
      </w:r>
    </w:p>
    <w:p w14:paraId="6B397675"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i/>
          <w:iCs/>
          <w:sz w:val="26"/>
          <w:szCs w:val="26"/>
          <w:lang w:val="vi-VN"/>
        </w:rPr>
        <w:t>Thứ ba, an toàn tài chính tạo dựng lòng tin với các nhà đầu tư và cổ đông</w:t>
      </w:r>
      <w:r w:rsidRPr="004B6704">
        <w:rPr>
          <w:rFonts w:ascii="Times New Roman" w:hAnsi="Times New Roman" w:cs="Times New Roman"/>
          <w:sz w:val="26"/>
          <w:szCs w:val="26"/>
          <w:lang w:val="vi-VN"/>
        </w:rPr>
        <w:br/>
        <w:t xml:space="preserve"> An toàn tài chính không chỉ quan trọng đối với công ty mà còn đối với các cổ đông, nhà đầu tư. An toàn tài chính giúp công ty có đủ khả năng tài chính để duy trì hoạt động, vượt qua những biến động của thị trường và tiếp tục phát triển bền vững. Khi công ty duy trì một tình hình tài chính ổn định, với khả năng kiểm soát nợ nần và tối ưu hóa dòng tiền, các nhà đầu tư và cổ đông sẽ cảm thấy yên tâm hơn về sự an toàn của khoản đầu tư của họ, đồng thời kỳ vọng vào khả năng sinh lời ổn định trong tương lai. Điều này không chỉ giúp củng cố niềm tin cho cổ đông mà còn tạo điều kiện để công ty thu hút các nhà đầu tư mới, tăng thêm nguồn vốn, mở rộng quy mô và gia tăng giá trị cổ phiếu.</w:t>
      </w:r>
    </w:p>
    <w:p w14:paraId="1682607D"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i/>
          <w:iCs/>
          <w:sz w:val="26"/>
          <w:szCs w:val="26"/>
          <w:lang w:val="vi-VN"/>
        </w:rPr>
        <w:t>Thứ tư, an toàn tài chính cường khả năng cạnh tranh và phát triển bền vững</w:t>
      </w:r>
    </w:p>
    <w:p w14:paraId="22BC6A29"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An toàn tài chính đóng vai trò quan trọng trong việc nâng cao khả năng cạnh tranh và phát triển bền vững cho các CTCP. Khi công ty duy trì được sự ổn định tài chính, họ có thể đầu tư vào nghiên cứu, phát triển sản phẩm mới, tận dụng các cơ hội kinh doanh và mở rộng thị trường mà không phải lo ngại về rủi ro tài chính. Điều này giúp công ty củng cố vị thế trên thị trường và đạt được lợi thế cạnh tranh. Ngoài ra, sự an toàn tài chính cũng tạo ra niềm tin từ các nhà đầu tư, đối tác và khách hàng, từ đó góp phần vào sự phát triển bền vững của công ty trong dài hạn. Từ đó CTCP phải có kế hoạch để duy trì sự cân bằng giữa lợi nhuận ngắn hạn và việc đầu tư dài hạn để phát triển, đồng thời quản lý chặt chẽ các nguồn lực tài chính để không gặp phải khủng hoảng tài chính.</w:t>
      </w:r>
    </w:p>
    <w:p w14:paraId="31417D10"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i/>
          <w:iCs/>
          <w:sz w:val="26"/>
          <w:szCs w:val="26"/>
          <w:lang w:val="vi-VN"/>
        </w:rPr>
        <w:t>Thứ năm, an toàn tài chính tạo khả năng linh hoạt và ứng phó với các biến động thị trường</w:t>
      </w:r>
    </w:p>
    <w:p w14:paraId="3867A44E"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Khi công ty có nền tảng tài chính vững mạnh, họ có đủ nguồn lực để đối phó với những thay đổi bất ngờ như suy thoái kinh tế, thay đổi chính sách hoặc sự thay đổi trong nhu cầu của khách hàng. Điều này cho phép công ty cổ phần có thể điều chỉnh chiến lược, thay đổi kế hoạch đầu tư, hoặc mở rộng quy mô hoạt động một cách nhanh chóng mà không bị tác động nghiêm trọng đến sự ổn định tài chính. </w:t>
      </w:r>
      <w:r w:rsidRPr="004B6704">
        <w:rPr>
          <w:rFonts w:ascii="Times New Roman" w:hAnsi="Times New Roman" w:cs="Times New Roman"/>
          <w:sz w:val="26"/>
          <w:szCs w:val="26"/>
          <w:lang w:val="vi-VN"/>
        </w:rPr>
        <w:lastRenderedPageBreak/>
        <w:t>Hơn nữa, sự linh hoạt tài chính giúp công ty duy trì sự sáng tạo, đầu tư vào các cơ hội mới và giảm thiểu rủi ro khi gặp phải khủng hoảng thị trường, từ đó đảm bảo sự phát triển lâu dài và bền vững.</w:t>
      </w:r>
    </w:p>
    <w:p w14:paraId="7B1727D6" w14:textId="77777777" w:rsidR="004B6704" w:rsidRPr="004B6704" w:rsidRDefault="004B6704" w:rsidP="004B6704">
      <w:pPr>
        <w:spacing w:line="312" w:lineRule="auto"/>
        <w:ind w:firstLine="720"/>
        <w:jc w:val="both"/>
        <w:rPr>
          <w:rFonts w:ascii="Times New Roman" w:hAnsi="Times New Roman" w:cs="Times New Roman"/>
          <w:i/>
          <w:iCs/>
          <w:sz w:val="26"/>
          <w:szCs w:val="26"/>
          <w:lang w:val="vi-VN"/>
        </w:rPr>
      </w:pPr>
      <w:r w:rsidRPr="004B6704">
        <w:rPr>
          <w:rFonts w:ascii="Times New Roman" w:hAnsi="Times New Roman" w:cs="Times New Roman"/>
          <w:i/>
          <w:iCs/>
          <w:sz w:val="26"/>
          <w:szCs w:val="26"/>
          <w:lang w:val="vi-VN"/>
        </w:rPr>
        <w:t>Thứ sáu, an toàn tài chính giúp tối ưu hóa lợi nhuận và giảm chi phí vốn</w:t>
      </w:r>
    </w:p>
    <w:p w14:paraId="42604556"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Khi công ty duy trì được nền tảng tài chính vững mạnh, họ có thể tiếp cận các nguồn vốn với lãi suất thấp hơn và điều kiện thuận lợi hơn. Các nhà đầu tư và tổ chức tài chính thường đánh giá cao các công ty có tình hình tài chính ổn định, do đó, công ty có thể huy động vốn dễ dàng hơn và với chi phí thấp hơn. Điều này giúp giảm chi phí vốn, từ đó tăng khả năng sinh lời từ các khoản đầu tư. Đồng thời, khi công ty có khả năng tự tài trợ vốn mà không cần vay mượn quá nhiều, họ cũng giảm thiểu được rủi ro tài chính và chi phí lãi vay, tối ưu hóa lợi nhuận. Tóm lại, sự an toàn tài chính tạo điều kiện để công ty triển khai các chiến lược hiệu quả, giảm bớt chi phí và nâng cao lợi nhuận.</w:t>
      </w:r>
    </w:p>
    <w:p w14:paraId="0250D32E"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i/>
          <w:iCs/>
          <w:sz w:val="26"/>
          <w:szCs w:val="26"/>
          <w:lang w:val="vi-VN"/>
        </w:rPr>
        <w:t>Thứ bảy, an toàn tài chính tăng cường sự minh bạch và trách nhiệm giải trình trong quản trị</w:t>
      </w:r>
    </w:p>
    <w:p w14:paraId="71C24481"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Khi công ty duy trì tình hình tài chính ổn định, họ có thể thực hiện các báo cáo tài chính chính xác và đầy đủ hơn, từ đó tạo niềm tin với cổ đông, nhà đầu tư và các bên liên quan. Một công ty có tài chính an toàn thường tuân thủ các quy định và chuẩn mực kế toán, đảm bảo rằng các thông tin tài chính được công bố công khai, minh bạch và dễ dàng kiểm tra. Điều này không chỉ giúp nâng cao uy tín và sự tin tưởng từ thị trường, mà còn thúc đẩy các nhà quản lý chịu trách nhiệm rõ ràng hơn về các quyết định tài chính và chiến lược phát triển của công ty. Từ đó, công ty không chỉ nâng cao sự tin tưởng từ các bên liên quan mà còn tạo nền tảng vững chắc cho sự phát triển bền vững.</w:t>
      </w:r>
    </w:p>
    <w:p w14:paraId="44CAFCEE" w14:textId="77777777" w:rsidR="004B6704" w:rsidRPr="00B564BE" w:rsidRDefault="004B6704" w:rsidP="005B0517">
      <w:pPr>
        <w:pStyle w:val="Heading2"/>
        <w:rPr>
          <w:lang w:val="vi-VN"/>
        </w:rPr>
      </w:pPr>
      <w:bookmarkStart w:id="57" w:name="_Toc197781144"/>
      <w:bookmarkStart w:id="58" w:name="_Toc197781426"/>
      <w:bookmarkStart w:id="59" w:name="_Toc198709957"/>
      <w:r w:rsidRPr="00B564BE">
        <w:rPr>
          <w:lang w:val="vi-VN"/>
        </w:rPr>
        <w:t>1.2. Nội dung an toàn tài chính của công ty cổ phần</w:t>
      </w:r>
      <w:bookmarkEnd w:id="57"/>
      <w:bookmarkEnd w:id="58"/>
      <w:bookmarkEnd w:id="59"/>
    </w:p>
    <w:p w14:paraId="3A560ECD" w14:textId="77777777" w:rsidR="004B6704" w:rsidRPr="004B6704" w:rsidRDefault="004B6704" w:rsidP="004B6704">
      <w:pPr>
        <w:spacing w:line="312" w:lineRule="auto"/>
        <w:jc w:val="both"/>
        <w:rPr>
          <w:rFonts w:ascii="Times New Roman" w:hAnsi="Times New Roman" w:cs="Times New Roman"/>
          <w:b/>
          <w:bCs/>
          <w:sz w:val="26"/>
          <w:szCs w:val="26"/>
          <w:lang w:val="vi-VN"/>
        </w:rPr>
      </w:pPr>
      <w:r w:rsidRPr="004B6704">
        <w:rPr>
          <w:rFonts w:ascii="Times New Roman" w:hAnsi="Times New Roman" w:cs="Times New Roman"/>
          <w:sz w:val="26"/>
          <w:szCs w:val="26"/>
          <w:lang w:val="vi-VN"/>
        </w:rPr>
        <w:t>Xuất phát từ quan điểm về an toàn tài chính của CTCP đã đề cập thì an toàn tài chính của CTCP được qua một số khía cạnh chủ yếu sau:</w:t>
      </w:r>
    </w:p>
    <w:p w14:paraId="1282AE3C" w14:textId="77777777" w:rsidR="004B6704" w:rsidRPr="00B564BE" w:rsidRDefault="004B6704" w:rsidP="005B0517">
      <w:pPr>
        <w:pStyle w:val="Heading3"/>
        <w:rPr>
          <w:lang w:val="vi-VN"/>
        </w:rPr>
      </w:pPr>
      <w:bookmarkStart w:id="60" w:name="_Toc197781145"/>
      <w:bookmarkStart w:id="61" w:name="_Toc197781427"/>
      <w:bookmarkStart w:id="62" w:name="_Toc198281649"/>
      <w:bookmarkStart w:id="63" w:name="_Toc198284434"/>
      <w:bookmarkStart w:id="64" w:name="_Toc198709958"/>
      <w:r w:rsidRPr="00B564BE">
        <w:rPr>
          <w:lang w:val="vi-VN"/>
        </w:rPr>
        <w:t>1.2.1. Cơ cấu vốn hợp lý</w:t>
      </w:r>
      <w:bookmarkEnd w:id="60"/>
      <w:bookmarkEnd w:id="61"/>
      <w:bookmarkEnd w:id="62"/>
      <w:bookmarkEnd w:id="63"/>
      <w:bookmarkEnd w:id="64"/>
    </w:p>
    <w:p w14:paraId="3A62EC85"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Trước hết, cơ cấu vốn hợp lý giúp giảm rủi ro mất cân đối tài chính. Nếu doanh nghiệp quá phụ thuộc vào nợ vay, chi phí lãi vay tăng cao sẽ gây áp lực lên dòng tiền, đặc biệt trong giai đoạn doanh thu sụt giảm. Ngược lại, nếu chỉ dựa vào vốn chủ sở hữu, công ty có thể bỏ lỡ các cơ hội đầu tư do thiếu nguồn lực tài chính. Do đó, sự cân bằng giữa hai nguồn vốn này giúp doanh nghiệp duy trì khả năng chi trả và hoạt động ổn định.</w:t>
      </w:r>
    </w:p>
    <w:p w14:paraId="0018710E"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lastRenderedPageBreak/>
        <w:t>Thứ hai, một cơ cấu vốn hợp lý góp phần tối ưu hóa chi phí sử dụng vốn. Nợ vay có lợi thế là chi phí thấp hơn vốn chủ sở hữu do được khấu trừ thuế, nhưng cũng đi kèm với rủi ro thanh toán. Doanh nghiệp cần tính toán để tận dụng lợi thế chi phí vay mà không làm gia tăng rủi ro. Khi chi phí vốn bình quân (WACC) được giữ ở mức tối ưu, doanh nghiệp sẽ có điều kiện nâng cao hiệu quả sinh lời và giá trị cổ đông.</w:t>
      </w:r>
    </w:p>
    <w:p w14:paraId="44B5C52E"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Ngoài ra, cơ cấu vốn hợp lý còn giúp tăng tính hấp dẫn trong mắt nhà đầu tư và tổ chức tín dụng. Một doanh nghiệp có nền tài chính lành mạnh, với mức đòn bẩy tài chính hợp lý, sẽ tạo dựng được niềm tin trên thị trường, từ đó dễ dàng thu hút vốn đầu tư và mở rộng hoạt động kinh doanh.</w:t>
      </w:r>
    </w:p>
    <w:p w14:paraId="0C5A5E2A"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Tóm lại, cơ cấu vốn hợp lý là nền tảng quan trọng của an toàn tài chính trong công ty cổ phần. Nó giúp doanh nghiệp duy trì trạng thái tài chính ổn định, tối ưu hóa chi phí, kiểm soát rủi ro và tạo ra sự tin tưởng từ các bên liên quan – từ nhà đầu tư, cổ đông đến các tổ chức tín dụng. Việc xây dựng và điều chỉnh cơ cấu vốn phù hợp theo từng giai đoạn phát triển là một yêu cầu tất yếu trong chiến lược quản trị tài chính hiệu quả.</w:t>
      </w:r>
    </w:p>
    <w:p w14:paraId="01DB3A51" w14:textId="77777777" w:rsidR="004B6704" w:rsidRPr="00B564BE" w:rsidRDefault="004B6704" w:rsidP="005B0517">
      <w:pPr>
        <w:pStyle w:val="Heading3"/>
        <w:rPr>
          <w:lang w:val="vi-VN"/>
        </w:rPr>
      </w:pPr>
      <w:bookmarkStart w:id="65" w:name="_Toc197781146"/>
      <w:bookmarkStart w:id="66" w:name="_Toc197781428"/>
      <w:bookmarkStart w:id="67" w:name="_Toc198281650"/>
      <w:bookmarkStart w:id="68" w:name="_Toc198284435"/>
      <w:bookmarkStart w:id="69" w:name="_Toc198709959"/>
      <w:r w:rsidRPr="00B564BE">
        <w:rPr>
          <w:lang w:val="vi-VN"/>
        </w:rPr>
        <w:t>1.2.2. Khả năng thanh toán</w:t>
      </w:r>
      <w:bookmarkEnd w:id="65"/>
      <w:bookmarkEnd w:id="66"/>
      <w:bookmarkEnd w:id="67"/>
      <w:bookmarkEnd w:id="68"/>
      <w:bookmarkEnd w:id="69"/>
    </w:p>
    <w:p w14:paraId="5258ECB9"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An toàn về khả năng thanh toán là một trong những yếu tố cốt lõi giúp công ty cổ phần duy trì hoạt động ổn định và tránh rơi vào khủng hoảng tài chính. Đây là khả năng của doanh nghiệp trong việc đáp ứng kịp thời và đầy đủ các nghĩa vụ tài chính ngắn hạn, đặc biệt là các khoản nợ phải trả trong vòng một năm như tiền lương, thuế, lãi vay và các khoản nợ nhà cung cấp.</w:t>
      </w:r>
    </w:p>
    <w:p w14:paraId="387E50FF"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Trước hết, khả năng thanh toán an toàn giúp doanh nghiệp duy trì uy tín với đối tác, nhà cung cấp và ngân hàng. Khi công ty luôn thực hiện đúng hạn các cam kết tài chính, các bên liên quan sẽ tin tưởng và tiếp tục hợp tác, tạo điều kiện thuận lợi cho hoạt động kinh doanh và tiếp cận nguồn vốn vay với chi phí thấp hơn.</w:t>
      </w:r>
    </w:p>
    <w:p w14:paraId="60F624AC"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Không những vậy, khả năng thanh toán tốt phản ánh sức khỏe tài chính ngắn hạn của doanh nghiệp. Nếu các chỉ số như hệ số thanh toán hiện hành và hệ số thanh toán nhanh ở mức an toàn, điều này cho thấy công ty có đủ tài sản lưu động để trang trải các khoản nợ ngắn hạn. Đây là yếu tố then chốt giúp công ty duy trì sự ổn định trong các giai đoạn khó khăn hoặc biến động thị trường.</w:t>
      </w:r>
    </w:p>
    <w:p w14:paraId="5DE9B2C0" w14:textId="77777777" w:rsidR="004B6704" w:rsidRPr="00B564BE" w:rsidRDefault="004B6704" w:rsidP="005B0517">
      <w:pPr>
        <w:pStyle w:val="Heading3"/>
        <w:rPr>
          <w:lang w:val="vi-VN"/>
        </w:rPr>
      </w:pPr>
      <w:bookmarkStart w:id="70" w:name="_Toc197781147"/>
      <w:bookmarkStart w:id="71" w:name="_Toc197781429"/>
      <w:bookmarkStart w:id="72" w:name="_Toc198281651"/>
      <w:bookmarkStart w:id="73" w:name="_Toc198284436"/>
      <w:bookmarkStart w:id="74" w:name="_Toc198709960"/>
      <w:r w:rsidRPr="00B564BE">
        <w:rPr>
          <w:lang w:val="vi-VN"/>
        </w:rPr>
        <w:t>1.2.3. Lợi nhuận và dòng tiền ổn định</w:t>
      </w:r>
      <w:bookmarkEnd w:id="70"/>
      <w:bookmarkEnd w:id="71"/>
      <w:bookmarkEnd w:id="72"/>
      <w:bookmarkEnd w:id="73"/>
      <w:bookmarkEnd w:id="74"/>
    </w:p>
    <w:p w14:paraId="697B488A"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Lợi nhuận và dòng tiền ổn định là hai yếu tố cốt lõi đảm bảo an toàn tài chính cho công ty cổ phần, vì chúng phản ánh khả năng tạo ra giá trị kinh tế thực tế từ hoạt động kinh doanh và khả năng duy trì thanh khoản trong dài hạn. Một doanh </w:t>
      </w:r>
      <w:r w:rsidRPr="004B6704">
        <w:rPr>
          <w:rFonts w:ascii="Times New Roman" w:hAnsi="Times New Roman" w:cs="Times New Roman"/>
          <w:sz w:val="26"/>
          <w:szCs w:val="26"/>
          <w:lang w:val="vi-VN"/>
        </w:rPr>
        <w:lastRenderedPageBreak/>
        <w:t>nghiệp có lợi nhuận bền vững và dòng tiền ổn định sẽ ít chịu rủi ro tài chính và có đủ nguồn lực để phát triển.</w:t>
      </w:r>
    </w:p>
    <w:p w14:paraId="399AB957"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Trước hết, lợi nhuận ổn định cho thấy hoạt động kinh doanh hiệu quả, công ty có thể duy trì hoặc tăng trưởng doanh thu, kiểm soát chi phí và tạo ra giá trị cho cổ đông. Khi lợi nhuận duy trì ở mức ổn định hoặc tăng dần, công ty sẽ tái đầu tư, mở rộng sản xuất và tăng khả năng cạnh tranh mà không phải phụ thuộc quá mức vào vốn vay.</w:t>
      </w:r>
    </w:p>
    <w:p w14:paraId="7FC504F6"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Bên cạnh đó, dòng tiền ổn định giúp doanh nghiệp đảm bảo khả năng thanh toán, đặc biệt là các khoản chi ngắn hạn như trả nợ, lương nhân viên, thuế và chi phí vận hành. Ngay cả khi lợi nhuận dương, nhưng nếu dòng tiền từ hoạt động kinh doanh không đều đặn, doanh nghiệp có thể rơi vào tình trạng thiếu hụt thanh khoản, dẫn đến mất cân đối tài chính và tăng rủi ro mất khả năng chi trả.</w:t>
      </w:r>
    </w:p>
    <w:p w14:paraId="445C40B6"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Hơn nữa, sự ổn định về lợi nhuận và dòng tiền còn tạo niềm tin với nhà đầu tư, ngân hàng và các bên liên quan. Doanh nghiệp có dòng tiền tốt thường được đánh giá là ít rủi ro hơn, dễ tiếp cận nguồn vốn với chi phí thấp hơn, từ đó cải thiện sức mạnh tài chính và khả năng mở rộng quy mô hoạt động.</w:t>
      </w:r>
    </w:p>
    <w:p w14:paraId="222B5CF6" w14:textId="77777777" w:rsidR="004B6704" w:rsidRPr="004B6704" w:rsidRDefault="004B6704" w:rsidP="008A5BBD">
      <w:pPr>
        <w:pStyle w:val="p3"/>
      </w:pPr>
      <w:bookmarkStart w:id="75" w:name="_Toc197781148"/>
      <w:bookmarkStart w:id="76" w:name="_Toc197781430"/>
      <w:bookmarkStart w:id="77" w:name="_Toc198281652"/>
      <w:bookmarkStart w:id="78" w:name="_Toc198284437"/>
      <w:bookmarkStart w:id="79" w:name="_Toc198709961"/>
      <w:r w:rsidRPr="004B6704">
        <w:t>1.2.4. Quản lý chi phí và hiệu quả sử dụng tài sản</w:t>
      </w:r>
      <w:bookmarkEnd w:id="75"/>
      <w:bookmarkEnd w:id="76"/>
      <w:bookmarkEnd w:id="77"/>
      <w:bookmarkEnd w:id="78"/>
      <w:bookmarkEnd w:id="79"/>
    </w:p>
    <w:p w14:paraId="749A10D9"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Đầu tiên, quản lý chi phí hiệu quả giúp công ty kiểm soát và giảm thiểu các khoản chi tiêu không cần thiết, từ đó cải thiện lợi nhuận và đảm bảo công ty có đủ khả năng tài chính để đáp ứng các nghĩa vụ ngắn hạn và dài hạn. Việc duy trì chi phí ở mức hợp lý còn giúp công ty đối phó tốt hơn với các biến động thị trường và giảm thiểu rủi ro tài chính.</w:t>
      </w:r>
    </w:p>
    <w:p w14:paraId="5585399C"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Về phía hiệu quả sử dụng tài sản, việc khai thác tài sản của CTCP một cách tối ưu sẽ giúp gia tăng giá trị tài sản và lợi nhuận từ các nguồn lực hiện có. Nếu công ty sử dụng tài sản, như nhà xưởng, thiết bị, hoặc vốn lưu động, một cách hiệu quả, sẽ giảm thiểu tình trạng lãng phí và tối đa hóa khả năng sinh lời. Điều này không chỉ giúp công ty duy trì sự ổn định tài chính mà còn nâng cao năng lực cạnh tranh trên thị trường.</w:t>
      </w:r>
    </w:p>
    <w:p w14:paraId="72FFFB59" w14:textId="77777777" w:rsidR="004B6704" w:rsidRPr="004B6704" w:rsidRDefault="004B6704" w:rsidP="008A5BBD">
      <w:pPr>
        <w:pStyle w:val="p3"/>
      </w:pPr>
      <w:bookmarkStart w:id="80" w:name="_Toc197781149"/>
      <w:bookmarkStart w:id="81" w:name="_Toc197781431"/>
      <w:bookmarkStart w:id="82" w:name="_Toc198281653"/>
      <w:bookmarkStart w:id="83" w:name="_Toc198284438"/>
      <w:bookmarkStart w:id="84" w:name="_Toc198709962"/>
      <w:r w:rsidRPr="004B6704">
        <w:t>1.2.5. Đánh giá rủi ro tài chính và khả năng chịu đựng</w:t>
      </w:r>
      <w:bookmarkEnd w:id="80"/>
      <w:bookmarkEnd w:id="81"/>
      <w:bookmarkEnd w:id="82"/>
      <w:bookmarkEnd w:id="83"/>
      <w:bookmarkEnd w:id="84"/>
    </w:p>
    <w:p w14:paraId="615A71D4"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Đánh giá rủi ro tài chính giúp công ty nhận diện và phân tích các yếu tố có thể ảnh hưởng xấu đến tài chính như biến động lãi suất, thay đổi tỷ giá, hay tình trạng khủng hoảng kinh tế. Việc này giúp công ty chủ động đưa ra các biện pháp phòng ngừa, giảm thiểu thiệt hại, và có kế hoạch ứng phó kịp thời khi rủi ro xảy ra.</w:t>
      </w:r>
    </w:p>
    <w:p w14:paraId="65CDAC74"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Khả năng chịu đựng (hay khả năng chống chịu) liên quan đến mức độ mà công ty có thể duy trì hoạt động tài chính ổn định dù gặp phải các tình huống khó khăn, như suy thoái kinh tế hoặc giảm sút doanh thu. Một công ty có khả năng chịu </w:t>
      </w:r>
      <w:r w:rsidRPr="004B6704">
        <w:rPr>
          <w:rFonts w:ascii="Times New Roman" w:hAnsi="Times New Roman" w:cs="Times New Roman"/>
          <w:sz w:val="26"/>
          <w:szCs w:val="26"/>
          <w:lang w:val="vi-VN"/>
        </w:rPr>
        <w:lastRenderedPageBreak/>
        <w:t>đựng cao sẽ có đủ tài sản, dòng tiền và các biện pháp dự phòng để vượt qua các cú sốc tài chính mà không làm ảnh hưởng đến sự tồn tại của mình.</w:t>
      </w:r>
    </w:p>
    <w:p w14:paraId="1E5DC133" w14:textId="77777777" w:rsidR="004B6704" w:rsidRPr="004B6704" w:rsidRDefault="004B6704" w:rsidP="008A5BBD">
      <w:pPr>
        <w:pStyle w:val="p3"/>
      </w:pPr>
      <w:bookmarkStart w:id="85" w:name="_Toc197781150"/>
      <w:bookmarkStart w:id="86" w:name="_Toc197781432"/>
      <w:bookmarkStart w:id="87" w:name="_Toc198281654"/>
      <w:bookmarkStart w:id="88" w:name="_Toc198284439"/>
      <w:bookmarkStart w:id="89" w:name="_Toc198709963"/>
      <w:r w:rsidRPr="004B6704">
        <w:t>1.2.6. Chính sách cổ tức và chia sẻ lợi nhuận</w:t>
      </w:r>
      <w:bookmarkEnd w:id="85"/>
      <w:bookmarkEnd w:id="86"/>
      <w:bookmarkEnd w:id="87"/>
      <w:bookmarkEnd w:id="88"/>
      <w:bookmarkEnd w:id="89"/>
    </w:p>
    <w:p w14:paraId="0DC979F4"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Chính sách cổ tức hợp lý là một yếu tố quan trọng đối với an toàn tài chính của doanh nghiệp. Việc chi trả cổ tức quá cao có thể làm giảm vốn chủ sở hữu và gây áp lực lên dòng tiền của công ty, trong khi nếu giữ lại lợi nhuận quá nhiều, doanh nghiệp có thể gặp khó khăn trong việc duy trì sự phát triển bền vững.</w:t>
      </w:r>
    </w:p>
    <w:p w14:paraId="05583081"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Một chính sách cổ tức hợp lý, vừa chia sẻ lợi nhuận với cổ đông, vừa đảm bảo doanh nghiệp có đủ vốn để tái đầu tư, sẽ giúp duy trì an toàn tài chính lâu dài.</w:t>
      </w:r>
    </w:p>
    <w:p w14:paraId="23497472" w14:textId="77777777" w:rsidR="004B6704" w:rsidRPr="004B6704" w:rsidRDefault="004B6704" w:rsidP="008A5BBD">
      <w:pPr>
        <w:pStyle w:val="p3"/>
      </w:pPr>
      <w:bookmarkStart w:id="90" w:name="_Toc197781151"/>
      <w:bookmarkStart w:id="91" w:name="_Toc197781433"/>
      <w:bookmarkStart w:id="92" w:name="_Toc198281655"/>
      <w:bookmarkStart w:id="93" w:name="_Toc198284440"/>
      <w:bookmarkStart w:id="94" w:name="_Toc198709964"/>
      <w:r w:rsidRPr="004B6704">
        <w:t>1.2.7. Quản trị rủi ro tài chính và bảo hiểm</w:t>
      </w:r>
      <w:bookmarkEnd w:id="90"/>
      <w:bookmarkEnd w:id="91"/>
      <w:bookmarkEnd w:id="92"/>
      <w:bookmarkEnd w:id="93"/>
      <w:bookmarkEnd w:id="94"/>
    </w:p>
    <w:p w14:paraId="5404FA00"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Các công ty cổ phần cần có một hệ thống quản trị rủi ro tài chính vững mạnh, bao gồm việc sử dụng các công cụ tài chính như bảo hiểm, hợp đồng tương lai, hoán đổi lãi suất, hay các sản phẩm phòng ngừa khác để bảo vệ doanh nghiệp khỏi các biến động không lường trước. Khi đó doanh nghiệp có thể chuyển giao một phần rủi ro tài chính sang cho công ty bảo hiểm, chẳng hạn như rủi ro về tài sản, tai nạn lao động hoặc gián đoạn kinh doanh. Điều này giúp giảm thiểu tổn thất tài chính và tăng khả năng phục hồi khi sự cố xảy ra.</w:t>
      </w:r>
    </w:p>
    <w:p w14:paraId="5DF7C1DE" w14:textId="77777777" w:rsidR="004B6704" w:rsidRPr="00B564BE" w:rsidRDefault="004B6704" w:rsidP="005B0517">
      <w:pPr>
        <w:pStyle w:val="Heading2"/>
        <w:rPr>
          <w:lang w:val="vi-VN"/>
        </w:rPr>
      </w:pPr>
      <w:bookmarkStart w:id="95" w:name="_Toc197781152"/>
      <w:bookmarkStart w:id="96" w:name="_Toc197781434"/>
      <w:bookmarkStart w:id="97" w:name="_Toc198709965"/>
      <w:r w:rsidRPr="00B564BE">
        <w:rPr>
          <w:lang w:val="vi-VN"/>
        </w:rPr>
        <w:t>1.3. Các chỉ tiêu phản ánh an toàn tài chính của công ty cổ phần</w:t>
      </w:r>
      <w:bookmarkEnd w:id="95"/>
      <w:bookmarkEnd w:id="96"/>
      <w:bookmarkEnd w:id="97"/>
      <w:r w:rsidRPr="00B564BE">
        <w:rPr>
          <w:lang w:val="vi-VN"/>
        </w:rPr>
        <w:t xml:space="preserve"> </w:t>
      </w:r>
    </w:p>
    <w:p w14:paraId="04D542C2" w14:textId="77777777" w:rsidR="004B6704" w:rsidRPr="00B564BE" w:rsidRDefault="004B6704" w:rsidP="005B0517">
      <w:pPr>
        <w:pStyle w:val="Heading3"/>
        <w:rPr>
          <w:lang w:val="vi-VN"/>
        </w:rPr>
      </w:pPr>
      <w:bookmarkStart w:id="98" w:name="_Toc197781153"/>
      <w:bookmarkStart w:id="99" w:name="_Toc197781435"/>
      <w:bookmarkStart w:id="100" w:name="_Toc198281656"/>
      <w:bookmarkStart w:id="101" w:name="_Toc198284441"/>
      <w:bookmarkStart w:id="102" w:name="_Toc198709966"/>
      <w:r w:rsidRPr="00B564BE">
        <w:rPr>
          <w:lang w:val="vi-VN"/>
        </w:rPr>
        <w:t>1.3.1. Nhóm chỉ tiêu phản ánh khả năng thanh toán</w:t>
      </w:r>
      <w:bookmarkEnd w:id="98"/>
      <w:bookmarkEnd w:id="99"/>
      <w:bookmarkEnd w:id="100"/>
      <w:bookmarkEnd w:id="101"/>
      <w:bookmarkEnd w:id="102"/>
    </w:p>
    <w:p w14:paraId="046ECF8B" w14:textId="77777777" w:rsidR="004B6704" w:rsidRPr="004B6704" w:rsidRDefault="004B6704" w:rsidP="004B6704">
      <w:pPr>
        <w:pStyle w:val="ListParagraph"/>
        <w:numPr>
          <w:ilvl w:val="2"/>
          <w:numId w:val="2"/>
        </w:numPr>
        <w:spacing w:line="312" w:lineRule="auto"/>
        <w:ind w:left="993" w:hanging="284"/>
        <w:jc w:val="both"/>
        <w:rPr>
          <w:rFonts w:ascii="Times New Roman" w:hAnsi="Times New Roman" w:cs="Times New Roman"/>
          <w:b/>
          <w:bCs/>
          <w:i/>
          <w:iCs/>
          <w:sz w:val="26"/>
          <w:szCs w:val="26"/>
          <w:lang w:val="vi-VN"/>
        </w:rPr>
      </w:pPr>
      <w:r w:rsidRPr="004B6704">
        <w:rPr>
          <w:rFonts w:ascii="Times New Roman" w:hAnsi="Times New Roman" w:cs="Times New Roman"/>
          <w:b/>
          <w:bCs/>
          <w:i/>
          <w:iCs/>
          <w:sz w:val="26"/>
          <w:szCs w:val="26"/>
          <w:lang w:val="vi-VN"/>
        </w:rPr>
        <w:t>Hệ số thanh toán hiện thời (ngắn hạn)</w:t>
      </w:r>
    </w:p>
    <w:p w14:paraId="2A1CAA6A"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Hệ số thanh toán ngắn hạn (hay hệ số thanh toán hiện thời) là chỉ tiêu tài chính phản ánh khả năng của doanh nghiệp trong việc sử dụng tài sản ngắn hạn để thanh toán các khoản nợ ngắn hạn.</w:t>
      </w:r>
    </w:p>
    <w:p w14:paraId="28C270B6" w14:textId="77777777" w:rsidR="004B6704" w:rsidRPr="00C076C0" w:rsidRDefault="004B6704" w:rsidP="004B6704">
      <w:pPr>
        <w:spacing w:line="312" w:lineRule="auto"/>
        <w:ind w:firstLine="720"/>
        <w:jc w:val="both"/>
        <w:rPr>
          <w:rFonts w:ascii="Times New Roman" w:hAnsi="Times New Roman" w:cs="Times New Roman"/>
          <w:i/>
          <w:sz w:val="26"/>
          <w:szCs w:val="26"/>
          <w:lang w:val="vi-VN"/>
        </w:rPr>
      </w:pPr>
      <w:r w:rsidRPr="004B6704">
        <w:rPr>
          <w:rFonts w:ascii="Times New Roman" w:hAnsi="Times New Roman" w:cs="Times New Roman"/>
          <w:sz w:val="26"/>
          <w:szCs w:val="26"/>
          <w:lang w:val="vi-VN"/>
        </w:rPr>
        <w:t xml:space="preserve">                  </w:t>
      </w:r>
      <w:r w:rsidRPr="00C076C0">
        <w:rPr>
          <w:rFonts w:ascii="Times New Roman" w:hAnsi="Times New Roman" w:cs="Times New Roman"/>
          <w:noProof/>
          <w:sz w:val="26"/>
          <w:szCs w:val="26"/>
          <w:lang w:eastAsia="en-US"/>
        </w:rPr>
        <w:drawing>
          <wp:inline distT="0" distB="0" distL="0" distR="0" wp14:anchorId="491989C6" wp14:editId="7CC80FE8">
            <wp:extent cx="3192780" cy="411480"/>
            <wp:effectExtent l="0" t="0" r="7620" b="7620"/>
            <wp:docPr id="1740027355" name="Picture 30" descr="A black background with blue and orang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027355" name="Picture 30" descr="A black background with blue and orange text&#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92780" cy="411480"/>
                    </a:xfrm>
                    <a:prstGeom prst="rect">
                      <a:avLst/>
                    </a:prstGeom>
                    <a:noFill/>
                    <a:ln>
                      <a:noFill/>
                    </a:ln>
                  </pic:spPr>
                </pic:pic>
              </a:graphicData>
            </a:graphic>
          </wp:inline>
        </w:drawing>
      </w:r>
      <w:r w:rsidRPr="00F22BA5">
        <w:rPr>
          <w:rFonts w:ascii="Times New Roman" w:hAnsi="Times New Roman" w:cs="Times New Roman"/>
          <w:sz w:val="26"/>
          <w:szCs w:val="26"/>
          <w:lang w:val="vi-VN"/>
        </w:rPr>
        <w:t xml:space="preserve">     </w:t>
      </w:r>
      <w:r w:rsidRPr="00C076C0">
        <w:rPr>
          <w:rFonts w:ascii="Times New Roman" w:hAnsi="Times New Roman" w:cs="Times New Roman"/>
          <w:sz w:val="26"/>
          <w:szCs w:val="26"/>
          <w:lang w:val="vi-VN"/>
        </w:rPr>
        <w:t>(</w:t>
      </w:r>
      <w:r w:rsidRPr="00F22BA5">
        <w:rPr>
          <w:rFonts w:ascii="Times New Roman" w:hAnsi="Times New Roman" w:cs="Times New Roman"/>
          <w:sz w:val="26"/>
          <w:szCs w:val="26"/>
          <w:lang w:val="vi-VN"/>
        </w:rPr>
        <w:t>đ/đ</w:t>
      </w:r>
      <w:r w:rsidRPr="00C076C0">
        <w:rPr>
          <w:rFonts w:ascii="Times New Roman" w:hAnsi="Times New Roman" w:cs="Times New Roman"/>
          <w:sz w:val="26"/>
          <w:szCs w:val="26"/>
          <w:lang w:val="vi-VN"/>
        </w:rPr>
        <w:t>)     [1]</w:t>
      </w:r>
    </w:p>
    <w:p w14:paraId="413A2733" w14:textId="77777777" w:rsidR="004B6704" w:rsidRPr="00F22BA5" w:rsidRDefault="004B6704" w:rsidP="004B6704">
      <w:pPr>
        <w:spacing w:line="312" w:lineRule="auto"/>
        <w:ind w:left="360"/>
        <w:jc w:val="both"/>
        <w:rPr>
          <w:rFonts w:ascii="Times New Roman" w:hAnsi="Times New Roman" w:cs="Times New Roman"/>
          <w:sz w:val="26"/>
          <w:szCs w:val="26"/>
          <w:lang w:val="vi-VN"/>
        </w:rPr>
      </w:pPr>
      <w:r w:rsidRPr="00F22BA5">
        <w:rPr>
          <w:rFonts w:ascii="Times New Roman" w:hAnsi="Times New Roman" w:cs="Times New Roman"/>
          <w:sz w:val="26"/>
          <w:szCs w:val="26"/>
          <w:u w:val="single"/>
          <w:lang w:val="vi-VN"/>
        </w:rPr>
        <w:t>Ý nghĩa</w:t>
      </w:r>
      <w:r w:rsidRPr="00F22BA5">
        <w:rPr>
          <w:rFonts w:ascii="Times New Roman" w:hAnsi="Times New Roman" w:cs="Times New Roman"/>
          <w:sz w:val="26"/>
          <w:szCs w:val="26"/>
          <w:lang w:val="vi-VN"/>
        </w:rPr>
        <w:t>:</w:t>
      </w:r>
    </w:p>
    <w:p w14:paraId="6EFEB86D" w14:textId="77777777" w:rsidR="004B6704" w:rsidRPr="00F22BA5" w:rsidRDefault="004B6704" w:rsidP="004B6704">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Thể hiện khả năng thanh khoản: doanh nghiệp có thể chuyển đổi tài sản ngắn hạn thành tiền mặt để trả nợ đúng hạn.</w:t>
      </w:r>
    </w:p>
    <w:p w14:paraId="3CF612D4"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           Phản ánh sức mạnh tài chính ngắn hạn và khả năng chống chịu rủi ro (như mất doanh thu bất ngờ, chi phí phát sinh...)</w:t>
      </w:r>
    </w:p>
    <w:p w14:paraId="473D11C7" w14:textId="77777777" w:rsidR="004B6704" w:rsidRPr="00F22BA5" w:rsidRDefault="004B6704" w:rsidP="004B6704">
      <w:pPr>
        <w:numPr>
          <w:ilvl w:val="0"/>
          <w:numId w:val="4"/>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1 ≤ Hệ số ≤ 2: phản ánh khả năng thanh toán tốt, doanh nghiệp sử dụng tiền và tài sản ngắn hạn có hiệu quả.</w:t>
      </w:r>
    </w:p>
    <w:p w14:paraId="0CDFD311" w14:textId="77777777" w:rsidR="004B6704" w:rsidRPr="00F22BA5" w:rsidRDefault="004B6704" w:rsidP="004B6704">
      <w:pPr>
        <w:numPr>
          <w:ilvl w:val="0"/>
          <w:numId w:val="4"/>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Hệ số =1: cho thấy doanh nghiệp vừa đủ tài sản ngắn hạn để trang trải nợ ngắn hạn nhưng không còn dư về tài chính, rủi ro trung bình</w:t>
      </w:r>
    </w:p>
    <w:p w14:paraId="01B0E981" w14:textId="77777777" w:rsidR="004B6704" w:rsidRPr="00F22BA5" w:rsidRDefault="004B6704" w:rsidP="004B6704">
      <w:pPr>
        <w:numPr>
          <w:ilvl w:val="0"/>
          <w:numId w:val="4"/>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lastRenderedPageBreak/>
        <w:t>Hệ số &lt;1: cho thấy khả năng toán ngắn hạn của doanh nghiệp yếu, không đủ tài sản ngắn hạn để thanh toán nợ ngắn hạn, rủi ro tài chính cao, mất khả năng thanh toán</w:t>
      </w:r>
    </w:p>
    <w:p w14:paraId="7AFAA16C" w14:textId="77777777" w:rsidR="004B6704" w:rsidRDefault="004B6704" w:rsidP="004B6704">
      <w:pPr>
        <w:spacing w:line="312" w:lineRule="auto"/>
        <w:jc w:val="both"/>
        <w:rPr>
          <w:rFonts w:ascii="Times New Roman" w:hAnsi="Times New Roman" w:cs="Times New Roman"/>
          <w:i/>
          <w:sz w:val="26"/>
          <w:szCs w:val="26"/>
        </w:rPr>
      </w:pPr>
      <w:r w:rsidRPr="00F22BA5">
        <w:rPr>
          <w:rFonts w:ascii="Times New Roman" w:hAnsi="Times New Roman" w:cs="Times New Roman"/>
          <w:i/>
          <w:sz w:val="26"/>
          <w:szCs w:val="26"/>
          <w:lang w:val="vi-VN"/>
        </w:rPr>
        <w:t>Ảnh hưởng đến an toàn tài chính:</w:t>
      </w:r>
    </w:p>
    <w:p w14:paraId="69A549A8" w14:textId="77777777"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1.1.</w:t>
      </w:r>
      <w:proofErr w:type="gramEnd"/>
      <w:r>
        <w:rPr>
          <w:rFonts w:ascii="Times New Roman" w:hAnsi="Times New Roman" w:cs="Times New Roman"/>
          <w:i/>
          <w:sz w:val="26"/>
          <w:szCs w:val="26"/>
        </w:rPr>
        <w:t xml:space="preserve"> Ảnh hưởng của hệ số thanh toán hiện thời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w:t>
      </w:r>
    </w:p>
    <w:p w14:paraId="78ADAFFF" w14:textId="05078F05" w:rsidR="009C5163" w:rsidRPr="009C5163"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3911"/>
        <w:gridCol w:w="5137"/>
      </w:tblGrid>
      <w:tr w:rsidR="004B6704" w:rsidRPr="00C076C0" w14:paraId="7E403E6E"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0FA8D7"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CD3391"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thấp</w:t>
            </w:r>
          </w:p>
        </w:tc>
      </w:tr>
      <w:tr w:rsidR="004B6704" w:rsidRPr="00C076C0" w14:paraId="2FEC2D6E"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A7EC70"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Dễ dàng thanh toán nợ đến hạn mà không cần bán tháo tài sản hay đi vay thêm.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263C8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Nguy cơ mất khả năng thanh toán do không đủ tài sản để chi trả nợ ngắn hạn đến hạn.</w:t>
            </w:r>
          </w:p>
        </w:tc>
      </w:tr>
      <w:tr w:rsidR="004B6704" w:rsidRPr="00C076C0" w14:paraId="0C0A589C"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97B10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độ tin cậy với nhà đầu tư và ngân hàng, cải thiện khả năng huy động vốn và nhận tín dụng.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E8C54"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Gây mất lòng tin từ nhà đầu tư, đối tác và ó thể bị từ chối vay vốn, giảm uy tín thị trường.</w:t>
            </w:r>
          </w:p>
        </w:tc>
      </w:tr>
      <w:tr w:rsidR="004B6704" w:rsidRPr="00C076C0" w14:paraId="63693F79"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F60BA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Hạn chế rủi ro tài chính để không rơi vào tình trạng mất khả năng thanh toán.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28C06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thể dẫn đến phá sản nếu kéo dài vì tình trạng mất thanh khoản có thể buộc doanh nghiệp phải bán tài sản hoặc dừng hoạt động.</w:t>
            </w:r>
          </w:p>
        </w:tc>
      </w:tr>
    </w:tbl>
    <w:p w14:paraId="57B4F6EC" w14:textId="77777777" w:rsidR="004B6704" w:rsidRPr="00C076C0" w:rsidRDefault="004B6704" w:rsidP="004B6704">
      <w:pPr>
        <w:spacing w:line="312" w:lineRule="auto"/>
        <w:jc w:val="both"/>
        <w:rPr>
          <w:rFonts w:ascii="Times New Roman" w:hAnsi="Times New Roman" w:cs="Times New Roman"/>
          <w:b/>
          <w:bCs/>
          <w:sz w:val="26"/>
          <w:szCs w:val="26"/>
        </w:rPr>
      </w:pPr>
    </w:p>
    <w:p w14:paraId="5471A023" w14:textId="77777777" w:rsidR="004B6704" w:rsidRPr="00C076C0" w:rsidRDefault="004B6704" w:rsidP="004B6704">
      <w:pPr>
        <w:pStyle w:val="ListParagraph"/>
        <w:numPr>
          <w:ilvl w:val="2"/>
          <w:numId w:val="2"/>
        </w:numPr>
        <w:spacing w:line="312" w:lineRule="auto"/>
        <w:ind w:left="993" w:hanging="284"/>
        <w:jc w:val="both"/>
        <w:rPr>
          <w:rFonts w:ascii="Times New Roman" w:hAnsi="Times New Roman" w:cs="Times New Roman"/>
          <w:b/>
          <w:bCs/>
          <w:i/>
          <w:iCs/>
          <w:sz w:val="26"/>
          <w:szCs w:val="26"/>
        </w:rPr>
      </w:pPr>
      <w:r w:rsidRPr="00C076C0">
        <w:rPr>
          <w:rFonts w:ascii="Times New Roman" w:hAnsi="Times New Roman" w:cs="Times New Roman"/>
          <w:b/>
          <w:bCs/>
          <w:i/>
          <w:iCs/>
          <w:sz w:val="26"/>
          <w:szCs w:val="26"/>
        </w:rPr>
        <w:t>Hệ số khả năng thanh toán nhanh</w:t>
      </w:r>
    </w:p>
    <w:p w14:paraId="261947D7" w14:textId="77777777" w:rsidR="004B6704" w:rsidRPr="00C076C0" w:rsidRDefault="004B6704" w:rsidP="004B6704">
      <w:pPr>
        <w:spacing w:line="312" w:lineRule="auto"/>
        <w:ind w:left="142" w:firstLine="720"/>
        <w:jc w:val="both"/>
        <w:rPr>
          <w:rFonts w:ascii="Times New Roman" w:hAnsi="Times New Roman" w:cs="Times New Roman"/>
          <w:sz w:val="26"/>
          <w:szCs w:val="26"/>
        </w:rPr>
      </w:pPr>
      <w:r w:rsidRPr="00C076C0">
        <w:rPr>
          <w:rFonts w:ascii="Times New Roman" w:hAnsi="Times New Roman" w:cs="Times New Roman"/>
          <w:b/>
          <w:bCs/>
          <w:sz w:val="26"/>
          <w:szCs w:val="26"/>
        </w:rPr>
        <w:t>   </w:t>
      </w:r>
      <w:r w:rsidRPr="00C076C0">
        <w:rPr>
          <w:rFonts w:ascii="Times New Roman" w:hAnsi="Times New Roman" w:cs="Times New Roman"/>
          <w:sz w:val="26"/>
          <w:szCs w:val="26"/>
        </w:rPr>
        <w:t>Hệ số khả năng thanh toán nhanh phản ánh khả năng của doanh nghiệp trong việc thanh toán các khoản nợ ngắn hạn bằng các tài sản ngắn hạn có tính thanh khoản cao (tiền mặt, các khoản phải thu, và các tài sản ngắn hạn khác) mà không cần phải bán hàng tồn kho.</w:t>
      </w:r>
    </w:p>
    <w:p w14:paraId="32E5D6E0" w14:textId="01E34C54" w:rsidR="004B6704" w:rsidRPr="00C076C0" w:rsidRDefault="004B6704" w:rsidP="004B6704">
      <w:pPr>
        <w:rPr>
          <w:rFonts w:ascii="Times New Roman" w:hAnsi="Times New Roman" w:cs="Times New Roman"/>
          <w:iCs/>
          <w:lang w:val="vi-VN"/>
        </w:rPr>
      </w:pPr>
      <w:r w:rsidRPr="00C076C0">
        <w:rPr>
          <w:rFonts w:ascii="Times New Roman" w:hAnsi="Times New Roman" w:cs="Times New Roman"/>
          <w:sz w:val="26"/>
          <w:szCs w:val="26"/>
        </w:rPr>
        <w:t xml:space="preserve">   </w:t>
      </w:r>
      <m:oMath>
        <m:r>
          <w:rPr>
            <w:rFonts w:ascii="Cambria Math" w:hAnsi="Cambria Math" w:cs="Times New Roman"/>
            <w:lang w:val="vi-VN"/>
          </w:rPr>
          <m:t xml:space="preserve">Hệ số khả năng thanh toán nhanh= </m:t>
        </m:r>
        <m:f>
          <m:fPr>
            <m:ctrlPr>
              <w:rPr>
                <w:rFonts w:ascii="Cambria Math" w:hAnsi="Cambria Math" w:cs="Times New Roman"/>
                <w:i/>
                <w:iCs/>
                <w:lang w:val="vi-VN"/>
              </w:rPr>
            </m:ctrlPr>
          </m:fPr>
          <m:num>
            <m:eqArr>
              <m:eqArrPr>
                <m:ctrlPr>
                  <w:rPr>
                    <w:rFonts w:ascii="Cambria Math" w:hAnsi="Cambria Math" w:cs="Times New Roman"/>
                    <w:i/>
                    <w:lang w:val="vi-VN"/>
                  </w:rPr>
                </m:ctrlPr>
              </m:eqArrPr>
              <m:e>
                <m:r>
                  <w:rPr>
                    <w:rFonts w:ascii="Cambria Math" w:hAnsi="Cambria Math" w:cs="Times New Roman"/>
                    <w:lang w:val="vi-VN"/>
                  </w:rPr>
                  <m:t xml:space="preserve">Tiền và các khoản tương đương tiền+đầu  </m:t>
                </m:r>
              </m:e>
              <m:e>
                <m:r>
                  <w:rPr>
                    <w:rFonts w:ascii="Cambria Math" w:hAnsi="Cambria Math" w:cs="Times New Roman"/>
                    <w:lang w:val="vi-VN"/>
                  </w:rPr>
                  <m:t>tư tài chính ngắn hạn+khoản phải thu</m:t>
                </m:r>
              </m:e>
            </m:eqArr>
          </m:num>
          <m:den>
            <m:r>
              <w:rPr>
                <w:rFonts w:ascii="Cambria Math" w:hAnsi="Cambria Math" w:cs="Times New Roman"/>
                <w:lang w:val="vi-VN"/>
              </w:rPr>
              <m:t>Nợ ngắn hạn</m:t>
            </m:r>
          </m:den>
        </m:f>
      </m:oMath>
      <w:r w:rsidRPr="00C076C0">
        <w:rPr>
          <w:rFonts w:ascii="Times New Roman" w:hAnsi="Times New Roman" w:cs="Times New Roman"/>
          <w:sz w:val="26"/>
          <w:szCs w:val="26"/>
          <w:lang w:val="vi-VN"/>
        </w:rPr>
        <w:t xml:space="preserve">    (</w:t>
      </w:r>
      <w:r w:rsidRPr="00C076C0">
        <w:rPr>
          <w:rFonts w:ascii="Times New Roman" w:hAnsi="Times New Roman" w:cs="Times New Roman"/>
          <w:sz w:val="26"/>
          <w:szCs w:val="26"/>
        </w:rPr>
        <w:t>đ/đ</w:t>
      </w:r>
      <w:r w:rsidRPr="00C076C0">
        <w:rPr>
          <w:rFonts w:ascii="Times New Roman" w:hAnsi="Times New Roman" w:cs="Times New Roman"/>
          <w:sz w:val="26"/>
          <w:szCs w:val="26"/>
          <w:lang w:val="vi-VN"/>
        </w:rPr>
        <w:t>)</w:t>
      </w:r>
      <w:r>
        <w:rPr>
          <w:rFonts w:ascii="Times New Roman" w:hAnsi="Times New Roman" w:cs="Times New Roman"/>
          <w:sz w:val="26"/>
          <w:szCs w:val="26"/>
          <w:lang w:val="vi-VN"/>
        </w:rPr>
        <w:t xml:space="preserve">      </w:t>
      </w:r>
      <w:r w:rsidRPr="00C076C0">
        <w:rPr>
          <w:rFonts w:ascii="Times New Roman" w:hAnsi="Times New Roman" w:cs="Times New Roman"/>
          <w:sz w:val="26"/>
          <w:szCs w:val="26"/>
          <w:lang w:val="vi-VN"/>
        </w:rPr>
        <w:t>[2]</w:t>
      </w:r>
    </w:p>
    <w:p w14:paraId="008C0DA0"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u w:val="single"/>
          <w:lang w:val="vi-VN"/>
        </w:rPr>
        <w:t>Ý nghĩa</w:t>
      </w:r>
      <w:r w:rsidRPr="00F22BA5">
        <w:rPr>
          <w:rFonts w:ascii="Times New Roman" w:hAnsi="Times New Roman" w:cs="Times New Roman"/>
          <w:sz w:val="26"/>
          <w:szCs w:val="26"/>
          <w:lang w:val="vi-VN"/>
        </w:rPr>
        <w:t>:</w:t>
      </w:r>
    </w:p>
    <w:p w14:paraId="17F36F5F"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       Phản ánh khả năng chi trả ngay lập tức của doanh nghiệp nếu các chủ nợ đòi thanh toán.</w:t>
      </w:r>
    </w:p>
    <w:p w14:paraId="7104447C"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       Giúp đánh giá tính thanh khoản thực sự trong ngắn hạn, không bị che lấp bởi hàng tồn kho khó chuyển đổi.</w:t>
      </w:r>
    </w:p>
    <w:p w14:paraId="4BC43E7F"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       Là công cụ để phân tích sức khỏe tài chính ngắn hạn một cách sát thực hơn.</w:t>
      </w:r>
    </w:p>
    <w:p w14:paraId="429E7085" w14:textId="77777777" w:rsidR="004B6704" w:rsidRPr="00F22BA5" w:rsidRDefault="004B6704" w:rsidP="004B6704">
      <w:pPr>
        <w:numPr>
          <w:ilvl w:val="0"/>
          <w:numId w:val="26"/>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Hệ số &gt;1: Doanh nghiệp có đủ tài sản có tính thanh khoản cao để trả nợ ngắn hạn </w:t>
      </w:r>
      <w:r w:rsidRPr="00F22BA5">
        <w:rPr>
          <w:rFonts w:ascii="Cambria Math" w:hAnsi="Cambria Math" w:cs="Cambria Math"/>
          <w:sz w:val="26"/>
          <w:szCs w:val="26"/>
          <w:lang w:val="vi-VN"/>
        </w:rPr>
        <w:t>⇒</w:t>
      </w:r>
      <w:r w:rsidRPr="00F22BA5">
        <w:rPr>
          <w:rFonts w:ascii="Times New Roman" w:hAnsi="Times New Roman" w:cs="Times New Roman"/>
          <w:sz w:val="26"/>
          <w:szCs w:val="26"/>
          <w:lang w:val="vi-VN"/>
        </w:rPr>
        <w:t xml:space="preserve"> Tài chính an toàn.</w:t>
      </w:r>
    </w:p>
    <w:p w14:paraId="534F64C0" w14:textId="77777777" w:rsidR="004B6704" w:rsidRPr="00F22BA5" w:rsidRDefault="004B6704" w:rsidP="004B6704">
      <w:pPr>
        <w:numPr>
          <w:ilvl w:val="0"/>
          <w:numId w:val="26"/>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Hệ số =1: Khả năng thanh toán tạm đủ, cần theo dõi dòng tiền chặt chẽ.</w:t>
      </w:r>
    </w:p>
    <w:p w14:paraId="27D8E9B3" w14:textId="77777777" w:rsidR="004B6704" w:rsidRPr="00F22BA5" w:rsidRDefault="004B6704" w:rsidP="004B6704">
      <w:pPr>
        <w:numPr>
          <w:ilvl w:val="0"/>
          <w:numId w:val="26"/>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lastRenderedPageBreak/>
        <w:t>Hệ số &lt;1:  Rủi ro mất khả năng thanh toán nếu không nhanh chóng thu hồi công nợ hoặc có thêm dòng tiền.</w:t>
      </w:r>
    </w:p>
    <w:p w14:paraId="478A4A99" w14:textId="77777777" w:rsidR="004B6704" w:rsidRDefault="004B6704" w:rsidP="004B6704">
      <w:pPr>
        <w:spacing w:line="312" w:lineRule="auto"/>
        <w:ind w:firstLine="720"/>
        <w:jc w:val="both"/>
        <w:rPr>
          <w:rFonts w:ascii="Times New Roman" w:hAnsi="Times New Roman" w:cs="Times New Roman"/>
          <w:i/>
          <w:sz w:val="26"/>
          <w:szCs w:val="26"/>
        </w:rPr>
      </w:pPr>
      <w:r w:rsidRPr="00F22BA5">
        <w:rPr>
          <w:rFonts w:ascii="Times New Roman" w:hAnsi="Times New Roman" w:cs="Times New Roman"/>
          <w:i/>
          <w:sz w:val="26"/>
          <w:szCs w:val="26"/>
          <w:lang w:val="vi-VN"/>
        </w:rPr>
        <w:t>Ảnh hưởng đến an toàn tài chính:</w:t>
      </w:r>
    </w:p>
    <w:p w14:paraId="2E878E41" w14:textId="47E750AB"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1.2.</w:t>
      </w:r>
      <w:proofErr w:type="gramEnd"/>
      <w:r>
        <w:rPr>
          <w:rFonts w:ascii="Times New Roman" w:hAnsi="Times New Roman" w:cs="Times New Roman"/>
          <w:i/>
          <w:sz w:val="26"/>
          <w:szCs w:val="26"/>
        </w:rPr>
        <w:t xml:space="preserve">  Ảnh hưởng của hệ số thanh toán nhanh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w:t>
      </w:r>
    </w:p>
    <w:p w14:paraId="21693087" w14:textId="77777777" w:rsidR="009C5163" w:rsidRPr="009C5163"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p w14:paraId="1BEB5779" w14:textId="77777777" w:rsidR="009C5163" w:rsidRPr="009C5163" w:rsidRDefault="009C5163" w:rsidP="004B6704">
      <w:pPr>
        <w:spacing w:line="312" w:lineRule="auto"/>
        <w:ind w:firstLine="720"/>
        <w:jc w:val="both"/>
        <w:rPr>
          <w:rFonts w:ascii="Times New Roman" w:hAnsi="Times New Roman" w:cs="Times New Roman"/>
          <w:i/>
          <w:sz w:val="26"/>
          <w:szCs w:val="26"/>
        </w:rPr>
      </w:pPr>
    </w:p>
    <w:tbl>
      <w:tblPr>
        <w:tblW w:w="9048" w:type="dxa"/>
        <w:tblCellMar>
          <w:top w:w="15" w:type="dxa"/>
          <w:left w:w="15" w:type="dxa"/>
          <w:bottom w:w="15" w:type="dxa"/>
          <w:right w:w="15" w:type="dxa"/>
        </w:tblCellMar>
        <w:tblLook w:val="04A0" w:firstRow="1" w:lastRow="0" w:firstColumn="1" w:lastColumn="0" w:noHBand="0" w:noVBand="1"/>
      </w:tblPr>
      <w:tblGrid>
        <w:gridCol w:w="4557"/>
        <w:gridCol w:w="4491"/>
      </w:tblGrid>
      <w:tr w:rsidR="004B6704" w:rsidRPr="00C076C0" w14:paraId="6DE5E144" w14:textId="77777777" w:rsidTr="00897A44">
        <w:trPr>
          <w:trHeight w:val="26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5CAFDE"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D39AC9"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thấp</w:t>
            </w:r>
          </w:p>
        </w:tc>
      </w:tr>
      <w:tr w:rsidR="004B6704" w:rsidRPr="00C076C0" w14:paraId="585857A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FDC26"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Doanh nghiệp có khả năng ứng phó khẩn cấp, có thể trả nợ bằng tiền mặt hoặc tài sản dễ chuyển đổi mà không cần bán tồn kho.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D6DC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Dễ mất khả năng thanh toán, nếu các khoản phải thu khó thu hồi nhanh, doanh nghiệp không đủ tài sản thanh khoản để trả nợ.</w:t>
            </w:r>
          </w:p>
        </w:tc>
      </w:tr>
      <w:tr w:rsidR="004B6704" w:rsidRPr="00C076C0" w14:paraId="0D4752B3"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28B4D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Hạn chế rủi ro tài chính, tăng khả năng tồn tại trong khủng hoảng hoặc khi doanh thu đột ngột giảm.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AF1F0F"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Gây áp lực vay vốn khẩn cấp, phải vay hoặc bán tài sản với giá thấp để có tiền mặt trả nợ</w:t>
            </w:r>
          </w:p>
        </w:tc>
      </w:tr>
      <w:tr w:rsidR="004B6704" w:rsidRPr="00C076C0" w14:paraId="3B81BF18"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3C651D"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độ uy tín với nhà đầu tư, ngân hàng, chứng tỏ dòng tiền và cơ cấu tài sản ngắn hạn vững mạnh.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FFB2F9"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Ảnh hưởng đến uy tín và xếp hạng tín dụng do nhà đầu tư hoặc ngân hàng có thể đánh giá doanh nghiệp có rủi ro thanh khoản.</w:t>
            </w:r>
          </w:p>
        </w:tc>
      </w:tr>
    </w:tbl>
    <w:p w14:paraId="7B8CBDE1" w14:textId="77777777" w:rsidR="004B6704" w:rsidRPr="00C076C0" w:rsidRDefault="004B6704" w:rsidP="004B6704">
      <w:pPr>
        <w:spacing w:line="312" w:lineRule="auto"/>
        <w:jc w:val="both"/>
        <w:rPr>
          <w:rFonts w:ascii="Times New Roman" w:hAnsi="Times New Roman" w:cs="Times New Roman"/>
          <w:sz w:val="26"/>
          <w:szCs w:val="26"/>
        </w:rPr>
      </w:pPr>
    </w:p>
    <w:p w14:paraId="615D497D" w14:textId="77777777" w:rsidR="004B6704" w:rsidRPr="00C076C0" w:rsidRDefault="004B6704" w:rsidP="004B6704">
      <w:pPr>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b/>
          <w:bCs/>
          <w:i/>
          <w:iCs/>
          <w:sz w:val="26"/>
          <w:szCs w:val="26"/>
        </w:rPr>
        <w:t>c. Hệ số khả năng thanh toán tức thời</w:t>
      </w:r>
    </w:p>
    <w:p w14:paraId="52D917DA" w14:textId="77777777" w:rsidR="004B6704" w:rsidRPr="00C076C0" w:rsidRDefault="004B6704" w:rsidP="004B6704">
      <w:pPr>
        <w:spacing w:line="312" w:lineRule="auto"/>
        <w:ind w:firstLine="851"/>
        <w:jc w:val="both"/>
        <w:rPr>
          <w:rFonts w:ascii="Times New Roman" w:hAnsi="Times New Roman" w:cs="Times New Roman"/>
          <w:sz w:val="26"/>
          <w:szCs w:val="26"/>
        </w:rPr>
      </w:pPr>
      <w:r w:rsidRPr="00C076C0">
        <w:rPr>
          <w:rFonts w:ascii="Times New Roman" w:hAnsi="Times New Roman" w:cs="Times New Roman"/>
          <w:sz w:val="26"/>
          <w:szCs w:val="26"/>
        </w:rPr>
        <w:t>   Hệ số khả năng thanh toán tức thời đo lường khả năng doanh nghiệp sử dụng ngay lập tức các khoản tiền mặt hoặc các tài sản tương đương tiền (như tiền gửi ngân hàng, chứng khoán ngắn hạn) để thanh toán nợ ngắn hạn.</w:t>
      </w:r>
    </w:p>
    <w:p w14:paraId="6D74DF0F" w14:textId="77777777" w:rsidR="004B6704" w:rsidRPr="00C076C0" w:rsidRDefault="004B6704" w:rsidP="004B6704">
      <w:pPr>
        <w:spacing w:line="312" w:lineRule="auto"/>
        <w:jc w:val="both"/>
        <w:rPr>
          <w:rFonts w:ascii="Times New Roman" w:hAnsi="Times New Roman" w:cs="Times New Roman"/>
          <w:sz w:val="26"/>
          <w:szCs w:val="26"/>
          <w:lang w:val="vi-VN"/>
        </w:rPr>
      </w:pPr>
      <w:r w:rsidRPr="00C076C0">
        <w:rPr>
          <w:rFonts w:ascii="Times New Roman" w:hAnsi="Times New Roman" w:cs="Times New Roman"/>
          <w:sz w:val="26"/>
          <w:szCs w:val="26"/>
        </w:rPr>
        <w:t xml:space="preserve">            </w:t>
      </w:r>
      <w:r w:rsidRPr="00C076C0">
        <w:rPr>
          <w:rFonts w:ascii="Times New Roman" w:hAnsi="Times New Roman" w:cs="Times New Roman"/>
          <w:noProof/>
          <w:sz w:val="26"/>
          <w:szCs w:val="26"/>
          <w:lang w:eastAsia="en-US"/>
        </w:rPr>
        <w:drawing>
          <wp:inline distT="0" distB="0" distL="0" distR="0" wp14:anchorId="407ACE81" wp14:editId="4251078D">
            <wp:extent cx="4373880" cy="411480"/>
            <wp:effectExtent l="0" t="0" r="7620" b="7620"/>
            <wp:docPr id="54630666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73880" cy="411480"/>
                    </a:xfrm>
                    <a:prstGeom prst="rect">
                      <a:avLst/>
                    </a:prstGeom>
                    <a:noFill/>
                    <a:ln>
                      <a:noFill/>
                    </a:ln>
                  </pic:spPr>
                </pic:pic>
              </a:graphicData>
            </a:graphic>
          </wp:inline>
        </w:drawing>
      </w:r>
      <w:r w:rsidRPr="00C076C0">
        <w:rPr>
          <w:rFonts w:ascii="Times New Roman" w:hAnsi="Times New Roman" w:cs="Times New Roman"/>
          <w:sz w:val="26"/>
          <w:szCs w:val="26"/>
        </w:rPr>
        <w:t xml:space="preserve">      </w:t>
      </w:r>
      <w:r w:rsidRPr="00C076C0">
        <w:rPr>
          <w:rFonts w:ascii="Times New Roman" w:hAnsi="Times New Roman" w:cs="Times New Roman"/>
          <w:sz w:val="26"/>
          <w:szCs w:val="26"/>
          <w:lang w:val="vi-VN"/>
        </w:rPr>
        <w:t>(</w:t>
      </w:r>
      <w:r w:rsidRPr="00C076C0">
        <w:rPr>
          <w:rFonts w:ascii="Times New Roman" w:hAnsi="Times New Roman" w:cs="Times New Roman"/>
          <w:sz w:val="26"/>
          <w:szCs w:val="26"/>
        </w:rPr>
        <w:t>đ/đ</w:t>
      </w:r>
      <w:r w:rsidRPr="00C076C0">
        <w:rPr>
          <w:rFonts w:ascii="Times New Roman" w:hAnsi="Times New Roman" w:cs="Times New Roman"/>
          <w:sz w:val="26"/>
          <w:szCs w:val="26"/>
          <w:lang w:val="vi-VN"/>
        </w:rPr>
        <w:t>)     [3]</w:t>
      </w:r>
    </w:p>
    <w:p w14:paraId="310A7103" w14:textId="7ED66389" w:rsidR="004B6704" w:rsidRPr="00C076C0" w:rsidRDefault="004B6704" w:rsidP="00E54ABA">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w:t>
      </w:r>
    </w:p>
    <w:p w14:paraId="789E4F23"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w:t>
      </w:r>
      <w:r w:rsidRPr="00C076C0">
        <w:rPr>
          <w:rFonts w:ascii="Times New Roman" w:hAnsi="Times New Roman" w:cs="Times New Roman"/>
          <w:sz w:val="26"/>
          <w:szCs w:val="26"/>
          <w:u w:val="single"/>
        </w:rPr>
        <w:t>Ý nghĩa</w:t>
      </w:r>
      <w:r w:rsidRPr="00C076C0">
        <w:rPr>
          <w:rFonts w:ascii="Times New Roman" w:hAnsi="Times New Roman" w:cs="Times New Roman"/>
          <w:sz w:val="26"/>
          <w:szCs w:val="26"/>
        </w:rPr>
        <w:t>:</w:t>
      </w:r>
    </w:p>
    <w:p w14:paraId="6C4EE3C1"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Đây là thước đo tính thanh khoản tuyệt đối của doanh nghiệp – thể hiện khả năng trả nợ ngay lập tức mà không cần thu tiền bán hàng, thu công nợ hoặc huy động vốn.</w:t>
      </w:r>
    </w:p>
    <w:p w14:paraId="29844EA3"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Phản ánh dự trữ tài chính phòng ngừa rủi ro như: suy giảm doanh thu, thị trường biến động, chi phí đột biến, lãi suất tăng...</w:t>
      </w:r>
    </w:p>
    <w:p w14:paraId="53C98FDE" w14:textId="77777777" w:rsidR="004B6704" w:rsidRPr="00C076C0" w:rsidRDefault="004B6704" w:rsidP="004B6704">
      <w:pPr>
        <w:numPr>
          <w:ilvl w:val="0"/>
          <w:numId w:val="6"/>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lastRenderedPageBreak/>
        <w:t>Hệ số &gt;1: doanh nghiệp có đủ tiền mặt và các tài sản tương đương tiền để thanh toán ngay lập tức các khoản nợ ngắn hạn mà không cần phải chờ thu hồi các khoản phải thu hoặc bán hàng tồn kho</w:t>
      </w:r>
      <w:r w:rsidRPr="00C076C0">
        <w:rPr>
          <w:rFonts w:ascii="Cambria Math" w:hAnsi="Cambria Math" w:cs="Cambria Math"/>
          <w:sz w:val="26"/>
          <w:szCs w:val="26"/>
        </w:rPr>
        <w:t>⇒</w:t>
      </w:r>
      <w:r w:rsidRPr="00C076C0">
        <w:rPr>
          <w:rFonts w:ascii="Times New Roman" w:hAnsi="Times New Roman" w:cs="Times New Roman"/>
          <w:sz w:val="26"/>
          <w:szCs w:val="26"/>
        </w:rPr>
        <w:t xml:space="preserve"> Tài chính cực kỳ vững mạnh.</w:t>
      </w:r>
    </w:p>
    <w:p w14:paraId="76A10A84" w14:textId="77777777" w:rsidR="004B6704" w:rsidRPr="00C076C0" w:rsidRDefault="004B6704" w:rsidP="004B6704">
      <w:pPr>
        <w:numPr>
          <w:ilvl w:val="0"/>
          <w:numId w:val="6"/>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Hệ số =1: doanh nghiệp có thể thanh toán toàn bộ nợ ngay lập tức bằng tiền mặt </w:t>
      </w:r>
      <w:r w:rsidRPr="00C076C0">
        <w:rPr>
          <w:rFonts w:ascii="Cambria Math" w:hAnsi="Cambria Math" w:cs="Cambria Math"/>
          <w:sz w:val="26"/>
          <w:szCs w:val="26"/>
        </w:rPr>
        <w:t>⇒</w:t>
      </w:r>
      <w:r w:rsidRPr="00C076C0">
        <w:rPr>
          <w:rFonts w:ascii="Times New Roman" w:hAnsi="Times New Roman" w:cs="Times New Roman"/>
          <w:sz w:val="26"/>
          <w:szCs w:val="26"/>
        </w:rPr>
        <w:t xml:space="preserve"> An toàn cao.</w:t>
      </w:r>
    </w:p>
    <w:p w14:paraId="1B1D661D" w14:textId="77777777" w:rsidR="004B6704" w:rsidRPr="00C076C0" w:rsidRDefault="004B6704" w:rsidP="004B6704">
      <w:pPr>
        <w:numPr>
          <w:ilvl w:val="0"/>
          <w:numId w:val="6"/>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Hệ số &lt;1: doanh nghiệp không đủ tiền mặt và các khoản tương đương tiền để thanh toán nợ ngắn hạn ngay lập tức cho thấy rủi ro trong thanh khoản tức thời</w:t>
      </w:r>
    </w:p>
    <w:p w14:paraId="51E31943" w14:textId="77777777" w:rsidR="004B6704" w:rsidRDefault="004B6704" w:rsidP="004B6704">
      <w:pPr>
        <w:spacing w:line="312" w:lineRule="auto"/>
        <w:jc w:val="both"/>
        <w:rPr>
          <w:rFonts w:ascii="Times New Roman" w:hAnsi="Times New Roman" w:cs="Times New Roman"/>
          <w:i/>
          <w:sz w:val="26"/>
          <w:szCs w:val="26"/>
        </w:rPr>
      </w:pPr>
      <w:r w:rsidRPr="00C076C0">
        <w:rPr>
          <w:rFonts w:ascii="Times New Roman" w:hAnsi="Times New Roman" w:cs="Times New Roman"/>
          <w:i/>
          <w:sz w:val="26"/>
          <w:szCs w:val="26"/>
        </w:rPr>
        <w:t xml:space="preserve">Ảnh hưởng đến </w:t>
      </w:r>
      <w:proofErr w:type="gramStart"/>
      <w:r w:rsidRPr="00C076C0">
        <w:rPr>
          <w:rFonts w:ascii="Times New Roman" w:hAnsi="Times New Roman" w:cs="Times New Roman"/>
          <w:i/>
          <w:sz w:val="26"/>
          <w:szCs w:val="26"/>
        </w:rPr>
        <w:t>an</w:t>
      </w:r>
      <w:proofErr w:type="gramEnd"/>
      <w:r w:rsidRPr="00C076C0">
        <w:rPr>
          <w:rFonts w:ascii="Times New Roman" w:hAnsi="Times New Roman" w:cs="Times New Roman"/>
          <w:i/>
          <w:sz w:val="26"/>
          <w:szCs w:val="26"/>
        </w:rPr>
        <w:t xml:space="preserve"> toàn tài chính:</w:t>
      </w:r>
    </w:p>
    <w:p w14:paraId="18A455FB" w14:textId="2BDECDD7"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1.3.</w:t>
      </w:r>
      <w:proofErr w:type="gramEnd"/>
      <w:r>
        <w:rPr>
          <w:rFonts w:ascii="Times New Roman" w:hAnsi="Times New Roman" w:cs="Times New Roman"/>
          <w:i/>
          <w:sz w:val="26"/>
          <w:szCs w:val="26"/>
        </w:rPr>
        <w:t xml:space="preserve"> Ảnh hưởng của hệ số thanh toán tức thời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w:t>
      </w:r>
    </w:p>
    <w:p w14:paraId="738348A9" w14:textId="77777777" w:rsidR="009C5163" w:rsidRPr="009C5163"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p w14:paraId="100E88D7" w14:textId="77777777" w:rsidR="009C5163" w:rsidRPr="00C076C0" w:rsidRDefault="009C5163" w:rsidP="004B6704">
      <w:pPr>
        <w:spacing w:line="312" w:lineRule="auto"/>
        <w:jc w:val="both"/>
        <w:rPr>
          <w:rFonts w:ascii="Times New Roman" w:hAnsi="Times New Roman" w:cs="Times New Roman"/>
          <w:i/>
          <w:sz w:val="26"/>
          <w:szCs w:val="26"/>
        </w:rPr>
      </w:pPr>
    </w:p>
    <w:tbl>
      <w:tblPr>
        <w:tblW w:w="9048" w:type="dxa"/>
        <w:tblCellMar>
          <w:top w:w="15" w:type="dxa"/>
          <w:left w:w="15" w:type="dxa"/>
          <w:bottom w:w="15" w:type="dxa"/>
          <w:right w:w="15" w:type="dxa"/>
        </w:tblCellMar>
        <w:tblLook w:val="04A0" w:firstRow="1" w:lastRow="0" w:firstColumn="1" w:lastColumn="0" w:noHBand="0" w:noVBand="1"/>
      </w:tblPr>
      <w:tblGrid>
        <w:gridCol w:w="4489"/>
        <w:gridCol w:w="4559"/>
      </w:tblGrid>
      <w:tr w:rsidR="004B6704" w:rsidRPr="00C076C0" w14:paraId="4F6CF3A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CF80F"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D50D52"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thấp</w:t>
            </w:r>
          </w:p>
        </w:tc>
      </w:tr>
      <w:tr w:rsidR="004B6704" w:rsidRPr="00C076C0" w14:paraId="256F54C7"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CB569C"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Doanh nghiệp có khả năng chi trả tức thời, có thể thanh toán mọi nghĩa vụ ngắn hạn mà không cần chuyển đổi tài sản khác.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C66076"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Dễ mất khả năng thanh toán nếu các khoản phải thu khó thu hồi nhanh, doanh nghiệp không đủ tài sản thanh khoản để trả nợ.</w:t>
            </w:r>
          </w:p>
        </w:tc>
      </w:tr>
      <w:tr w:rsidR="004B6704" w:rsidRPr="00C076C0" w14:paraId="770B5932"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141BD4"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Rủi ro tài chính thấp, hạn chế tối đa khả năng mất thanh khoản, kể cả trong khủng hoảng.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7C5D1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Gây áp lực vay vốn khẩn cấp hải vay hoặc bán tài sản với giá thấp để có tiền mặt trả nợ.</w:t>
            </w:r>
          </w:p>
        </w:tc>
      </w:tr>
      <w:tr w:rsidR="004B6704" w:rsidRPr="00C076C0" w14:paraId="174388B6"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69D55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Phản ánh doanh nghiệp đang dự trữ tiền mặt quá mức, gây lãng phí cơ hội sinh lời từ đầu tư.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294B89"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Ảnh hưởng đến uy tín và xếp hạng tín dụng, nhà đầu tư hoặc ngân hàng có thể đánh giá doanh nghiệp có rủi ro thanh khoản. </w:t>
            </w:r>
          </w:p>
        </w:tc>
      </w:tr>
    </w:tbl>
    <w:p w14:paraId="14E05B9A" w14:textId="77777777" w:rsidR="004B6704" w:rsidRPr="00C076C0" w:rsidRDefault="004B6704" w:rsidP="004B6704">
      <w:pPr>
        <w:spacing w:line="312" w:lineRule="auto"/>
        <w:jc w:val="both"/>
        <w:rPr>
          <w:rFonts w:ascii="Times New Roman" w:hAnsi="Times New Roman" w:cs="Times New Roman"/>
          <w:sz w:val="26"/>
          <w:szCs w:val="26"/>
        </w:rPr>
      </w:pPr>
    </w:p>
    <w:p w14:paraId="7E26E03C" w14:textId="77777777" w:rsidR="004B6704" w:rsidRPr="00C076C0" w:rsidRDefault="004B6704" w:rsidP="004B6704">
      <w:pPr>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b/>
          <w:bCs/>
          <w:i/>
          <w:iCs/>
          <w:sz w:val="26"/>
          <w:szCs w:val="26"/>
        </w:rPr>
        <w:t>d. Hệ số khả năng thanh toán lãi vay</w:t>
      </w:r>
    </w:p>
    <w:p w14:paraId="34754DF7"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   Hệ số khả năng thanh toán lãi vay là đánh giá khả năng của doanh nghiệp trong việc tạo ra lợi nhuận từ hoạt động kinh doanh để chi trả chi phí lãi vay. Là thước đo sức mạnh tài chính và mức độ phụ thuộc vào vốn vay.</w:t>
      </w:r>
    </w:p>
    <w:p w14:paraId="133CD36D" w14:textId="77777777" w:rsidR="004B6704" w:rsidRPr="00C076C0" w:rsidRDefault="004B6704" w:rsidP="004B6704">
      <w:pPr>
        <w:spacing w:line="312" w:lineRule="auto"/>
        <w:ind w:firstLine="720"/>
        <w:jc w:val="both"/>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inline distT="0" distB="0" distL="0" distR="0" wp14:anchorId="399B7A26" wp14:editId="1CA9DA0D">
            <wp:extent cx="3505200" cy="388620"/>
            <wp:effectExtent l="0" t="0" r="0" b="0"/>
            <wp:docPr id="105438113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05200" cy="388620"/>
                    </a:xfrm>
                    <a:prstGeom prst="rect">
                      <a:avLst/>
                    </a:prstGeom>
                    <a:noFill/>
                    <a:ln>
                      <a:noFill/>
                    </a:ln>
                  </pic:spPr>
                </pic:pic>
              </a:graphicData>
            </a:graphic>
          </wp:inline>
        </w:drawing>
      </w:r>
      <w:r w:rsidRPr="00C076C0">
        <w:rPr>
          <w:rFonts w:ascii="Times New Roman" w:hAnsi="Times New Roman" w:cs="Times New Roman"/>
          <w:sz w:val="26"/>
          <w:szCs w:val="26"/>
        </w:rPr>
        <w:t xml:space="preserve">                </w:t>
      </w:r>
      <w:r w:rsidRPr="00C076C0">
        <w:rPr>
          <w:rFonts w:ascii="Times New Roman" w:hAnsi="Times New Roman" w:cs="Times New Roman"/>
          <w:sz w:val="26"/>
          <w:szCs w:val="26"/>
          <w:lang w:val="vi-VN"/>
        </w:rPr>
        <w:t>(</w:t>
      </w:r>
      <w:r w:rsidRPr="00C076C0">
        <w:rPr>
          <w:rFonts w:ascii="Times New Roman" w:hAnsi="Times New Roman" w:cs="Times New Roman"/>
          <w:sz w:val="26"/>
          <w:szCs w:val="26"/>
        </w:rPr>
        <w:t>đ/đ</w:t>
      </w:r>
      <w:r w:rsidRPr="00C076C0">
        <w:rPr>
          <w:rFonts w:ascii="Times New Roman" w:hAnsi="Times New Roman" w:cs="Times New Roman"/>
          <w:sz w:val="26"/>
          <w:szCs w:val="26"/>
          <w:lang w:val="vi-VN"/>
        </w:rPr>
        <w:t>)     [4]</w:t>
      </w:r>
    </w:p>
    <w:p w14:paraId="1A1990D9" w14:textId="77777777" w:rsidR="003803F6"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w:t>
      </w:r>
    </w:p>
    <w:p w14:paraId="1F87B625" w14:textId="61D69CFC"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lastRenderedPageBreak/>
        <w:t xml:space="preserve"> Trong đó: </w:t>
      </w:r>
    </w:p>
    <w:p w14:paraId="3463701A" w14:textId="77777777" w:rsidR="004B6704" w:rsidRPr="00C076C0" w:rsidRDefault="004B6704" w:rsidP="004B6704">
      <w:pPr>
        <w:pStyle w:val="ListParagraph"/>
        <w:numPr>
          <w:ilvl w:val="0"/>
          <w:numId w:val="27"/>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EBIT (Earnings Before Interest and Taxes): lợi nhuận từ hoạt động kinh doanh trước khi trừ lãi vay và thuế.</w:t>
      </w:r>
    </w:p>
    <w:p w14:paraId="65D053EF" w14:textId="77777777" w:rsidR="004B6704" w:rsidRPr="00C076C0" w:rsidRDefault="004B6704" w:rsidP="004B6704">
      <w:pPr>
        <w:pStyle w:val="ListParagraph"/>
        <w:numPr>
          <w:ilvl w:val="0"/>
          <w:numId w:val="27"/>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Chi phí lãi vay: là số tiền lãi mà doanh nghiệp phải trả cho các khoản vay.</w:t>
      </w:r>
    </w:p>
    <w:p w14:paraId="0430E466"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w:t>
      </w:r>
      <w:r w:rsidRPr="00C076C0">
        <w:rPr>
          <w:rFonts w:ascii="Times New Roman" w:hAnsi="Times New Roman" w:cs="Times New Roman"/>
          <w:sz w:val="26"/>
          <w:szCs w:val="26"/>
          <w:u w:val="single"/>
        </w:rPr>
        <w:t>Ý nghĩa</w:t>
      </w:r>
      <w:r w:rsidRPr="00C076C0">
        <w:rPr>
          <w:rFonts w:ascii="Times New Roman" w:hAnsi="Times New Roman" w:cs="Times New Roman"/>
          <w:sz w:val="26"/>
          <w:szCs w:val="26"/>
        </w:rPr>
        <w:t>:</w:t>
      </w:r>
    </w:p>
    <w:p w14:paraId="62B6D819"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Chỉ tiêu cho biết doanh nghiệp kiếm được bao nhiêu lợi nhuận từ hoạt động để trả 1 đồng lãi vay.</w:t>
      </w:r>
    </w:p>
    <w:p w14:paraId="1B8D1605"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Giúp đánh giá khả năng gánh nặng nợ vay của doanh nghiệp và mức độ an toàn khi vay vốn. Là chỉ tiêu quan trọng đối với các tổ chức tín dụng, nhà đầu tư khi đánh giá mức độ rủi ro tín dụng.</w:t>
      </w:r>
    </w:p>
    <w:p w14:paraId="0E92769E" w14:textId="77777777" w:rsidR="004B6704" w:rsidRPr="00C076C0" w:rsidRDefault="004B6704" w:rsidP="004B6704">
      <w:pPr>
        <w:pStyle w:val="ListParagraph"/>
        <w:numPr>
          <w:ilvl w:val="0"/>
          <w:numId w:val="28"/>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Hệ số &gt;3: Doanh nghiệp có khả năng thanh toán lãi vay rất tốt </w:t>
      </w:r>
      <w:r w:rsidRPr="00C076C0">
        <w:rPr>
          <w:rFonts w:ascii="Cambria Math" w:hAnsi="Cambria Math" w:cs="Cambria Math"/>
          <w:sz w:val="26"/>
          <w:szCs w:val="26"/>
        </w:rPr>
        <w:t>⇒</w:t>
      </w:r>
      <w:r w:rsidRPr="00C076C0">
        <w:rPr>
          <w:rFonts w:ascii="Times New Roman" w:hAnsi="Times New Roman" w:cs="Times New Roman"/>
          <w:sz w:val="26"/>
          <w:szCs w:val="26"/>
        </w:rPr>
        <w:t xml:space="preserve"> Tài chính an toàn.</w:t>
      </w:r>
    </w:p>
    <w:p w14:paraId="23DD32BD" w14:textId="77777777" w:rsidR="004B6704" w:rsidRPr="00C076C0" w:rsidRDefault="004B6704" w:rsidP="004B6704">
      <w:pPr>
        <w:pStyle w:val="ListParagraph"/>
        <w:numPr>
          <w:ilvl w:val="0"/>
          <w:numId w:val="28"/>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1 ≤ Hệ số ≤ 3: Khả năng thanh toán lãi vay tạm ổn, nhưng có thể gặp rủi ro nếu EBIT giảm.</w:t>
      </w:r>
    </w:p>
    <w:p w14:paraId="77F03DFF" w14:textId="77777777" w:rsidR="004B6704" w:rsidRPr="00C076C0" w:rsidRDefault="004B6704" w:rsidP="004B6704">
      <w:pPr>
        <w:pStyle w:val="ListParagraph"/>
        <w:numPr>
          <w:ilvl w:val="0"/>
          <w:numId w:val="28"/>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Hệ số &lt;1: Doanh nghiệp không đủ lợi nhuận để trả lãi vay </w:t>
      </w:r>
      <w:r w:rsidRPr="00C076C0">
        <w:rPr>
          <w:rFonts w:ascii="Cambria Math" w:hAnsi="Cambria Math" w:cs="Cambria Math"/>
          <w:sz w:val="26"/>
          <w:szCs w:val="26"/>
        </w:rPr>
        <w:t>⇒</w:t>
      </w:r>
      <w:r w:rsidRPr="00C076C0">
        <w:rPr>
          <w:rFonts w:ascii="Times New Roman" w:hAnsi="Times New Roman" w:cs="Times New Roman"/>
          <w:sz w:val="26"/>
          <w:szCs w:val="26"/>
        </w:rPr>
        <w:t xml:space="preserve"> Rủi ro mất khả năng thanh toán cao.</w:t>
      </w:r>
    </w:p>
    <w:p w14:paraId="56874876" w14:textId="0C7841EF" w:rsidR="004B6704" w:rsidRDefault="004B6704" w:rsidP="009C5163">
      <w:pPr>
        <w:spacing w:after="160" w:line="259" w:lineRule="auto"/>
        <w:rPr>
          <w:rFonts w:ascii="Times New Roman" w:hAnsi="Times New Roman" w:cs="Times New Roman"/>
          <w:i/>
          <w:sz w:val="26"/>
          <w:szCs w:val="26"/>
        </w:rPr>
      </w:pPr>
      <w:r w:rsidRPr="00C076C0">
        <w:rPr>
          <w:rFonts w:ascii="Times New Roman" w:hAnsi="Times New Roman" w:cs="Times New Roman"/>
          <w:i/>
          <w:sz w:val="26"/>
          <w:szCs w:val="26"/>
        </w:rPr>
        <w:t xml:space="preserve">Ảnh hưởng đến </w:t>
      </w:r>
      <w:proofErr w:type="gramStart"/>
      <w:r w:rsidRPr="00C076C0">
        <w:rPr>
          <w:rFonts w:ascii="Times New Roman" w:hAnsi="Times New Roman" w:cs="Times New Roman"/>
          <w:i/>
          <w:sz w:val="26"/>
          <w:szCs w:val="26"/>
        </w:rPr>
        <w:t>an</w:t>
      </w:r>
      <w:proofErr w:type="gramEnd"/>
      <w:r w:rsidRPr="00C076C0">
        <w:rPr>
          <w:rFonts w:ascii="Times New Roman" w:hAnsi="Times New Roman" w:cs="Times New Roman"/>
          <w:i/>
          <w:sz w:val="26"/>
          <w:szCs w:val="26"/>
        </w:rPr>
        <w:t xml:space="preserve"> toàn tài chính:</w:t>
      </w:r>
    </w:p>
    <w:p w14:paraId="4410F21B" w14:textId="7EDB7952"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1.4.</w:t>
      </w:r>
      <w:proofErr w:type="gramEnd"/>
      <w:r>
        <w:rPr>
          <w:rFonts w:ascii="Times New Roman" w:hAnsi="Times New Roman" w:cs="Times New Roman"/>
          <w:i/>
          <w:sz w:val="26"/>
          <w:szCs w:val="26"/>
        </w:rPr>
        <w:t xml:space="preserve"> Ảnh hưởng của hệ số thanh toán lãi vay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w:t>
      </w:r>
    </w:p>
    <w:p w14:paraId="7C8637A0" w14:textId="741C6687" w:rsidR="009C5163" w:rsidRPr="00C076C0"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476"/>
        <w:gridCol w:w="4572"/>
      </w:tblGrid>
      <w:tr w:rsidR="004B6704" w:rsidRPr="00C076C0" w14:paraId="452BBD6D"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3B534"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7B59AC"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thấp</w:t>
            </w:r>
          </w:p>
        </w:tc>
      </w:tr>
      <w:tr w:rsidR="004B6704" w:rsidRPr="00C076C0" w14:paraId="02B926F6"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0EE34D"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Doanh nghiệp có khả năng trả lãi vay ổn định, tăng khả năng vay vốn, mở rộng đầu tư khi cần thiết.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2DF9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Không đủ lợi nhuận để trả lãi vay, ó thể phải dùng nguồn khác như tiền mặt hoặc vay mới để đảo nợ.</w:t>
            </w:r>
          </w:p>
        </w:tc>
      </w:tr>
      <w:tr w:rsidR="004B6704" w:rsidRPr="00C076C0" w14:paraId="12189122"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8633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uy tín tín dụng khiến cho ngân hàng và nhà đầu tư yên tâm hơn khi hợp tác.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A20EA5"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rủi ro mất khả năng thanh toán trong điều kiện lãi suất tăng hoặc doanh thu sụt giảm.</w:t>
            </w:r>
          </w:p>
        </w:tc>
      </w:tr>
      <w:tr w:rsidR="004B6704" w:rsidRPr="00C076C0" w14:paraId="0811B9CD"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8479E0"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dư địa để chống đỡ nếu EBIT sụt giảm tạm thời, giảm rủi ro phá sản.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446CE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Giảm khả năng tiếp cận tín dụng do bị đánh giá rủi ro cao, lãi suất vay tăng hoặc không được cấp vốn.</w:t>
            </w:r>
          </w:p>
        </w:tc>
      </w:tr>
    </w:tbl>
    <w:p w14:paraId="2B119A95" w14:textId="77777777" w:rsidR="004B6704" w:rsidRPr="00C076C0" w:rsidRDefault="004B6704" w:rsidP="005B0517">
      <w:pPr>
        <w:pStyle w:val="Heading3"/>
      </w:pPr>
      <w:bookmarkStart w:id="103" w:name="_Toc197781154"/>
      <w:bookmarkStart w:id="104" w:name="_Toc197781436"/>
      <w:bookmarkStart w:id="105" w:name="_Toc198281657"/>
      <w:bookmarkStart w:id="106" w:name="_Toc198284442"/>
      <w:bookmarkStart w:id="107" w:name="_Toc198709967"/>
      <w:r w:rsidRPr="00C076C0">
        <w:t>1.3.2. Nhóm chỉ tiêu phản ánh cơ cấu nguồn vốn và tài sản</w:t>
      </w:r>
      <w:bookmarkEnd w:id="103"/>
      <w:bookmarkEnd w:id="104"/>
      <w:bookmarkEnd w:id="105"/>
      <w:bookmarkEnd w:id="106"/>
      <w:bookmarkEnd w:id="107"/>
    </w:p>
    <w:p w14:paraId="5D6406F1" w14:textId="77777777" w:rsidR="004B6704" w:rsidRPr="00AF3D5D" w:rsidRDefault="004B6704" w:rsidP="004B6704">
      <w:pPr>
        <w:spacing w:line="312" w:lineRule="auto"/>
        <w:ind w:left="993" w:hanging="284"/>
        <w:jc w:val="both"/>
        <w:rPr>
          <w:rFonts w:ascii="Times New Roman" w:hAnsi="Times New Roman" w:cs="Times New Roman"/>
          <w:sz w:val="26"/>
          <w:szCs w:val="26"/>
          <w:lang w:val="vi-VN"/>
        </w:rPr>
      </w:pPr>
      <w:r w:rsidRPr="00AF3D5D">
        <w:rPr>
          <w:rFonts w:ascii="Times New Roman" w:hAnsi="Times New Roman" w:cs="Times New Roman"/>
          <w:b/>
          <w:bCs/>
          <w:i/>
          <w:iCs/>
          <w:sz w:val="26"/>
          <w:szCs w:val="26"/>
          <w:lang w:val="vi-VN"/>
        </w:rPr>
        <w:t>a. Hệ số nợ trên tổng tài sản</w:t>
      </w:r>
    </w:p>
    <w:p w14:paraId="616B29F5" w14:textId="77777777"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b/>
          <w:bCs/>
          <w:sz w:val="26"/>
          <w:szCs w:val="26"/>
          <w:lang w:val="vi-VN"/>
        </w:rPr>
        <w:lastRenderedPageBreak/>
        <w:t>  </w:t>
      </w:r>
      <w:r w:rsidRPr="00AF3D5D">
        <w:rPr>
          <w:rFonts w:ascii="Times New Roman" w:hAnsi="Times New Roman" w:cs="Times New Roman"/>
          <w:sz w:val="26"/>
          <w:szCs w:val="26"/>
          <w:lang w:val="vi-VN"/>
        </w:rPr>
        <w:t> Hệ số nợ trên tổng tài sản (</w:t>
      </w:r>
      <w:r w:rsidRPr="00AF3D5D">
        <w:rPr>
          <w:rFonts w:ascii="Times New Roman" w:hAnsi="Times New Roman" w:cs="Times New Roman"/>
          <w:i/>
          <w:iCs/>
          <w:sz w:val="26"/>
          <w:szCs w:val="26"/>
          <w:lang w:val="vi-VN"/>
        </w:rPr>
        <w:t>Debt to Total Assets Ratio</w:t>
      </w:r>
      <w:r w:rsidRPr="00AF3D5D">
        <w:rPr>
          <w:rFonts w:ascii="Times New Roman" w:hAnsi="Times New Roman" w:cs="Times New Roman"/>
          <w:sz w:val="26"/>
          <w:szCs w:val="26"/>
          <w:lang w:val="vi-VN"/>
        </w:rPr>
        <w:t>) là một chỉ số tài chính phản ánh tỷ lệ phần trăm tài sản của doanh nghiệp được tài trợ bằng nợ phải trả (nợ vay và nợ khác). Giúp xác định mức độ phụ thuộc của doanh nghiệp vào nguồn vốn vay trong cơ cấu tài chính.</w:t>
      </w:r>
    </w:p>
    <w:p w14:paraId="17AC62DA" w14:textId="705677BC" w:rsidR="004B6704" w:rsidRPr="00E54ABA" w:rsidRDefault="004B6704" w:rsidP="00E54ABA">
      <w:pPr>
        <w:spacing w:line="312" w:lineRule="auto"/>
        <w:jc w:val="center"/>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inline distT="0" distB="0" distL="0" distR="0" wp14:anchorId="3B1EDAD2" wp14:editId="29BD89AD">
            <wp:extent cx="1950720" cy="411480"/>
            <wp:effectExtent l="0" t="0" r="0" b="7620"/>
            <wp:docPr id="1654124834" name="Picture 26"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124834" name="Picture 26" descr="A black background with white text&#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50720" cy="411480"/>
                    </a:xfrm>
                    <a:prstGeom prst="rect">
                      <a:avLst/>
                    </a:prstGeom>
                    <a:noFill/>
                    <a:ln>
                      <a:noFill/>
                    </a:ln>
                  </pic:spPr>
                </pic:pic>
              </a:graphicData>
            </a:graphic>
          </wp:inline>
        </w:drawing>
      </w:r>
      <w:r w:rsidRPr="00F22BA5">
        <w:rPr>
          <w:rFonts w:ascii="Times New Roman" w:hAnsi="Times New Roman" w:cs="Times New Roman"/>
          <w:sz w:val="26"/>
          <w:szCs w:val="26"/>
          <w:lang w:val="vi-VN"/>
        </w:rPr>
        <w:t xml:space="preserve">    </w:t>
      </w:r>
      <w:r w:rsidRPr="00C076C0">
        <w:rPr>
          <w:rFonts w:ascii="Times New Roman" w:hAnsi="Times New Roman" w:cs="Times New Roman"/>
          <w:sz w:val="26"/>
          <w:szCs w:val="26"/>
          <w:lang w:val="vi-VN"/>
        </w:rPr>
        <w:t xml:space="preserve">  (</w:t>
      </w:r>
      <w:r w:rsidRPr="00F22BA5">
        <w:rPr>
          <w:rFonts w:ascii="Times New Roman" w:hAnsi="Times New Roman" w:cs="Times New Roman"/>
          <w:sz w:val="26"/>
          <w:szCs w:val="26"/>
          <w:lang w:val="vi-VN"/>
        </w:rPr>
        <w:t>đ/đ</w:t>
      </w:r>
      <w:r w:rsidRPr="00C076C0">
        <w:rPr>
          <w:rFonts w:ascii="Times New Roman" w:hAnsi="Times New Roman" w:cs="Times New Roman"/>
          <w:sz w:val="26"/>
          <w:szCs w:val="26"/>
          <w:lang w:val="vi-VN"/>
        </w:rPr>
        <w:t>)     [5]</w:t>
      </w:r>
    </w:p>
    <w:p w14:paraId="4B58F3E0"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w:t>
      </w:r>
      <w:r w:rsidRPr="00F22BA5">
        <w:rPr>
          <w:rFonts w:ascii="Times New Roman" w:hAnsi="Times New Roman" w:cs="Times New Roman"/>
          <w:sz w:val="26"/>
          <w:szCs w:val="26"/>
          <w:u w:val="single"/>
          <w:lang w:val="vi-VN"/>
        </w:rPr>
        <w:t>Ý nghĩa</w:t>
      </w:r>
      <w:r w:rsidRPr="00F22BA5">
        <w:rPr>
          <w:rFonts w:ascii="Times New Roman" w:hAnsi="Times New Roman" w:cs="Times New Roman"/>
          <w:sz w:val="26"/>
          <w:szCs w:val="26"/>
          <w:lang w:val="vi-VN"/>
        </w:rPr>
        <w:t>: </w:t>
      </w:r>
    </w:p>
    <w:p w14:paraId="2E90B86F"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Hệ số phản ánh mức độ đòn bẩy tài chính của doanh nghiệp. Cho biết khả năng độc lập tài chính và mức độ rủi ro khi doanh nghiệp đối mặt với suy giảm doanh thu, tăng lãi suất, hoặc khủng hoảng tài chính.</w:t>
      </w:r>
    </w:p>
    <w:p w14:paraId="01004EEC" w14:textId="77777777" w:rsidR="004B6704" w:rsidRPr="00B564BE" w:rsidRDefault="004B6704" w:rsidP="004B6704">
      <w:pPr>
        <w:numPr>
          <w:ilvl w:val="0"/>
          <w:numId w:val="8"/>
        </w:numPr>
        <w:spacing w:line="312" w:lineRule="auto"/>
        <w:jc w:val="both"/>
        <w:rPr>
          <w:rFonts w:ascii="Times New Roman" w:hAnsi="Times New Roman" w:cs="Times New Roman"/>
          <w:sz w:val="26"/>
          <w:szCs w:val="26"/>
          <w:lang w:val="vi-VN"/>
        </w:rPr>
      </w:pPr>
      <w:r w:rsidRPr="00B564BE">
        <w:rPr>
          <w:rFonts w:ascii="Times New Roman" w:hAnsi="Times New Roman" w:cs="Times New Roman"/>
          <w:sz w:val="26"/>
          <w:szCs w:val="26"/>
          <w:lang w:val="vi-VN"/>
        </w:rPr>
        <w:t>Hệ số nợ  &gt;0,5: cho thấy doanh nghiệp phụ thuộc nhiều vào nợ để tài trợ cho hoạt động và đầu tư. Điều này có thể dẫn đến rủi ro tài chính lớn hơn nếu như doanh thu không ổn định</w:t>
      </w:r>
    </w:p>
    <w:p w14:paraId="03E069FD" w14:textId="77777777" w:rsidR="004B6704" w:rsidRPr="00B564BE" w:rsidRDefault="004B6704" w:rsidP="004B6704">
      <w:pPr>
        <w:numPr>
          <w:ilvl w:val="0"/>
          <w:numId w:val="8"/>
        </w:numPr>
        <w:spacing w:line="312" w:lineRule="auto"/>
        <w:jc w:val="both"/>
        <w:rPr>
          <w:rFonts w:ascii="Times New Roman" w:hAnsi="Times New Roman" w:cs="Times New Roman"/>
          <w:sz w:val="26"/>
          <w:szCs w:val="26"/>
          <w:lang w:val="vi-VN"/>
        </w:rPr>
      </w:pPr>
      <w:r w:rsidRPr="00B564BE">
        <w:rPr>
          <w:rFonts w:ascii="Times New Roman" w:hAnsi="Times New Roman" w:cs="Times New Roman"/>
          <w:sz w:val="26"/>
          <w:szCs w:val="26"/>
          <w:lang w:val="vi-VN"/>
        </w:rPr>
        <w:t>Hệ số nợ &lt;0,5: cho thấy doanh nghiệp có tài chính tốt, ít phụ thuộc vào để tài trợ cho hoạt động nên doanh nghiệp có thể dễ dàng vượt qua khó khăn tài chính và sẽ phải chi trả ít lãi vay hơn giúp tăng lợi nhuận ròng.</w:t>
      </w:r>
    </w:p>
    <w:p w14:paraId="534EAF81" w14:textId="1FFBCFB6" w:rsidR="004B6704" w:rsidRDefault="004B6704" w:rsidP="009C5163">
      <w:pPr>
        <w:spacing w:after="160" w:line="259" w:lineRule="auto"/>
        <w:rPr>
          <w:rFonts w:ascii="Times New Roman" w:hAnsi="Times New Roman" w:cs="Times New Roman"/>
          <w:i/>
          <w:sz w:val="26"/>
          <w:szCs w:val="26"/>
        </w:rPr>
      </w:pPr>
      <w:r w:rsidRPr="00B564BE">
        <w:rPr>
          <w:rFonts w:ascii="Times New Roman" w:hAnsi="Times New Roman" w:cs="Times New Roman"/>
          <w:i/>
          <w:sz w:val="26"/>
          <w:szCs w:val="26"/>
          <w:lang w:val="vi-VN"/>
        </w:rPr>
        <w:t>Ảnh hưởng đến an toàn tài chính: </w:t>
      </w:r>
    </w:p>
    <w:p w14:paraId="5D023692" w14:textId="559BAC6B"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1.5.</w:t>
      </w:r>
      <w:proofErr w:type="gramEnd"/>
      <w:r>
        <w:rPr>
          <w:rFonts w:ascii="Times New Roman" w:hAnsi="Times New Roman" w:cs="Times New Roman"/>
          <w:i/>
          <w:sz w:val="26"/>
          <w:szCs w:val="26"/>
        </w:rPr>
        <w:t xml:space="preserve"> Ảnh hưởng của hệ số nợ trên tổng tài sản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w:t>
      </w:r>
    </w:p>
    <w:p w14:paraId="1A5C2B9F" w14:textId="1338C7F0" w:rsidR="009C5163" w:rsidRPr="009C5163"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985"/>
        <w:gridCol w:w="4063"/>
      </w:tblGrid>
      <w:tr w:rsidR="004B6704" w:rsidRPr="00C076C0" w14:paraId="336369F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AFCDBA" w14:textId="77777777" w:rsidR="004B6704" w:rsidRPr="00C076C0" w:rsidRDefault="004B6704" w:rsidP="003803F6">
            <w:pPr>
              <w:jc w:val="center"/>
              <w:rPr>
                <w:rFonts w:ascii="Times New Roman" w:hAnsi="Times New Roman" w:cs="Times New Roman"/>
                <w:b/>
                <w:bCs/>
                <w:sz w:val="26"/>
                <w:szCs w:val="26"/>
              </w:rPr>
            </w:pPr>
            <w:r w:rsidRPr="00C076C0">
              <w:rPr>
                <w:rFonts w:ascii="Times New Roman" w:hAnsi="Times New Roman" w:cs="Times New Roman"/>
                <w:b/>
                <w:bCs/>
                <w:sz w:val="26"/>
                <w:szCs w:val="26"/>
              </w:rPr>
              <w:t>Hệ số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741556" w14:textId="77777777" w:rsidR="004B6704" w:rsidRPr="00C076C0" w:rsidRDefault="004B6704" w:rsidP="003803F6">
            <w:pPr>
              <w:jc w:val="center"/>
              <w:rPr>
                <w:rFonts w:ascii="Times New Roman" w:hAnsi="Times New Roman" w:cs="Times New Roman"/>
                <w:b/>
                <w:bCs/>
                <w:sz w:val="26"/>
                <w:szCs w:val="26"/>
              </w:rPr>
            </w:pPr>
            <w:r w:rsidRPr="00C076C0">
              <w:rPr>
                <w:rFonts w:ascii="Times New Roman" w:hAnsi="Times New Roman" w:cs="Times New Roman"/>
                <w:b/>
                <w:bCs/>
                <w:sz w:val="26"/>
                <w:szCs w:val="26"/>
              </w:rPr>
              <w:t>Hệ số thấp</w:t>
            </w:r>
          </w:p>
        </w:tc>
      </w:tr>
      <w:tr w:rsidR="004B6704" w:rsidRPr="00C076C0" w14:paraId="0C534A4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E628BE"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Rủi ro mất khả năng thanh toán cao hơn do gánh nặng lãi vay và nợ gốc lớn gây áp lực dòng tiền.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B5B0FB"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Rủi ro tài chính thấp, doanh nghiệp ít bị áp lực trả nợ, đặc biệt là lãi vay và nợ gốc.</w:t>
            </w:r>
          </w:p>
        </w:tc>
      </w:tr>
      <w:tr w:rsidR="004B6704" w:rsidRPr="00C076C0" w14:paraId="7BC4A0ED"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545483"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Dễ bị tổn thương khi thị trường biến động, đặc biệt là khi doanh thu suy giảm hoặc chi phí tài chính tăng.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3B0892"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Khả năng chống chịu khủng hoảng cao nếu tài chính ổn định hơn nếu doanh thu sụt giảm hoặc lãi suất tăng.</w:t>
            </w:r>
          </w:p>
        </w:tc>
      </w:tr>
      <w:tr w:rsidR="004B6704" w:rsidRPr="00C076C0" w14:paraId="55F70CB9"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5EA6C6"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Hạn chế khả năng vay vốn mới do các tổ chức tín dụng sẽ đánh giá doanh nghiệp có rủi ro cao, lãi suất có thể cao hơn.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30CB60"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Uy tín tài chính cao, dễ tiếp cận các nguồn vốn với điều kiện tốt hơn.</w:t>
            </w:r>
          </w:p>
        </w:tc>
      </w:tr>
      <w:tr w:rsidR="004B6704" w:rsidRPr="00C076C0" w14:paraId="71273C34"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AFEFCD"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Có thể ảnh hưởng đến quyền kiểm soát doanh nghiệp ếu phải vay vốn kèm điều kiện hoặc chia sẻ quyền quản lý với nhà đầu tư tài chính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8F2FBD" w14:textId="77777777" w:rsidR="004B6704" w:rsidRPr="00C076C0" w:rsidRDefault="004B6704" w:rsidP="003803F6">
            <w:pPr>
              <w:jc w:val="both"/>
              <w:rPr>
                <w:rFonts w:ascii="Times New Roman" w:hAnsi="Times New Roman" w:cs="Times New Roman"/>
                <w:sz w:val="26"/>
                <w:szCs w:val="26"/>
              </w:rPr>
            </w:pPr>
          </w:p>
        </w:tc>
      </w:tr>
    </w:tbl>
    <w:p w14:paraId="093D7FDE" w14:textId="77777777" w:rsidR="004B6704" w:rsidRPr="00C076C0" w:rsidRDefault="004B6704" w:rsidP="004B6704">
      <w:pPr>
        <w:spacing w:line="312" w:lineRule="auto"/>
        <w:jc w:val="both"/>
        <w:rPr>
          <w:rFonts w:ascii="Times New Roman" w:hAnsi="Times New Roman" w:cs="Times New Roman"/>
          <w:sz w:val="26"/>
          <w:szCs w:val="26"/>
        </w:rPr>
      </w:pPr>
    </w:p>
    <w:p w14:paraId="10199D8B" w14:textId="77777777" w:rsidR="003803F6" w:rsidRDefault="003803F6">
      <w:pPr>
        <w:spacing w:after="160" w:line="259" w:lineRule="auto"/>
        <w:rPr>
          <w:rFonts w:ascii="Times New Roman" w:hAnsi="Times New Roman" w:cs="Times New Roman"/>
          <w:b/>
          <w:bCs/>
          <w:i/>
          <w:iCs/>
          <w:sz w:val="26"/>
          <w:szCs w:val="26"/>
        </w:rPr>
      </w:pPr>
      <w:r>
        <w:rPr>
          <w:rFonts w:ascii="Times New Roman" w:hAnsi="Times New Roman" w:cs="Times New Roman"/>
          <w:b/>
          <w:bCs/>
          <w:i/>
          <w:iCs/>
          <w:sz w:val="26"/>
          <w:szCs w:val="26"/>
        </w:rPr>
        <w:br w:type="page"/>
      </w:r>
    </w:p>
    <w:p w14:paraId="175F2D8F" w14:textId="753F151B" w:rsidR="004B6704" w:rsidRPr="00C076C0" w:rsidRDefault="004B6704" w:rsidP="004B6704">
      <w:pPr>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b/>
          <w:bCs/>
          <w:i/>
          <w:iCs/>
          <w:sz w:val="26"/>
          <w:szCs w:val="26"/>
        </w:rPr>
        <w:lastRenderedPageBreak/>
        <w:t> b. Hệ số nợ trên vốn chủ sở hữu (D/E)</w:t>
      </w:r>
    </w:p>
    <w:p w14:paraId="39638C7C"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Hệ số nợ trên vốn chủ sở hữu (</w:t>
      </w:r>
      <w:r w:rsidRPr="00C076C0">
        <w:rPr>
          <w:rFonts w:ascii="Times New Roman" w:hAnsi="Times New Roman" w:cs="Times New Roman"/>
          <w:i/>
          <w:iCs/>
          <w:sz w:val="26"/>
          <w:szCs w:val="26"/>
        </w:rPr>
        <w:t>Debt to Equity Ratio</w:t>
      </w:r>
      <w:r w:rsidRPr="00C076C0">
        <w:rPr>
          <w:rFonts w:ascii="Times New Roman" w:hAnsi="Times New Roman" w:cs="Times New Roman"/>
          <w:sz w:val="26"/>
          <w:szCs w:val="26"/>
        </w:rPr>
        <w:t xml:space="preserve"> – viết tắt: D/E) là chỉ số tài chính phản ánh mức độ sử dụng vốn vay (nợ phải trả) so với vốn tự có (vốn chủ sở hữu) của doanh nghiệp. Đây là chỉ số đòn bẩy tài chính, cho biết doanh nghiệp sử dụng nợ vay đến đâu để tài trợ cho hoạt động kinh doanh.</w:t>
      </w:r>
    </w:p>
    <w:p w14:paraId="7A57DC9C" w14:textId="6DD243B3" w:rsidR="004B6704" w:rsidRPr="00E54ABA" w:rsidRDefault="004B6704" w:rsidP="00E54ABA">
      <w:pPr>
        <w:spacing w:line="312" w:lineRule="auto"/>
        <w:jc w:val="center"/>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inline distT="0" distB="0" distL="0" distR="0" wp14:anchorId="67576E17" wp14:editId="221729B3">
            <wp:extent cx="3345180" cy="373380"/>
            <wp:effectExtent l="0" t="0" r="7620" b="7620"/>
            <wp:docPr id="244855177" name="Picture 25" descr="A black background with colorful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855177" name="Picture 25" descr="A black background with colorful text&#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45180" cy="373380"/>
                    </a:xfrm>
                    <a:prstGeom prst="rect">
                      <a:avLst/>
                    </a:prstGeom>
                    <a:noFill/>
                    <a:ln>
                      <a:noFill/>
                    </a:ln>
                  </pic:spPr>
                </pic:pic>
              </a:graphicData>
            </a:graphic>
          </wp:inline>
        </w:drawing>
      </w:r>
      <w:r w:rsidRPr="00C076C0">
        <w:rPr>
          <w:rFonts w:ascii="Times New Roman" w:hAnsi="Times New Roman" w:cs="Times New Roman"/>
          <w:sz w:val="26"/>
          <w:szCs w:val="26"/>
        </w:rPr>
        <w:t xml:space="preserve"> </w:t>
      </w:r>
      <w:r w:rsidRPr="00C076C0">
        <w:rPr>
          <w:rFonts w:ascii="Times New Roman" w:hAnsi="Times New Roman" w:cs="Times New Roman"/>
          <w:sz w:val="26"/>
          <w:szCs w:val="26"/>
          <w:lang w:val="vi-VN"/>
        </w:rPr>
        <w:t xml:space="preserve">     (</w:t>
      </w:r>
      <w:r w:rsidRPr="00C076C0">
        <w:rPr>
          <w:rFonts w:ascii="Times New Roman" w:hAnsi="Times New Roman" w:cs="Times New Roman"/>
          <w:sz w:val="26"/>
          <w:szCs w:val="26"/>
        </w:rPr>
        <w:t>đ/đ</w:t>
      </w:r>
      <w:r w:rsidRPr="00C076C0">
        <w:rPr>
          <w:rFonts w:ascii="Times New Roman" w:hAnsi="Times New Roman" w:cs="Times New Roman"/>
          <w:sz w:val="26"/>
          <w:szCs w:val="26"/>
          <w:lang w:val="vi-VN"/>
        </w:rPr>
        <w:t>)     [6]</w:t>
      </w:r>
    </w:p>
    <w:p w14:paraId="17B7545F"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w:t>
      </w:r>
      <w:r w:rsidRPr="00C076C0">
        <w:rPr>
          <w:rFonts w:ascii="Times New Roman" w:hAnsi="Times New Roman" w:cs="Times New Roman"/>
          <w:sz w:val="26"/>
          <w:szCs w:val="26"/>
          <w:u w:val="single"/>
        </w:rPr>
        <w:t>Ý nghĩa</w:t>
      </w:r>
      <w:r w:rsidRPr="00C076C0">
        <w:rPr>
          <w:rFonts w:ascii="Times New Roman" w:hAnsi="Times New Roman" w:cs="Times New Roman"/>
          <w:sz w:val="26"/>
          <w:szCs w:val="26"/>
        </w:rPr>
        <w:t>:</w:t>
      </w:r>
    </w:p>
    <w:p w14:paraId="6F2C7230"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Hệ số cho biết mỗi đồng vốn chủ sở hữu đang gánh bao nhiêu đồng nợ vay.</w:t>
      </w:r>
      <w:r w:rsidRPr="00C076C0">
        <w:rPr>
          <w:rFonts w:ascii="Times New Roman" w:hAnsi="Times New Roman" w:cs="Times New Roman"/>
          <w:sz w:val="26"/>
          <w:szCs w:val="26"/>
        </w:rPr>
        <w:br/>
        <w:t xml:space="preserve">   Là cơ sở để đánh giá cấu trúc tài chính, mức độ rủi ro, khả năng vay vốn của doanh nghiệp và còn ảnh hưởng đến chi phí sử dụng vốn và tính ổn định trong dài hạn.</w:t>
      </w:r>
    </w:p>
    <w:p w14:paraId="172585B0" w14:textId="77777777" w:rsidR="004B6704" w:rsidRPr="00C076C0" w:rsidRDefault="004B6704" w:rsidP="004B6704">
      <w:pPr>
        <w:numPr>
          <w:ilvl w:val="0"/>
          <w:numId w:val="10"/>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Hệ số &lt;1: cho thấy doanh nghiệp có tài chính an toàn khi sử dụng vốn chủ sở hữu nhiều hơn nợ</w:t>
      </w:r>
    </w:p>
    <w:p w14:paraId="15867A4C" w14:textId="77777777" w:rsidR="004B6704" w:rsidRPr="00C076C0" w:rsidRDefault="004B6704" w:rsidP="004B6704">
      <w:pPr>
        <w:numPr>
          <w:ilvl w:val="0"/>
          <w:numId w:val="10"/>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Hệ số =1: Doanh nghiệp tài trợ cân bằng giữa nợ và vốn chủ sở hữu, có khả năng Chấp nhận được nhưng cần kiểm soát.</w:t>
      </w:r>
    </w:p>
    <w:p w14:paraId="630E626A" w14:textId="77777777" w:rsidR="004B6704" w:rsidRPr="00C076C0" w:rsidRDefault="004B6704" w:rsidP="004B6704">
      <w:pPr>
        <w:numPr>
          <w:ilvl w:val="0"/>
          <w:numId w:val="10"/>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Hệ số &gt;1: Doanh nghiệp phụ thuộc nhiều vào nợ dẫn đến rủi ro tài chính cao, áp lực thanh toán lớn.</w:t>
      </w:r>
    </w:p>
    <w:p w14:paraId="39E26E2D" w14:textId="77777777" w:rsidR="004B6704" w:rsidRDefault="004B6704" w:rsidP="004B6704">
      <w:pPr>
        <w:spacing w:line="312" w:lineRule="auto"/>
        <w:jc w:val="both"/>
        <w:rPr>
          <w:rFonts w:ascii="Times New Roman" w:hAnsi="Times New Roman" w:cs="Times New Roman"/>
          <w:i/>
          <w:sz w:val="26"/>
          <w:szCs w:val="26"/>
        </w:rPr>
      </w:pPr>
      <w:r w:rsidRPr="00C076C0">
        <w:rPr>
          <w:rFonts w:ascii="Times New Roman" w:hAnsi="Times New Roman" w:cs="Times New Roman"/>
          <w:i/>
          <w:sz w:val="26"/>
          <w:szCs w:val="26"/>
        </w:rPr>
        <w:t xml:space="preserve">Ảnh hưởng đến </w:t>
      </w:r>
      <w:proofErr w:type="gramStart"/>
      <w:r w:rsidRPr="00C076C0">
        <w:rPr>
          <w:rFonts w:ascii="Times New Roman" w:hAnsi="Times New Roman" w:cs="Times New Roman"/>
          <w:i/>
          <w:sz w:val="26"/>
          <w:szCs w:val="26"/>
        </w:rPr>
        <w:t>an</w:t>
      </w:r>
      <w:proofErr w:type="gramEnd"/>
      <w:r w:rsidRPr="00C076C0">
        <w:rPr>
          <w:rFonts w:ascii="Times New Roman" w:hAnsi="Times New Roman" w:cs="Times New Roman"/>
          <w:i/>
          <w:sz w:val="26"/>
          <w:szCs w:val="26"/>
        </w:rPr>
        <w:t xml:space="preserve"> toàn tài chính: </w:t>
      </w:r>
    </w:p>
    <w:p w14:paraId="3AF774CB" w14:textId="7FF072CB"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1.6.</w:t>
      </w:r>
      <w:proofErr w:type="gramEnd"/>
      <w:r>
        <w:rPr>
          <w:rFonts w:ascii="Times New Roman" w:hAnsi="Times New Roman" w:cs="Times New Roman"/>
          <w:i/>
          <w:sz w:val="26"/>
          <w:szCs w:val="26"/>
        </w:rPr>
        <w:t xml:space="preserve"> Ảnh hưởng của hệ số nợ trên vốn chủ sở hữu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w:t>
      </w:r>
    </w:p>
    <w:p w14:paraId="50327676" w14:textId="6EA8956E" w:rsidR="009C5163" w:rsidRPr="00C076C0"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617"/>
        <w:gridCol w:w="4431"/>
      </w:tblGrid>
      <w:tr w:rsidR="004B6704" w:rsidRPr="00C076C0" w14:paraId="3B3513D2"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A97CE1"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2896FD"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Hệ số thấp</w:t>
            </w:r>
          </w:p>
        </w:tc>
      </w:tr>
      <w:tr w:rsidR="004B6704" w:rsidRPr="00C076C0" w14:paraId="6519780D"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4623B2"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Áp lực tài chính lớn do gánh nặng trả lãi và gốc cao, ảnh hưởng dòng tiền.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D45DA5"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Rủi ro tài chính thấp vì doanh nghiệp chủ yếu dùng vốn tự có, ít chịu áp lực trả lãi vay.</w:t>
            </w:r>
          </w:p>
        </w:tc>
      </w:tr>
      <w:tr w:rsidR="004B6704" w:rsidRPr="00C076C0" w14:paraId="2982555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1F8742"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Rủi ro mất khả năng thanh toán và dễ tổn thương nếu doanh thu giảm hoặc chi phí tăng.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949E1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Khả năng chống chịu tốt trong khủng hoảng, không phụ thuộc nhiều vào dòng tiền trả nợ. </w:t>
            </w:r>
          </w:p>
        </w:tc>
      </w:tr>
      <w:tr w:rsidR="004B6704" w:rsidRPr="00C076C0" w14:paraId="3C18D000"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0FC04C" w14:textId="77777777" w:rsidR="004B6704" w:rsidRPr="00C076C0" w:rsidRDefault="004B6704" w:rsidP="00897A44">
            <w:pPr>
              <w:spacing w:line="312" w:lineRule="auto"/>
              <w:ind w:firstLine="34"/>
              <w:jc w:val="both"/>
              <w:rPr>
                <w:rFonts w:ascii="Times New Roman" w:hAnsi="Times New Roman" w:cs="Times New Roman"/>
                <w:sz w:val="26"/>
                <w:szCs w:val="26"/>
              </w:rPr>
            </w:pPr>
            <w:r w:rsidRPr="00C076C0">
              <w:rPr>
                <w:rFonts w:ascii="Times New Roman" w:hAnsi="Times New Roman" w:cs="Times New Roman"/>
                <w:sz w:val="26"/>
                <w:szCs w:val="26"/>
              </w:rPr>
              <w:t>Giảm khả năng huy động vốn mới do các tổ chức tín dụng, nhà đầu tư có thể đánh giá rủi ro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50DC1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Uy tín tài chính cao, dễ được cấp vốn và tạo được niềm tin cho các nhà đầu tư và ngân hàng </w:t>
            </w:r>
          </w:p>
        </w:tc>
      </w:tr>
    </w:tbl>
    <w:p w14:paraId="1EF061D3" w14:textId="77777777" w:rsidR="004B6704" w:rsidRPr="00C076C0" w:rsidRDefault="004B6704" w:rsidP="004B6704">
      <w:pPr>
        <w:tabs>
          <w:tab w:val="left" w:pos="709"/>
        </w:tabs>
        <w:spacing w:line="312" w:lineRule="auto"/>
        <w:ind w:left="993" w:hanging="284"/>
        <w:jc w:val="both"/>
        <w:rPr>
          <w:rFonts w:ascii="Times New Roman" w:hAnsi="Times New Roman" w:cs="Times New Roman"/>
          <w:i/>
          <w:iCs/>
          <w:sz w:val="26"/>
          <w:szCs w:val="26"/>
        </w:rPr>
      </w:pPr>
    </w:p>
    <w:p w14:paraId="1F27C0E0" w14:textId="77777777" w:rsidR="003803F6" w:rsidRDefault="003803F6">
      <w:pPr>
        <w:spacing w:after="160" w:line="259" w:lineRule="auto"/>
        <w:rPr>
          <w:rFonts w:ascii="Times New Roman" w:hAnsi="Times New Roman" w:cs="Times New Roman"/>
          <w:i/>
          <w:iCs/>
          <w:sz w:val="26"/>
          <w:szCs w:val="26"/>
        </w:rPr>
      </w:pPr>
      <w:r>
        <w:rPr>
          <w:rFonts w:ascii="Times New Roman" w:hAnsi="Times New Roman" w:cs="Times New Roman"/>
          <w:i/>
          <w:iCs/>
          <w:sz w:val="26"/>
          <w:szCs w:val="26"/>
        </w:rPr>
        <w:br w:type="page"/>
      </w:r>
    </w:p>
    <w:p w14:paraId="06E59C9E" w14:textId="41BD886E" w:rsidR="004B6704" w:rsidRPr="00C076C0" w:rsidRDefault="004B6704" w:rsidP="004B6704">
      <w:pPr>
        <w:tabs>
          <w:tab w:val="left" w:pos="709"/>
        </w:tabs>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i/>
          <w:iCs/>
          <w:sz w:val="26"/>
          <w:szCs w:val="26"/>
        </w:rPr>
        <w:lastRenderedPageBreak/>
        <w:t xml:space="preserve">  </w:t>
      </w:r>
      <w:r w:rsidRPr="00C076C0">
        <w:rPr>
          <w:rFonts w:ascii="Times New Roman" w:hAnsi="Times New Roman" w:cs="Times New Roman"/>
          <w:b/>
          <w:bCs/>
          <w:i/>
          <w:iCs/>
          <w:sz w:val="26"/>
          <w:szCs w:val="26"/>
        </w:rPr>
        <w:t>c. Tỷ suất đầu tư tài sản ngắn hạn </w:t>
      </w:r>
    </w:p>
    <w:p w14:paraId="31B61F62"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b/>
          <w:bCs/>
          <w:sz w:val="26"/>
          <w:szCs w:val="26"/>
        </w:rPr>
        <w:t>  </w:t>
      </w:r>
      <w:r w:rsidRPr="00C076C0">
        <w:rPr>
          <w:rFonts w:ascii="Times New Roman" w:hAnsi="Times New Roman" w:cs="Times New Roman"/>
          <w:sz w:val="26"/>
          <w:szCs w:val="26"/>
        </w:rPr>
        <w:t xml:space="preserve">Tỷ suất đầu tư tài sản ngắn hạn (còn gọi là </w:t>
      </w:r>
      <w:r w:rsidRPr="00C076C0">
        <w:rPr>
          <w:rFonts w:ascii="Times New Roman" w:hAnsi="Times New Roman" w:cs="Times New Roman"/>
          <w:i/>
          <w:iCs/>
          <w:sz w:val="26"/>
          <w:szCs w:val="26"/>
        </w:rPr>
        <w:t>tỷ lệ tài sản ngắn hạn trên tổng tài sản</w:t>
      </w:r>
      <w:r w:rsidRPr="00C076C0">
        <w:rPr>
          <w:rFonts w:ascii="Times New Roman" w:hAnsi="Times New Roman" w:cs="Times New Roman"/>
          <w:sz w:val="26"/>
          <w:szCs w:val="26"/>
        </w:rPr>
        <w:t>) là chỉ số thể hiện tỷ trọng tài sản ngắn hạn trong tổng tài sản của doanh nghiệp. Nó phản ánh mức độ đầu tư của doanh nghiệp vào các tài sản dễ chuyển đổi thành tiền trong vòng 1 năm.</w:t>
      </w:r>
    </w:p>
    <w:p w14:paraId="32DEBF1B" w14:textId="77777777" w:rsidR="004B6704" w:rsidRPr="00C076C0" w:rsidRDefault="004B6704" w:rsidP="004B6704">
      <w:pPr>
        <w:spacing w:line="312" w:lineRule="auto"/>
        <w:jc w:val="center"/>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inline distT="0" distB="0" distL="0" distR="0" wp14:anchorId="1D5CC740" wp14:editId="0B54B5F3">
            <wp:extent cx="3467100" cy="411480"/>
            <wp:effectExtent l="0" t="0" r="0" b="7620"/>
            <wp:docPr id="192831759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67100" cy="411480"/>
                    </a:xfrm>
                    <a:prstGeom prst="rect">
                      <a:avLst/>
                    </a:prstGeom>
                    <a:noFill/>
                    <a:ln>
                      <a:noFill/>
                    </a:ln>
                  </pic:spPr>
                </pic:pic>
              </a:graphicData>
            </a:graphic>
          </wp:inline>
        </w:drawing>
      </w:r>
      <w:r w:rsidRPr="00C076C0">
        <w:rPr>
          <w:rFonts w:ascii="Times New Roman" w:hAnsi="Times New Roman" w:cs="Times New Roman"/>
          <w:sz w:val="26"/>
          <w:szCs w:val="26"/>
          <w:lang w:val="vi-VN"/>
        </w:rPr>
        <w:t xml:space="preserve">     </w:t>
      </w:r>
      <w:r w:rsidRPr="00C076C0">
        <w:rPr>
          <w:rFonts w:ascii="Times New Roman" w:hAnsi="Times New Roman" w:cs="Times New Roman"/>
          <w:sz w:val="26"/>
          <w:szCs w:val="26"/>
        </w:rPr>
        <w:t xml:space="preserve"> </w:t>
      </w:r>
      <w:r w:rsidRPr="00C076C0">
        <w:rPr>
          <w:rFonts w:ascii="Times New Roman" w:hAnsi="Times New Roman" w:cs="Times New Roman"/>
          <w:sz w:val="26"/>
          <w:szCs w:val="26"/>
          <w:lang w:val="vi-VN"/>
        </w:rPr>
        <w:t>(</w:t>
      </w:r>
      <w:r w:rsidRPr="00C076C0">
        <w:rPr>
          <w:rFonts w:ascii="Times New Roman" w:hAnsi="Times New Roman" w:cs="Times New Roman"/>
          <w:sz w:val="26"/>
          <w:szCs w:val="26"/>
        </w:rPr>
        <w:t xml:space="preserve"> %</w:t>
      </w:r>
      <w:r w:rsidRPr="00C076C0">
        <w:rPr>
          <w:rFonts w:ascii="Times New Roman" w:hAnsi="Times New Roman" w:cs="Times New Roman"/>
          <w:sz w:val="26"/>
          <w:szCs w:val="26"/>
          <w:lang w:val="vi-VN"/>
        </w:rPr>
        <w:t>)     [7]</w:t>
      </w:r>
    </w:p>
    <w:p w14:paraId="265633BF"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w:t>
      </w:r>
      <w:r w:rsidRPr="00C076C0">
        <w:rPr>
          <w:rFonts w:ascii="Times New Roman" w:hAnsi="Times New Roman" w:cs="Times New Roman"/>
          <w:sz w:val="26"/>
          <w:szCs w:val="26"/>
          <w:u w:val="single"/>
        </w:rPr>
        <w:t>Ý nghĩa</w:t>
      </w:r>
      <w:r w:rsidRPr="00C076C0">
        <w:rPr>
          <w:rFonts w:ascii="Times New Roman" w:hAnsi="Times New Roman" w:cs="Times New Roman"/>
          <w:sz w:val="26"/>
          <w:szCs w:val="26"/>
        </w:rPr>
        <w:t>: </w:t>
      </w:r>
    </w:p>
    <w:p w14:paraId="540BDE0F"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Phản ánh chiến lược quản lý tài sản của doanh nghiệp. Cho thấy mức độ linh hoạt và thanh khoản của doanh nghiệp: tỷ lệ này cao thường đi kèm với khả năng thanh toán nhanh, ứng phó tốt với rủi ro tài chính ngắn hạn.</w:t>
      </w:r>
    </w:p>
    <w:p w14:paraId="6652BDB6" w14:textId="77777777" w:rsidR="004B6704" w:rsidRPr="00C076C0" w:rsidRDefault="004B6704" w:rsidP="004B6704">
      <w:pPr>
        <w:numPr>
          <w:ilvl w:val="0"/>
          <w:numId w:val="11"/>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Tỷ suất cao &gt;50%: Doanh nghiệp ưu tiên thanh khoản, linh hoạt trong ngắn hạn.</w:t>
      </w:r>
    </w:p>
    <w:p w14:paraId="0F44EE46" w14:textId="77777777" w:rsidR="004B6704" w:rsidRPr="00C076C0" w:rsidRDefault="004B6704" w:rsidP="004B6704">
      <w:pPr>
        <w:numPr>
          <w:ilvl w:val="0"/>
          <w:numId w:val="11"/>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Tỷ suất trung bình (30% - 50%): Doanh nghiệp cCân bằng giữa đầu tư dài hạn và khả năng thanh toán ngắn hạn.</w:t>
      </w:r>
    </w:p>
    <w:p w14:paraId="6275B045" w14:textId="77777777" w:rsidR="004B6704" w:rsidRPr="00C076C0" w:rsidRDefault="004B6704" w:rsidP="004B6704">
      <w:pPr>
        <w:numPr>
          <w:ilvl w:val="0"/>
          <w:numId w:val="12"/>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Tỷ suất thấp &lt; 30%: Doanh nghiệp đầu tư nhiều vào tài sản dài hạn, có thể thiếu thanh khoản. Nếu quá thấp, doanh nghiệp có thể bị thiếu vốn lưu động phục vụ cho hoạt động kinh doanh thường ngày.</w:t>
      </w:r>
    </w:p>
    <w:p w14:paraId="57F833C9" w14:textId="77777777" w:rsidR="004B6704" w:rsidRDefault="004B6704" w:rsidP="004B6704">
      <w:pPr>
        <w:spacing w:line="312" w:lineRule="auto"/>
        <w:jc w:val="both"/>
        <w:rPr>
          <w:rFonts w:ascii="Times New Roman" w:hAnsi="Times New Roman" w:cs="Times New Roman"/>
          <w:i/>
          <w:sz w:val="26"/>
          <w:szCs w:val="26"/>
        </w:rPr>
      </w:pPr>
      <w:r w:rsidRPr="00C076C0">
        <w:rPr>
          <w:rFonts w:ascii="Times New Roman" w:hAnsi="Times New Roman" w:cs="Times New Roman"/>
          <w:i/>
          <w:sz w:val="26"/>
          <w:szCs w:val="26"/>
        </w:rPr>
        <w:t xml:space="preserve">Ảnh hưởng đến </w:t>
      </w:r>
      <w:proofErr w:type="gramStart"/>
      <w:r w:rsidRPr="00C076C0">
        <w:rPr>
          <w:rFonts w:ascii="Times New Roman" w:hAnsi="Times New Roman" w:cs="Times New Roman"/>
          <w:i/>
          <w:sz w:val="26"/>
          <w:szCs w:val="26"/>
        </w:rPr>
        <w:t>an</w:t>
      </w:r>
      <w:proofErr w:type="gramEnd"/>
      <w:r w:rsidRPr="00C076C0">
        <w:rPr>
          <w:rFonts w:ascii="Times New Roman" w:hAnsi="Times New Roman" w:cs="Times New Roman"/>
          <w:i/>
          <w:sz w:val="26"/>
          <w:szCs w:val="26"/>
        </w:rPr>
        <w:t xml:space="preserve"> toàn tài chính:</w:t>
      </w:r>
    </w:p>
    <w:p w14:paraId="4670D640" w14:textId="29245ACE" w:rsidR="009C5163" w:rsidRPr="00C076C0"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1.7.</w:t>
      </w:r>
      <w:proofErr w:type="gramEnd"/>
      <w:r>
        <w:rPr>
          <w:rFonts w:ascii="Times New Roman" w:hAnsi="Times New Roman" w:cs="Times New Roman"/>
          <w:i/>
          <w:sz w:val="26"/>
          <w:szCs w:val="26"/>
        </w:rPr>
        <w:t xml:space="preserve"> Ảnh hưởng của tỷ suất đầu tư vào tài sản ngắn hạn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các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5436"/>
        <w:gridCol w:w="3612"/>
      </w:tblGrid>
      <w:tr w:rsidR="004B6704" w:rsidRPr="00C076C0" w14:paraId="2612133B"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E7955C"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Tỷ suất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59E77A"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Tỷ suất thấp</w:t>
            </w:r>
          </w:p>
        </w:tc>
      </w:tr>
      <w:tr w:rsidR="004B6704" w:rsidRPr="00C076C0" w14:paraId="7EBFE5D2"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788518"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Doanh nghiệp dễ thanh toán nợ ngắn hạn và linh hoạt trong xử lý rủi ro tài chính.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96A836"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Có thể tập trung đầu tư vào tài sản dài hạn để sinh lời lâu dài.</w:t>
            </w:r>
          </w:p>
        </w:tc>
      </w:tr>
      <w:tr w:rsidR="004B6704" w:rsidRPr="00C076C0" w14:paraId="02256DC4"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E0B110"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thể cho thấy doanh nghiệp đầu tư quá nhiều vào hàng tồn kho hoặc các khoản phải thu chưa thu được tiền.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F56B6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Rủi ro mất khả năng thanh toán ngắn hạn nếu dòng tiền bị gián đoạn.</w:t>
            </w:r>
          </w:p>
        </w:tc>
      </w:tr>
      <w:tr w:rsidR="004B6704" w:rsidRPr="00C076C0" w14:paraId="65CDE348"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F09F8A"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Lợi nhuận trên tổng tài sản (ROA) có thể thấp nếu tài sản ngắn hạn không sinh lời hiệu quả.</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2558D6"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thể mang tính đầu tư dài hạn, nhưng giảm linh hoạt tài chính.</w:t>
            </w:r>
          </w:p>
        </w:tc>
      </w:tr>
    </w:tbl>
    <w:p w14:paraId="26951D52"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w:t>
      </w:r>
      <w:r w:rsidRPr="00C076C0">
        <w:rPr>
          <w:rFonts w:ascii="Times New Roman" w:hAnsi="Times New Roman" w:cs="Times New Roman"/>
          <w:b/>
          <w:bCs/>
          <w:sz w:val="26"/>
          <w:szCs w:val="26"/>
        </w:rPr>
        <w:t> </w:t>
      </w:r>
    </w:p>
    <w:p w14:paraId="4192964D" w14:textId="77777777" w:rsidR="004B6704" w:rsidRPr="00C076C0" w:rsidRDefault="004B6704" w:rsidP="004B6704">
      <w:pPr>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b/>
          <w:bCs/>
          <w:sz w:val="26"/>
          <w:szCs w:val="26"/>
        </w:rPr>
        <w:t> </w:t>
      </w:r>
      <w:r w:rsidRPr="00C076C0">
        <w:rPr>
          <w:rFonts w:ascii="Times New Roman" w:hAnsi="Times New Roman" w:cs="Times New Roman"/>
          <w:b/>
          <w:bCs/>
          <w:i/>
          <w:iCs/>
          <w:sz w:val="26"/>
          <w:szCs w:val="26"/>
        </w:rPr>
        <w:t>d. Tỷ suất đầu tư tài sản dài hạn</w:t>
      </w:r>
    </w:p>
    <w:p w14:paraId="2F9CD4B3"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b/>
          <w:bCs/>
          <w:sz w:val="26"/>
          <w:szCs w:val="26"/>
        </w:rPr>
        <w:t>   </w:t>
      </w:r>
      <w:r w:rsidRPr="00C076C0">
        <w:rPr>
          <w:rFonts w:ascii="Times New Roman" w:hAnsi="Times New Roman" w:cs="Times New Roman"/>
          <w:sz w:val="26"/>
          <w:szCs w:val="26"/>
        </w:rPr>
        <w:t xml:space="preserve">Tỷ suất đầu tư tài sản dài hạn là chỉ tiêu phản ánh tỷ lệ tài sản dài hạn trong tổng tài sản của doanh nghiệp. Tài sản dài hạn là những tài sản có thời gian sử dụng </w:t>
      </w:r>
      <w:r w:rsidRPr="00C076C0">
        <w:rPr>
          <w:rFonts w:ascii="Times New Roman" w:hAnsi="Times New Roman" w:cs="Times New Roman"/>
          <w:sz w:val="26"/>
          <w:szCs w:val="26"/>
        </w:rPr>
        <w:lastRenderedPageBreak/>
        <w:t>hoặc thu hồi vốn trên 1 năm, ví dụ: nhà xưởng, máy móc thiết bị, bất động sản, đầu tư tài chính dài hạn</w:t>
      </w:r>
      <w:proofErr w:type="gramStart"/>
      <w:r w:rsidRPr="00C076C0">
        <w:rPr>
          <w:rFonts w:ascii="Times New Roman" w:hAnsi="Times New Roman" w:cs="Times New Roman"/>
          <w:sz w:val="26"/>
          <w:szCs w:val="26"/>
        </w:rPr>
        <w:t>,…</w:t>
      </w:r>
      <w:proofErr w:type="gramEnd"/>
    </w:p>
    <w:p w14:paraId="2E98B0DE" w14:textId="77777777" w:rsidR="004B6704" w:rsidRPr="00C076C0" w:rsidRDefault="004B6704" w:rsidP="004B6704">
      <w:pPr>
        <w:spacing w:line="312" w:lineRule="auto"/>
        <w:jc w:val="center"/>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inline distT="0" distB="0" distL="0" distR="0" wp14:anchorId="4BD4DAA2" wp14:editId="6DA77996">
            <wp:extent cx="3208020" cy="388620"/>
            <wp:effectExtent l="0" t="0" r="0" b="0"/>
            <wp:docPr id="704109945" name="Picture 2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09945" name="Picture 23" descr="A black background with white text&#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08020" cy="388620"/>
                    </a:xfrm>
                    <a:prstGeom prst="rect">
                      <a:avLst/>
                    </a:prstGeom>
                    <a:noFill/>
                    <a:ln>
                      <a:noFill/>
                    </a:ln>
                  </pic:spPr>
                </pic:pic>
              </a:graphicData>
            </a:graphic>
          </wp:inline>
        </w:drawing>
      </w:r>
      <w:r w:rsidRPr="00C076C0">
        <w:rPr>
          <w:rFonts w:ascii="Times New Roman" w:hAnsi="Times New Roman" w:cs="Times New Roman"/>
          <w:sz w:val="26"/>
          <w:szCs w:val="26"/>
          <w:lang w:val="vi-VN"/>
        </w:rPr>
        <w:t xml:space="preserve">     (</w:t>
      </w:r>
      <w:r w:rsidRPr="00C076C0">
        <w:rPr>
          <w:rFonts w:ascii="Times New Roman" w:hAnsi="Times New Roman" w:cs="Times New Roman"/>
          <w:sz w:val="26"/>
          <w:szCs w:val="26"/>
        </w:rPr>
        <w:t>%</w:t>
      </w:r>
      <w:r w:rsidRPr="00C076C0">
        <w:rPr>
          <w:rFonts w:ascii="Times New Roman" w:hAnsi="Times New Roman" w:cs="Times New Roman"/>
          <w:sz w:val="26"/>
          <w:szCs w:val="26"/>
          <w:lang w:val="vi-VN"/>
        </w:rPr>
        <w:t>)     [8]</w:t>
      </w:r>
    </w:p>
    <w:p w14:paraId="32C60652"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w:t>
      </w:r>
      <w:r w:rsidRPr="00C076C0">
        <w:rPr>
          <w:rFonts w:ascii="Times New Roman" w:hAnsi="Times New Roman" w:cs="Times New Roman"/>
          <w:sz w:val="26"/>
          <w:szCs w:val="26"/>
          <w:u w:val="single"/>
        </w:rPr>
        <w:t>Ý nghĩa</w:t>
      </w:r>
      <w:r w:rsidRPr="00C076C0">
        <w:rPr>
          <w:rFonts w:ascii="Times New Roman" w:hAnsi="Times New Roman" w:cs="Times New Roman"/>
          <w:sz w:val="26"/>
          <w:szCs w:val="26"/>
        </w:rPr>
        <w:t>:</w:t>
      </w:r>
    </w:p>
    <w:p w14:paraId="71ED512D"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Cho biết mức độ đầu tư vào tài sản mang tính chiến lược, lâu dài của doanh nghiệp. Phản ánh xu hướng phát triển: nếu tỷ lệ này cao, doanh nghiệp đang đầu tư để tăng năng lực sản xuất, mở rộng quy mô.</w:t>
      </w:r>
    </w:p>
    <w:p w14:paraId="38501FF0"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Tỷ lệ này cần phù hợp với chiến lược kinh doanh, đặc thù ngành nghề, và khả năng tài chính của doanh nghiệp.</w:t>
      </w:r>
    </w:p>
    <w:p w14:paraId="74E605F0" w14:textId="77777777" w:rsidR="004B6704" w:rsidRPr="00C076C0" w:rsidRDefault="004B6704" w:rsidP="004B6704">
      <w:pPr>
        <w:numPr>
          <w:ilvl w:val="0"/>
          <w:numId w:val="13"/>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Tỷ suất cao &gt;50%: Doanh nghiệp đầu tư mạnh vào tài sản cố định, hướng đến phát triển lâu dài.</w:t>
      </w:r>
    </w:p>
    <w:p w14:paraId="377EBA87" w14:textId="77777777" w:rsidR="004B6704" w:rsidRPr="00C076C0" w:rsidRDefault="004B6704" w:rsidP="004B6704">
      <w:pPr>
        <w:numPr>
          <w:ilvl w:val="0"/>
          <w:numId w:val="13"/>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Tỷ suất trung bình (30% - 50%): Doanh nghiệp đang cân bằng giữa nhu cầu đầu tư dài hạn và thanh khoản ngắn hạn</w:t>
      </w:r>
    </w:p>
    <w:p w14:paraId="13C6AE14" w14:textId="77777777" w:rsidR="004B6704" w:rsidRPr="00C076C0" w:rsidRDefault="004B6704" w:rsidP="004B6704">
      <w:pPr>
        <w:numPr>
          <w:ilvl w:val="0"/>
          <w:numId w:val="13"/>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Tỷ suất thấp &lt;30%: Doanh nghiệp tập trung vào tài sản lưu động, có tính linh hoạt cao nhưng có thể thiếu ổn định lâu dài.</w:t>
      </w:r>
    </w:p>
    <w:p w14:paraId="4810F15C" w14:textId="77777777" w:rsidR="004B6704" w:rsidRDefault="004B6704" w:rsidP="004B6704">
      <w:pPr>
        <w:spacing w:line="312" w:lineRule="auto"/>
        <w:jc w:val="both"/>
        <w:rPr>
          <w:rFonts w:ascii="Times New Roman" w:hAnsi="Times New Roman" w:cs="Times New Roman"/>
          <w:i/>
          <w:sz w:val="26"/>
          <w:szCs w:val="26"/>
        </w:rPr>
      </w:pPr>
      <w:r w:rsidRPr="00C076C0">
        <w:rPr>
          <w:rFonts w:ascii="Times New Roman" w:hAnsi="Times New Roman" w:cs="Times New Roman"/>
          <w:i/>
          <w:sz w:val="26"/>
          <w:szCs w:val="26"/>
        </w:rPr>
        <w:t xml:space="preserve">Ảnh hưởng đến </w:t>
      </w:r>
      <w:proofErr w:type="gramStart"/>
      <w:r w:rsidRPr="00C076C0">
        <w:rPr>
          <w:rFonts w:ascii="Times New Roman" w:hAnsi="Times New Roman" w:cs="Times New Roman"/>
          <w:i/>
          <w:sz w:val="26"/>
          <w:szCs w:val="26"/>
        </w:rPr>
        <w:t>an</w:t>
      </w:r>
      <w:proofErr w:type="gramEnd"/>
      <w:r w:rsidRPr="00C076C0">
        <w:rPr>
          <w:rFonts w:ascii="Times New Roman" w:hAnsi="Times New Roman" w:cs="Times New Roman"/>
          <w:i/>
          <w:sz w:val="26"/>
          <w:szCs w:val="26"/>
        </w:rPr>
        <w:t xml:space="preserve"> toàn tài chính:</w:t>
      </w:r>
    </w:p>
    <w:p w14:paraId="6B248753" w14:textId="2E1E89F8" w:rsidR="009C5163" w:rsidRPr="00C076C0"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1.8.</w:t>
      </w:r>
      <w:proofErr w:type="gramEnd"/>
      <w:r>
        <w:rPr>
          <w:rFonts w:ascii="Times New Roman" w:hAnsi="Times New Roman" w:cs="Times New Roman"/>
          <w:i/>
          <w:sz w:val="26"/>
          <w:szCs w:val="26"/>
        </w:rPr>
        <w:t xml:space="preserve"> Ảnh hưởng của tỷ suất đầu tư vào tài sản dài </w:t>
      </w:r>
      <w:proofErr w:type="gramStart"/>
      <w:r>
        <w:rPr>
          <w:rFonts w:ascii="Times New Roman" w:hAnsi="Times New Roman" w:cs="Times New Roman"/>
          <w:i/>
          <w:sz w:val="26"/>
          <w:szCs w:val="26"/>
        </w:rPr>
        <w:t>hạn  đến</w:t>
      </w:r>
      <w:proofErr w:type="gramEnd"/>
      <w:r>
        <w:rPr>
          <w:rFonts w:ascii="Times New Roman" w:hAnsi="Times New Roman" w:cs="Times New Roman"/>
          <w:i/>
          <w:sz w:val="26"/>
          <w:szCs w:val="26"/>
        </w:rPr>
        <w:t xml:space="preserve"> an toàn tài chính của các CTCP niêm yết thuộc TKV</w:t>
      </w:r>
    </w:p>
    <w:tbl>
      <w:tblPr>
        <w:tblW w:w="0" w:type="auto"/>
        <w:tblCellMar>
          <w:top w:w="15" w:type="dxa"/>
          <w:left w:w="15" w:type="dxa"/>
          <w:bottom w:w="15" w:type="dxa"/>
          <w:right w:w="15" w:type="dxa"/>
        </w:tblCellMar>
        <w:tblLook w:val="04A0" w:firstRow="1" w:lastRow="0" w:firstColumn="1" w:lastColumn="0" w:noHBand="0" w:noVBand="1"/>
      </w:tblPr>
      <w:tblGrid>
        <w:gridCol w:w="4606"/>
        <w:gridCol w:w="4359"/>
      </w:tblGrid>
      <w:tr w:rsidR="004B6704" w:rsidRPr="00C076C0" w14:paraId="2C383EA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0823D3"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Tỷ suất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53217B"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Tỷ suất thấp</w:t>
            </w:r>
          </w:p>
        </w:tc>
      </w:tr>
      <w:tr w:rsidR="004B6704" w:rsidRPr="00C076C0" w14:paraId="0F9C749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C7834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Doanh nghiệp đầu tư cho tăng trưởng dài hạn, tạo lợi thế cạnh tranh về năng lực sản xuất, hạ tầng.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030324"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Linh hoạt hơn trong quản lý vốn ngắn hạn, giảm rủi ro mất thanh khoản.</w:t>
            </w:r>
          </w:p>
        </w:tc>
      </w:tr>
      <w:tr w:rsidR="004B6704" w:rsidRPr="00C076C0" w14:paraId="60F7A41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309527"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Tài sản dài hạn khó chuyển đổi thành tiền nhanh, tăng rủi ro tài chính nếu vay nhiều để đầu tư.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D6AEAA"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thể bỏ lỡ cơ hội phát triển dài hạn do phụ thuộc vào tài sản hiện tại, không mở rộng được.</w:t>
            </w:r>
          </w:p>
        </w:tc>
      </w:tr>
      <w:tr w:rsidR="004B6704" w:rsidRPr="00C076C0" w14:paraId="77F3C65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6024DD"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Dễ ảnh hưởng tới dòng tiền nếu không quản lý tốt.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72DF77"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thể cho thấy doanh nghiệp chưa mạnh dạn đầu tư dài hạn.</w:t>
            </w:r>
          </w:p>
        </w:tc>
      </w:tr>
    </w:tbl>
    <w:p w14:paraId="5E0E2B29" w14:textId="77777777" w:rsidR="004B6704" w:rsidRPr="00C076C0" w:rsidRDefault="004B6704" w:rsidP="004B6704">
      <w:pPr>
        <w:spacing w:line="312" w:lineRule="auto"/>
        <w:jc w:val="both"/>
        <w:rPr>
          <w:rFonts w:ascii="Times New Roman" w:hAnsi="Times New Roman" w:cs="Times New Roman"/>
          <w:sz w:val="26"/>
          <w:szCs w:val="26"/>
        </w:rPr>
      </w:pPr>
    </w:p>
    <w:p w14:paraId="609ABF73" w14:textId="00C8439C" w:rsidR="004B6704" w:rsidRPr="00C076C0" w:rsidRDefault="004B6704" w:rsidP="008A5BBD">
      <w:pPr>
        <w:pStyle w:val="p3"/>
      </w:pPr>
      <w:bookmarkStart w:id="108" w:name="_Toc197781155"/>
      <w:bookmarkStart w:id="109" w:name="_Toc197781437"/>
      <w:bookmarkStart w:id="110" w:name="_Toc198281658"/>
      <w:bookmarkStart w:id="111" w:name="_Toc198284443"/>
      <w:bookmarkStart w:id="112" w:name="_Toc198709968"/>
      <w:r w:rsidRPr="00C076C0">
        <w:t xml:space="preserve">1.3.3. Nhóm chỉ tiêu phản ánh </w:t>
      </w:r>
      <w:r w:rsidR="00656441">
        <w:t>hiệu suất</w:t>
      </w:r>
      <w:r w:rsidRPr="00C076C0">
        <w:t xml:space="preserve"> hoạt động</w:t>
      </w:r>
      <w:bookmarkEnd w:id="108"/>
      <w:bookmarkEnd w:id="109"/>
      <w:bookmarkEnd w:id="110"/>
      <w:bookmarkEnd w:id="111"/>
      <w:bookmarkEnd w:id="112"/>
    </w:p>
    <w:p w14:paraId="2BAF8CC6" w14:textId="77777777" w:rsidR="004B6704" w:rsidRPr="004B6704" w:rsidRDefault="004B6704" w:rsidP="004B6704">
      <w:pPr>
        <w:spacing w:line="312" w:lineRule="auto"/>
        <w:ind w:left="993" w:hanging="284"/>
        <w:jc w:val="both"/>
        <w:rPr>
          <w:rFonts w:ascii="Times New Roman" w:hAnsi="Times New Roman" w:cs="Times New Roman"/>
          <w:i/>
          <w:iCs/>
          <w:sz w:val="26"/>
          <w:szCs w:val="26"/>
          <w:lang w:val="vi-VN"/>
        </w:rPr>
      </w:pPr>
      <w:r w:rsidRPr="004B6704">
        <w:rPr>
          <w:rFonts w:ascii="Times New Roman" w:hAnsi="Times New Roman" w:cs="Times New Roman"/>
          <w:b/>
          <w:bCs/>
          <w:i/>
          <w:iCs/>
          <w:sz w:val="26"/>
          <w:szCs w:val="26"/>
          <w:lang w:val="vi-VN"/>
        </w:rPr>
        <w:t>a. Vòng quay hàng tồn kho</w:t>
      </w:r>
    </w:p>
    <w:p w14:paraId="08B85449"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Vòng quay hàng tồn kho (</w:t>
      </w:r>
      <w:r w:rsidRPr="004B6704">
        <w:rPr>
          <w:rFonts w:ascii="Times New Roman" w:hAnsi="Times New Roman" w:cs="Times New Roman"/>
          <w:i/>
          <w:iCs/>
          <w:sz w:val="26"/>
          <w:szCs w:val="26"/>
          <w:lang w:val="vi-VN"/>
        </w:rPr>
        <w:t>Inventory Turnover Ratio</w:t>
      </w:r>
      <w:r w:rsidRPr="004B6704">
        <w:rPr>
          <w:rFonts w:ascii="Times New Roman" w:hAnsi="Times New Roman" w:cs="Times New Roman"/>
          <w:sz w:val="26"/>
          <w:szCs w:val="26"/>
          <w:lang w:val="vi-VN"/>
        </w:rPr>
        <w:t xml:space="preserve">) là chỉ số phản ánh số lần hàng tồn kho được luân chuyển (bán hoặc sử dụng hết) trong một kỳ (thường là </w:t>
      </w:r>
      <w:r w:rsidRPr="004B6704">
        <w:rPr>
          <w:rFonts w:ascii="Times New Roman" w:hAnsi="Times New Roman" w:cs="Times New Roman"/>
          <w:sz w:val="26"/>
          <w:szCs w:val="26"/>
          <w:lang w:val="vi-VN"/>
        </w:rPr>
        <w:lastRenderedPageBreak/>
        <w:t>1 năm). Đây là chỉ tiêu quan trọng để đánh giá hiệu quả quản lý hàng tồn kho và mức độ liên kết giữa sản xuất – tồn kho – tiêu thụ.</w:t>
      </w:r>
    </w:p>
    <w:p w14:paraId="583AF51C" w14:textId="70E2A6B5" w:rsidR="004B6704" w:rsidRPr="00E54ABA" w:rsidRDefault="004B6704" w:rsidP="00E54ABA">
      <w:pPr>
        <w:spacing w:line="312" w:lineRule="auto"/>
        <w:jc w:val="center"/>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inline distT="0" distB="0" distL="0" distR="0" wp14:anchorId="4E4A2F6C" wp14:editId="0F0A2239">
            <wp:extent cx="3474720" cy="411480"/>
            <wp:effectExtent l="0" t="0" r="0" b="7620"/>
            <wp:docPr id="187508496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74720" cy="411480"/>
                    </a:xfrm>
                    <a:prstGeom prst="rect">
                      <a:avLst/>
                    </a:prstGeom>
                    <a:noFill/>
                    <a:ln>
                      <a:noFill/>
                    </a:ln>
                  </pic:spPr>
                </pic:pic>
              </a:graphicData>
            </a:graphic>
          </wp:inline>
        </w:drawing>
      </w:r>
      <w:r w:rsidRPr="00C076C0">
        <w:rPr>
          <w:rFonts w:ascii="Times New Roman" w:hAnsi="Times New Roman" w:cs="Times New Roman"/>
          <w:sz w:val="26"/>
          <w:szCs w:val="26"/>
          <w:lang w:val="vi-VN"/>
        </w:rPr>
        <w:t xml:space="preserve">     (</w:t>
      </w:r>
      <w:r w:rsidRPr="00F22BA5">
        <w:rPr>
          <w:rFonts w:ascii="Times New Roman" w:hAnsi="Times New Roman" w:cs="Times New Roman"/>
          <w:sz w:val="26"/>
          <w:szCs w:val="26"/>
          <w:lang w:val="vi-VN"/>
        </w:rPr>
        <w:t>vòng/năm</w:t>
      </w:r>
      <w:r w:rsidRPr="00C076C0">
        <w:rPr>
          <w:rFonts w:ascii="Times New Roman" w:hAnsi="Times New Roman" w:cs="Times New Roman"/>
          <w:sz w:val="26"/>
          <w:szCs w:val="26"/>
          <w:lang w:val="vi-VN"/>
        </w:rPr>
        <w:t>)</w:t>
      </w:r>
      <w:r w:rsidRPr="00F22BA5">
        <w:rPr>
          <w:rFonts w:ascii="Times New Roman" w:hAnsi="Times New Roman" w:cs="Times New Roman"/>
          <w:sz w:val="26"/>
          <w:szCs w:val="26"/>
          <w:lang w:val="vi-VN"/>
        </w:rPr>
        <w:t xml:space="preserve"> </w:t>
      </w:r>
      <w:r w:rsidRPr="00C076C0">
        <w:rPr>
          <w:rFonts w:ascii="Times New Roman" w:hAnsi="Times New Roman" w:cs="Times New Roman"/>
          <w:sz w:val="26"/>
          <w:szCs w:val="26"/>
          <w:lang w:val="vi-VN"/>
        </w:rPr>
        <w:t xml:space="preserve">    [9]</w:t>
      </w:r>
    </w:p>
    <w:p w14:paraId="68DA1939"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w:t>
      </w:r>
      <w:r w:rsidRPr="00F22BA5">
        <w:rPr>
          <w:rFonts w:ascii="Times New Roman" w:hAnsi="Times New Roman" w:cs="Times New Roman"/>
          <w:sz w:val="26"/>
          <w:szCs w:val="26"/>
          <w:u w:val="single"/>
          <w:lang w:val="vi-VN"/>
        </w:rPr>
        <w:t>Ý nghĩa</w:t>
      </w:r>
      <w:r w:rsidRPr="00F22BA5">
        <w:rPr>
          <w:rFonts w:ascii="Times New Roman" w:hAnsi="Times New Roman" w:cs="Times New Roman"/>
          <w:sz w:val="26"/>
          <w:szCs w:val="26"/>
          <w:lang w:val="vi-VN"/>
        </w:rPr>
        <w:t>: </w:t>
      </w:r>
    </w:p>
    <w:p w14:paraId="120688AF" w14:textId="77777777" w:rsidR="004B6704" w:rsidRPr="00F22BA5" w:rsidRDefault="004B6704" w:rsidP="004B6704">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Phản ánh khả năng biến hàng hóa thành doanh thu, từ đó tạo ra dòng tiền cho doanh nghiệp. Giúp xác định doanh nghiệp có giữ quá nhiều hàng hóa, dẫn đến lãng phí vốn, hay quản lý tốt chuỗi cung ứng.</w:t>
      </w:r>
    </w:p>
    <w:p w14:paraId="1FB66769" w14:textId="77777777" w:rsidR="004B6704" w:rsidRPr="00F22BA5" w:rsidRDefault="004B6704" w:rsidP="004B6704">
      <w:pPr>
        <w:numPr>
          <w:ilvl w:val="0"/>
          <w:numId w:val="15"/>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Số vòng quay hàng tồn kho càng cao (&gt;8 lần/năm) thì việc kinh doanh của doanh nghiệp càng tốt do doanh nghiệp đang quản lý tốt việc cung cấp hàng hóa, giúp giảm thiểu chi phí lưu kho và tránh tình trạng hàng tồn kho quá lâu nhưng vẫn đạt được doanh thu cao.</w:t>
      </w:r>
    </w:p>
    <w:p w14:paraId="33A9E5B6" w14:textId="77777777" w:rsidR="004B6704" w:rsidRPr="00F22BA5" w:rsidRDefault="004B6704" w:rsidP="004B6704">
      <w:pPr>
        <w:numPr>
          <w:ilvl w:val="0"/>
          <w:numId w:val="15"/>
        </w:num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Ngược lại nếu số vòng quay hàng tồn kho càng thấp (&lt; 5 năm/ năm) cho thấy hàng hóa của doanh nghiệp không bán được, gây tốn kém chi phí lưu kho và có thể dẫn đến tình trạng tồn kho dư thừa hoặc hàng hóa lỗi thời.</w:t>
      </w:r>
    </w:p>
    <w:p w14:paraId="17DE444C" w14:textId="77777777" w:rsidR="004B6704" w:rsidRDefault="004B6704" w:rsidP="004B6704">
      <w:pPr>
        <w:spacing w:line="312" w:lineRule="auto"/>
        <w:ind w:left="360"/>
        <w:jc w:val="both"/>
        <w:rPr>
          <w:rFonts w:ascii="Times New Roman" w:hAnsi="Times New Roman" w:cs="Times New Roman"/>
          <w:i/>
          <w:sz w:val="26"/>
          <w:szCs w:val="26"/>
        </w:rPr>
      </w:pPr>
      <w:r w:rsidRPr="00F22BA5">
        <w:rPr>
          <w:rFonts w:ascii="Times New Roman" w:hAnsi="Times New Roman" w:cs="Times New Roman"/>
          <w:i/>
          <w:sz w:val="26"/>
          <w:szCs w:val="26"/>
          <w:lang w:val="vi-VN"/>
        </w:rPr>
        <w:t>Ảnh hưởng đến an toàn tài chính:</w:t>
      </w:r>
    </w:p>
    <w:p w14:paraId="649FC9AE" w14:textId="77777777"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1.9.</w:t>
      </w:r>
      <w:proofErr w:type="gramEnd"/>
      <w:r>
        <w:rPr>
          <w:rFonts w:ascii="Times New Roman" w:hAnsi="Times New Roman" w:cs="Times New Roman"/>
          <w:i/>
          <w:sz w:val="26"/>
          <w:szCs w:val="26"/>
        </w:rPr>
        <w:t xml:space="preserve"> Ảnh hưởng của vòng quay hàng tồn kho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w:t>
      </w:r>
    </w:p>
    <w:p w14:paraId="2B60A7CC" w14:textId="61090933" w:rsidR="009C5163" w:rsidRP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972"/>
        <w:gridCol w:w="4076"/>
      </w:tblGrid>
      <w:tr w:rsidR="004B6704" w:rsidRPr="00C076C0" w14:paraId="0552461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EECE88" w14:textId="77777777" w:rsidR="004B6704" w:rsidRPr="00C076C0" w:rsidRDefault="004B6704" w:rsidP="00897A44">
            <w:pPr>
              <w:spacing w:line="312" w:lineRule="auto"/>
              <w:jc w:val="both"/>
              <w:rPr>
                <w:rFonts w:ascii="Times New Roman" w:hAnsi="Times New Roman" w:cs="Times New Roman"/>
                <w:b/>
                <w:bCs/>
                <w:sz w:val="26"/>
                <w:szCs w:val="26"/>
              </w:rPr>
            </w:pPr>
            <w:r w:rsidRPr="00C076C0">
              <w:rPr>
                <w:rFonts w:ascii="Times New Roman" w:hAnsi="Times New Roman" w:cs="Times New Roman"/>
                <w:b/>
                <w:bCs/>
                <w:sz w:val="26"/>
                <w:szCs w:val="26"/>
              </w:rPr>
              <w:t>Số vòng quay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7616B8" w14:textId="77777777" w:rsidR="004B6704" w:rsidRPr="00C076C0" w:rsidRDefault="004B6704" w:rsidP="00897A44">
            <w:pPr>
              <w:spacing w:line="312" w:lineRule="auto"/>
              <w:jc w:val="both"/>
              <w:rPr>
                <w:rFonts w:ascii="Times New Roman" w:hAnsi="Times New Roman" w:cs="Times New Roman"/>
                <w:b/>
                <w:bCs/>
                <w:sz w:val="26"/>
                <w:szCs w:val="26"/>
              </w:rPr>
            </w:pPr>
            <w:r w:rsidRPr="00C076C0">
              <w:rPr>
                <w:rFonts w:ascii="Times New Roman" w:hAnsi="Times New Roman" w:cs="Times New Roman"/>
                <w:b/>
                <w:bCs/>
                <w:sz w:val="26"/>
                <w:szCs w:val="26"/>
              </w:rPr>
              <w:t>Số vòng quay thấp</w:t>
            </w:r>
          </w:p>
        </w:tc>
      </w:tr>
      <w:tr w:rsidR="004B6704" w:rsidRPr="00C076C0" w14:paraId="2CE62612"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58CC5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Dòng tiền quay vòng nhanh, giảm lượng vốn bị "chôn" trong kho, cải thiện thanh khoản.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4A8A2"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Dòng tiền bị ứ đọng do ốn bị "giam" trong hàng hóa chưa tiêu thụ </w:t>
            </w:r>
            <w:r w:rsidRPr="00C076C0">
              <w:rPr>
                <w:rFonts w:ascii="Cambria Math" w:hAnsi="Cambria Math" w:cs="Cambria Math"/>
                <w:sz w:val="26"/>
                <w:szCs w:val="26"/>
              </w:rPr>
              <w:t>⇒</w:t>
            </w:r>
            <w:r w:rsidRPr="00C076C0">
              <w:rPr>
                <w:rFonts w:ascii="Times New Roman" w:hAnsi="Times New Roman" w:cs="Times New Roman"/>
                <w:sz w:val="26"/>
                <w:szCs w:val="26"/>
              </w:rPr>
              <w:t xml:space="preserve"> ảnh hưởng thanh khoản.</w:t>
            </w:r>
          </w:p>
        </w:tc>
      </w:tr>
      <w:tr w:rsidR="004B6704" w:rsidRPr="00C076C0" w14:paraId="68EA57F5"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4F448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Giảm chi phí lưu kho như chi phí bảo quản, hư hao, hao hụt.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03B2AC"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rủi ro hao hụt, hư hỏng, đặc biệt với hàng dễ hỏng, lỗi mốt hoặc công nghệ lỗi thời.</w:t>
            </w:r>
          </w:p>
        </w:tc>
      </w:tr>
      <w:tr w:rsidR="004B6704" w:rsidRPr="00C076C0" w14:paraId="6B7B8C20"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3D4C4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Nâng cao hiệu quả sử dụng vốn: Vốn lưu động được sử dụng để tạo ra lợi nhuận thay vì nằm trong kho.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47725"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Giảm hiệu quả sử dụng vốn, lợi nhuận giảm nếu vốn lưu động không được khai thác hiệu quả.</w:t>
            </w:r>
          </w:p>
        </w:tc>
      </w:tr>
      <w:tr w:rsidR="004B6704" w:rsidRPr="00C076C0" w14:paraId="28342490"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B8A1D"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Nhưng có thể dẫn đến thiếu hàng nếu quản lý tồn kho quá "mỏng", dễ đứt gãy chuỗi cung ứng hoặc mất khách hàng.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AE8514"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Áp lực chi phí tăng bao gồm chi phí lưu kho, bảo quản, khấu hao tài sản liên quan.</w:t>
            </w:r>
          </w:p>
        </w:tc>
      </w:tr>
    </w:tbl>
    <w:p w14:paraId="7AA9EF29" w14:textId="77777777" w:rsidR="004B6704" w:rsidRPr="00E12E90" w:rsidRDefault="004B6704" w:rsidP="00E12E90">
      <w:pPr>
        <w:spacing w:line="312" w:lineRule="auto"/>
        <w:jc w:val="both"/>
        <w:rPr>
          <w:rFonts w:ascii="Times New Roman" w:hAnsi="Times New Roman" w:cs="Times New Roman"/>
          <w:sz w:val="26"/>
          <w:szCs w:val="26"/>
          <w:lang w:val="vi-VN"/>
        </w:rPr>
      </w:pPr>
    </w:p>
    <w:p w14:paraId="6962E159" w14:textId="77777777" w:rsidR="003803F6" w:rsidRDefault="003803F6">
      <w:pPr>
        <w:spacing w:after="160" w:line="259" w:lineRule="auto"/>
        <w:rPr>
          <w:rFonts w:ascii="Times New Roman" w:hAnsi="Times New Roman" w:cs="Times New Roman"/>
          <w:sz w:val="26"/>
          <w:szCs w:val="26"/>
        </w:rPr>
      </w:pPr>
      <w:r>
        <w:rPr>
          <w:rFonts w:ascii="Times New Roman" w:hAnsi="Times New Roman" w:cs="Times New Roman"/>
          <w:sz w:val="26"/>
          <w:szCs w:val="26"/>
        </w:rPr>
        <w:br w:type="page"/>
      </w:r>
    </w:p>
    <w:p w14:paraId="6448F732" w14:textId="531F0DD7" w:rsidR="004B6704" w:rsidRPr="00656441" w:rsidRDefault="004B6704" w:rsidP="004B6704">
      <w:pPr>
        <w:spacing w:line="312" w:lineRule="auto"/>
        <w:ind w:left="993" w:hanging="284"/>
        <w:jc w:val="both"/>
        <w:rPr>
          <w:rFonts w:ascii="Times New Roman" w:hAnsi="Times New Roman" w:cs="Times New Roman"/>
          <w:i/>
          <w:iCs/>
          <w:sz w:val="26"/>
          <w:szCs w:val="26"/>
          <w:lang w:val="vi-VN"/>
        </w:rPr>
      </w:pPr>
      <w:r w:rsidRPr="00C076C0">
        <w:rPr>
          <w:rFonts w:ascii="Times New Roman" w:hAnsi="Times New Roman" w:cs="Times New Roman"/>
          <w:sz w:val="26"/>
          <w:szCs w:val="26"/>
        </w:rPr>
        <w:lastRenderedPageBreak/>
        <w:t> </w:t>
      </w:r>
      <w:r w:rsidRPr="00C076C0">
        <w:rPr>
          <w:rFonts w:ascii="Times New Roman" w:hAnsi="Times New Roman" w:cs="Times New Roman"/>
          <w:b/>
          <w:bCs/>
          <w:i/>
          <w:iCs/>
          <w:sz w:val="26"/>
          <w:szCs w:val="26"/>
        </w:rPr>
        <w:t>b. Vòng quay</w:t>
      </w:r>
      <w:r w:rsidR="00656441">
        <w:rPr>
          <w:rFonts w:ascii="Times New Roman" w:hAnsi="Times New Roman" w:cs="Times New Roman"/>
          <w:b/>
          <w:bCs/>
          <w:i/>
          <w:iCs/>
          <w:sz w:val="26"/>
          <w:szCs w:val="26"/>
          <w:lang w:val="vi-VN"/>
        </w:rPr>
        <w:t xml:space="preserve"> tổng</w:t>
      </w:r>
      <w:r w:rsidRPr="00656441">
        <w:rPr>
          <w:rFonts w:ascii="Times New Roman" w:hAnsi="Times New Roman" w:cs="Times New Roman"/>
          <w:b/>
          <w:bCs/>
          <w:i/>
          <w:iCs/>
          <w:sz w:val="26"/>
          <w:szCs w:val="26"/>
          <w:lang w:val="vi-VN"/>
        </w:rPr>
        <w:t xml:space="preserve"> tài sản</w:t>
      </w:r>
    </w:p>
    <w:p w14:paraId="5E402A61" w14:textId="3F135355" w:rsidR="004B6704" w:rsidRPr="00ED419E" w:rsidRDefault="004B6704" w:rsidP="004B6704">
      <w:pPr>
        <w:spacing w:line="312" w:lineRule="auto"/>
        <w:ind w:firstLine="720"/>
        <w:jc w:val="both"/>
        <w:rPr>
          <w:rFonts w:ascii="Times New Roman" w:hAnsi="Times New Roman" w:cs="Times New Roman"/>
          <w:sz w:val="26"/>
          <w:szCs w:val="26"/>
          <w:lang w:val="vi-VN"/>
        </w:rPr>
      </w:pPr>
      <w:r w:rsidRPr="00656441">
        <w:rPr>
          <w:rFonts w:ascii="Times New Roman" w:hAnsi="Times New Roman" w:cs="Times New Roman"/>
          <w:sz w:val="26"/>
          <w:szCs w:val="26"/>
          <w:lang w:val="vi-VN"/>
        </w:rPr>
        <w:t>  Vòng quay</w:t>
      </w:r>
      <w:r w:rsidR="00656441">
        <w:rPr>
          <w:rFonts w:ascii="Times New Roman" w:hAnsi="Times New Roman" w:cs="Times New Roman"/>
          <w:sz w:val="26"/>
          <w:szCs w:val="26"/>
          <w:lang w:val="vi-VN"/>
        </w:rPr>
        <w:t xml:space="preserve"> tổng</w:t>
      </w:r>
      <w:r w:rsidRPr="00656441">
        <w:rPr>
          <w:rFonts w:ascii="Times New Roman" w:hAnsi="Times New Roman" w:cs="Times New Roman"/>
          <w:sz w:val="26"/>
          <w:szCs w:val="26"/>
          <w:lang w:val="vi-VN"/>
        </w:rPr>
        <w:t xml:space="preserve"> tài sản là chỉ số tài chính cho biết mỗi đồng tài sản của doanh nghiệp tạo ra được bao nhiêu đồng doanh thu trong kỳ. </w:t>
      </w:r>
      <w:r w:rsidRPr="00ED419E">
        <w:rPr>
          <w:rFonts w:ascii="Times New Roman" w:hAnsi="Times New Roman" w:cs="Times New Roman"/>
          <w:sz w:val="26"/>
          <w:szCs w:val="26"/>
          <w:lang w:val="vi-VN"/>
        </w:rPr>
        <w:t>Đây là chỉ tiêu đo lường hiệu quả sử dụng toàn bộ tài sản của doanh nghiệp trong hoạt động kinh doanh.</w:t>
      </w:r>
    </w:p>
    <w:p w14:paraId="5EA6B6AF" w14:textId="77777777" w:rsidR="004B6704" w:rsidRPr="00C076C0" w:rsidRDefault="004B6704" w:rsidP="004B6704">
      <w:pPr>
        <w:spacing w:line="312" w:lineRule="auto"/>
        <w:jc w:val="both"/>
        <w:rPr>
          <w:rFonts w:ascii="Times New Roman" w:hAnsi="Times New Roman" w:cs="Times New Roman"/>
          <w:sz w:val="26"/>
          <w:szCs w:val="26"/>
          <w:lang w:val="vi-VN"/>
        </w:rPr>
      </w:pPr>
      <w:r w:rsidRPr="00ED419E">
        <w:rPr>
          <w:rFonts w:ascii="Times New Roman" w:hAnsi="Times New Roman" w:cs="Times New Roman"/>
          <w:sz w:val="26"/>
          <w:szCs w:val="26"/>
          <w:lang w:val="vi-VN"/>
        </w:rPr>
        <w:t xml:space="preserve">                 </w:t>
      </w:r>
      <w:r w:rsidRPr="00C076C0">
        <w:rPr>
          <w:rFonts w:ascii="Times New Roman" w:hAnsi="Times New Roman" w:cs="Times New Roman"/>
          <w:noProof/>
          <w:sz w:val="26"/>
          <w:szCs w:val="26"/>
          <w:lang w:eastAsia="en-US"/>
        </w:rPr>
        <w:drawing>
          <wp:inline distT="0" distB="0" distL="0" distR="0" wp14:anchorId="12CF8BF9" wp14:editId="3F3989D4">
            <wp:extent cx="2964180" cy="411480"/>
            <wp:effectExtent l="0" t="0" r="7620" b="7620"/>
            <wp:docPr id="1810510483" name="Picture 2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510483" name="Picture 21" descr="A black background with white text&#10;&#10;AI-generated content may b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64180" cy="411480"/>
                    </a:xfrm>
                    <a:prstGeom prst="rect">
                      <a:avLst/>
                    </a:prstGeom>
                    <a:noFill/>
                    <a:ln>
                      <a:noFill/>
                    </a:ln>
                  </pic:spPr>
                </pic:pic>
              </a:graphicData>
            </a:graphic>
          </wp:inline>
        </w:drawing>
      </w:r>
      <w:r w:rsidRPr="00C076C0">
        <w:rPr>
          <w:rFonts w:ascii="Times New Roman" w:hAnsi="Times New Roman" w:cs="Times New Roman"/>
          <w:sz w:val="26"/>
          <w:szCs w:val="26"/>
          <w:lang w:val="vi-VN"/>
        </w:rPr>
        <w:t xml:space="preserve">        (</w:t>
      </w:r>
      <w:r w:rsidRPr="00ED419E">
        <w:rPr>
          <w:rFonts w:ascii="Times New Roman" w:hAnsi="Times New Roman" w:cs="Times New Roman"/>
          <w:sz w:val="26"/>
          <w:szCs w:val="26"/>
          <w:lang w:val="vi-VN"/>
        </w:rPr>
        <w:t>vòng/năm</w:t>
      </w:r>
      <w:r w:rsidRPr="00C076C0">
        <w:rPr>
          <w:rFonts w:ascii="Times New Roman" w:hAnsi="Times New Roman" w:cs="Times New Roman"/>
          <w:sz w:val="26"/>
          <w:szCs w:val="26"/>
          <w:lang w:val="vi-VN"/>
        </w:rPr>
        <w:t>)</w:t>
      </w:r>
      <w:r w:rsidRPr="00ED419E">
        <w:rPr>
          <w:rFonts w:ascii="Times New Roman" w:hAnsi="Times New Roman" w:cs="Times New Roman"/>
          <w:sz w:val="26"/>
          <w:szCs w:val="26"/>
          <w:lang w:val="vi-VN"/>
        </w:rPr>
        <w:t xml:space="preserve"> </w:t>
      </w:r>
      <w:r w:rsidRPr="00C076C0">
        <w:rPr>
          <w:rFonts w:ascii="Times New Roman" w:hAnsi="Times New Roman" w:cs="Times New Roman"/>
          <w:sz w:val="26"/>
          <w:szCs w:val="26"/>
          <w:lang w:val="vi-VN"/>
        </w:rPr>
        <w:t xml:space="preserve">    [10]</w:t>
      </w:r>
    </w:p>
    <w:p w14:paraId="1C57C368" w14:textId="77777777" w:rsidR="004B6704" w:rsidRPr="00ED419E" w:rsidRDefault="004B6704" w:rsidP="004B6704">
      <w:pPr>
        <w:spacing w:line="312" w:lineRule="auto"/>
        <w:jc w:val="both"/>
        <w:rPr>
          <w:rFonts w:ascii="Times New Roman" w:hAnsi="Times New Roman" w:cs="Times New Roman"/>
          <w:sz w:val="26"/>
          <w:szCs w:val="26"/>
          <w:lang w:val="vi-VN"/>
        </w:rPr>
      </w:pPr>
      <w:r w:rsidRPr="00ED419E">
        <w:rPr>
          <w:rFonts w:ascii="Times New Roman" w:hAnsi="Times New Roman" w:cs="Times New Roman"/>
          <w:sz w:val="26"/>
          <w:szCs w:val="26"/>
          <w:lang w:val="vi-VN"/>
        </w:rPr>
        <w:t>  </w:t>
      </w:r>
      <w:r w:rsidRPr="00ED419E">
        <w:rPr>
          <w:rFonts w:ascii="Times New Roman" w:hAnsi="Times New Roman" w:cs="Times New Roman"/>
          <w:sz w:val="26"/>
          <w:szCs w:val="26"/>
          <w:u w:val="single"/>
          <w:lang w:val="vi-VN"/>
        </w:rPr>
        <w:t>Ý nghĩa</w:t>
      </w:r>
      <w:r w:rsidRPr="00ED419E">
        <w:rPr>
          <w:rFonts w:ascii="Times New Roman" w:hAnsi="Times New Roman" w:cs="Times New Roman"/>
          <w:sz w:val="26"/>
          <w:szCs w:val="26"/>
          <w:lang w:val="vi-VN"/>
        </w:rPr>
        <w:t>: </w:t>
      </w:r>
    </w:p>
    <w:p w14:paraId="6DF03562" w14:textId="77777777" w:rsidR="004B6704" w:rsidRPr="00ED419E" w:rsidRDefault="004B6704" w:rsidP="004B6704">
      <w:pPr>
        <w:spacing w:line="312" w:lineRule="auto"/>
        <w:jc w:val="both"/>
        <w:rPr>
          <w:rFonts w:ascii="Times New Roman" w:hAnsi="Times New Roman" w:cs="Times New Roman"/>
          <w:sz w:val="26"/>
          <w:szCs w:val="26"/>
          <w:lang w:val="vi-VN"/>
        </w:rPr>
      </w:pPr>
      <w:r w:rsidRPr="00ED419E">
        <w:rPr>
          <w:rFonts w:ascii="Times New Roman" w:hAnsi="Times New Roman" w:cs="Times New Roman"/>
          <w:sz w:val="26"/>
          <w:szCs w:val="26"/>
          <w:lang w:val="vi-VN"/>
        </w:rPr>
        <w:t>   Đánh giá hiệu suất sử dụng tài sản toàn diện của doanh nghiệp, không chỉ riêng vốn lưu động hay tài sản cố định. Giúp nhà quản lý xác định mức độ khai thác tài sản trong việc tạo ra dòng tiền và doanh thu. Chỉ số này thường được dùng để so sánh hiệu quả hoạt động giữa các doanh nghiệp cùng ngành.</w:t>
      </w:r>
    </w:p>
    <w:p w14:paraId="333CF12E" w14:textId="77777777" w:rsidR="004B6704" w:rsidRPr="00ED419E" w:rsidRDefault="004B6704" w:rsidP="004B6704">
      <w:pPr>
        <w:numPr>
          <w:ilvl w:val="0"/>
          <w:numId w:val="17"/>
        </w:numPr>
        <w:spacing w:line="312" w:lineRule="auto"/>
        <w:jc w:val="both"/>
        <w:rPr>
          <w:rFonts w:ascii="Times New Roman" w:hAnsi="Times New Roman" w:cs="Times New Roman"/>
          <w:sz w:val="26"/>
          <w:szCs w:val="26"/>
          <w:lang w:val="vi-VN"/>
        </w:rPr>
      </w:pPr>
      <w:r w:rsidRPr="00ED419E">
        <w:rPr>
          <w:rFonts w:ascii="Times New Roman" w:hAnsi="Times New Roman" w:cs="Times New Roman"/>
          <w:sz w:val="26"/>
          <w:szCs w:val="26"/>
          <w:lang w:val="vi-VN"/>
        </w:rPr>
        <w:t>Chỉ số càng cao (&gt;2 lần/năm): Doanh nghiệp sử dụng tài sản hiệu quả, tạo ra nhiều doanh thu từ cùng một lượng tài sản, công ty thu tiền nhanh, chính sách tín dụng chặt chẽ.</w:t>
      </w:r>
    </w:p>
    <w:p w14:paraId="43FD3FDC" w14:textId="77777777" w:rsidR="004B6704" w:rsidRPr="00ED419E" w:rsidRDefault="004B6704" w:rsidP="004B6704">
      <w:pPr>
        <w:numPr>
          <w:ilvl w:val="0"/>
          <w:numId w:val="17"/>
        </w:numPr>
        <w:spacing w:line="312" w:lineRule="auto"/>
        <w:jc w:val="both"/>
        <w:rPr>
          <w:rFonts w:ascii="Times New Roman" w:hAnsi="Times New Roman" w:cs="Times New Roman"/>
          <w:sz w:val="26"/>
          <w:szCs w:val="26"/>
          <w:lang w:val="vi-VN"/>
        </w:rPr>
      </w:pPr>
      <w:r w:rsidRPr="00ED419E">
        <w:rPr>
          <w:rFonts w:ascii="Times New Roman" w:hAnsi="Times New Roman" w:cs="Times New Roman"/>
          <w:sz w:val="26"/>
          <w:szCs w:val="26"/>
          <w:lang w:val="vi-VN"/>
        </w:rPr>
        <w:t>Chỉ số thấp (&lt; 1 lần/năm): Tài sản đang bị sử dụng kém hiệu quả, doanh nghiệp có thể đang lãng phí nguồn lực hoặc cho khách nợ quá lâu, rủi ro khó đòi tăng lên.</w:t>
      </w:r>
    </w:p>
    <w:p w14:paraId="6587C611" w14:textId="77777777" w:rsidR="004B6704" w:rsidRDefault="004B6704" w:rsidP="004B6704">
      <w:pPr>
        <w:spacing w:line="312" w:lineRule="auto"/>
        <w:ind w:left="360"/>
        <w:jc w:val="both"/>
        <w:rPr>
          <w:rFonts w:ascii="Times New Roman" w:hAnsi="Times New Roman" w:cs="Times New Roman"/>
          <w:i/>
          <w:sz w:val="26"/>
          <w:szCs w:val="26"/>
        </w:rPr>
      </w:pPr>
      <w:r w:rsidRPr="00ED419E">
        <w:rPr>
          <w:rFonts w:ascii="Times New Roman" w:hAnsi="Times New Roman" w:cs="Times New Roman"/>
          <w:i/>
          <w:sz w:val="26"/>
          <w:szCs w:val="26"/>
          <w:lang w:val="vi-VN"/>
        </w:rPr>
        <w:t>Ảnh hưởng đến an toàn tài chính:</w:t>
      </w:r>
    </w:p>
    <w:p w14:paraId="172A2B52" w14:textId="021D778C"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1.10.</w:t>
      </w:r>
      <w:proofErr w:type="gramEnd"/>
      <w:r>
        <w:rPr>
          <w:rFonts w:ascii="Times New Roman" w:hAnsi="Times New Roman" w:cs="Times New Roman"/>
          <w:i/>
          <w:sz w:val="26"/>
          <w:szCs w:val="26"/>
        </w:rPr>
        <w:t xml:space="preserve"> Ảnh hưởng của vòng quay tổng tài sản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w:t>
      </w:r>
    </w:p>
    <w:p w14:paraId="32B2E66F" w14:textId="47CCA4A8" w:rsidR="009C5163" w:rsidRP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các</w:t>
      </w:r>
      <w:proofErr w:type="gramEnd"/>
      <w:r>
        <w:rPr>
          <w:rFonts w:ascii="Times New Roman" w:hAnsi="Times New Roman" w:cs="Times New Roman"/>
          <w:i/>
          <w:sz w:val="26"/>
          <w:szCs w:val="26"/>
        </w:rPr>
        <w:t xml:space="preserve"> CTCP niêm yết thuộc TKV</w:t>
      </w:r>
    </w:p>
    <w:tbl>
      <w:tblPr>
        <w:tblW w:w="0" w:type="auto"/>
        <w:tblCellMar>
          <w:top w:w="15" w:type="dxa"/>
          <w:left w:w="15" w:type="dxa"/>
          <w:bottom w:w="15" w:type="dxa"/>
          <w:right w:w="15" w:type="dxa"/>
        </w:tblCellMar>
        <w:tblLook w:val="04A0" w:firstRow="1" w:lastRow="0" w:firstColumn="1" w:lastColumn="0" w:noHBand="0" w:noVBand="1"/>
      </w:tblPr>
      <w:tblGrid>
        <w:gridCol w:w="4323"/>
        <w:gridCol w:w="4642"/>
      </w:tblGrid>
      <w:tr w:rsidR="004B6704" w:rsidRPr="00C076C0" w14:paraId="71A17A3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C670A4" w14:textId="77777777" w:rsidR="004B6704" w:rsidRPr="00C076C0" w:rsidRDefault="004B6704" w:rsidP="00897A44">
            <w:pPr>
              <w:spacing w:line="312" w:lineRule="auto"/>
              <w:jc w:val="both"/>
              <w:rPr>
                <w:rFonts w:ascii="Times New Roman" w:hAnsi="Times New Roman" w:cs="Times New Roman"/>
                <w:b/>
                <w:bCs/>
                <w:sz w:val="26"/>
                <w:szCs w:val="26"/>
              </w:rPr>
            </w:pPr>
            <w:r w:rsidRPr="00C076C0">
              <w:rPr>
                <w:rFonts w:ascii="Times New Roman" w:hAnsi="Times New Roman" w:cs="Times New Roman"/>
                <w:b/>
                <w:bCs/>
                <w:sz w:val="26"/>
                <w:szCs w:val="26"/>
              </w:rPr>
              <w:t>Vòng quay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DBFDB8" w14:textId="77777777" w:rsidR="004B6704" w:rsidRPr="00C076C0" w:rsidRDefault="004B6704" w:rsidP="00897A44">
            <w:pPr>
              <w:spacing w:line="312" w:lineRule="auto"/>
              <w:jc w:val="both"/>
              <w:rPr>
                <w:rFonts w:ascii="Times New Roman" w:hAnsi="Times New Roman" w:cs="Times New Roman"/>
                <w:b/>
                <w:bCs/>
                <w:sz w:val="26"/>
                <w:szCs w:val="26"/>
              </w:rPr>
            </w:pPr>
            <w:r w:rsidRPr="00C076C0">
              <w:rPr>
                <w:rFonts w:ascii="Times New Roman" w:hAnsi="Times New Roman" w:cs="Times New Roman"/>
                <w:b/>
                <w:bCs/>
                <w:sz w:val="26"/>
                <w:szCs w:val="26"/>
              </w:rPr>
              <w:t>Vòng quay thấp</w:t>
            </w:r>
          </w:p>
        </w:tc>
      </w:tr>
      <w:tr w:rsidR="004B6704" w:rsidRPr="00C076C0" w14:paraId="43737DEE"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DBAD35"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Thu tiền nhanh → dòng tiền tốt.</w:t>
            </w:r>
          </w:p>
          <w:p w14:paraId="3890C0DE"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Giảm rủi ro nợ xấu, thất thoát.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43CCB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Khả năng quản lý công nợ yếu.</w:t>
            </w:r>
          </w:p>
          <w:p w14:paraId="5811F1B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Tiềm ẩn nguy cơ mất vốn nếu khách không trả.</w:t>
            </w:r>
          </w:p>
        </w:tc>
      </w:tr>
      <w:tr w:rsidR="004B6704" w:rsidRPr="00C076C0" w14:paraId="36DEC9E7"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B2FBFC"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Có thể do chính sách tín dụng quá nghiêm, ảnh hưởng doanh số.</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79DB4C"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Có thể đang cố gắng tăng doanh thu bằng cách bán chịu nhiều.</w:t>
            </w:r>
          </w:p>
        </w:tc>
      </w:tr>
      <w:tr w:rsidR="004B6704" w:rsidRPr="00C076C0" w14:paraId="6EE76AF3"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F46DD9"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Phù hợp với doanh nghiệp cần dòng tiền nhanh như thương mại.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26E9E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Cần cải thiện công tác thu hồi nợ hoặc xem xét lại chính sách bán hàng.</w:t>
            </w:r>
          </w:p>
        </w:tc>
      </w:tr>
    </w:tbl>
    <w:p w14:paraId="3EFEE30A" w14:textId="77777777" w:rsidR="004B6704" w:rsidRPr="00C076C0" w:rsidRDefault="004B6704" w:rsidP="004B6704">
      <w:pPr>
        <w:spacing w:line="312" w:lineRule="auto"/>
        <w:jc w:val="both"/>
        <w:rPr>
          <w:rFonts w:ascii="Times New Roman" w:hAnsi="Times New Roman" w:cs="Times New Roman"/>
          <w:sz w:val="26"/>
          <w:szCs w:val="26"/>
        </w:rPr>
      </w:pPr>
    </w:p>
    <w:p w14:paraId="5358CCB9" w14:textId="77777777" w:rsidR="004B6704" w:rsidRPr="00C076C0" w:rsidRDefault="004B6704" w:rsidP="004B6704">
      <w:pPr>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b/>
          <w:bCs/>
          <w:i/>
          <w:iCs/>
          <w:sz w:val="26"/>
          <w:szCs w:val="26"/>
        </w:rPr>
        <w:t>c. Hiệu suất sử dụng vốn cố định </w:t>
      </w:r>
    </w:p>
    <w:p w14:paraId="10B2CA19"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 xml:space="preserve">    Hiệu suất sử dụng vốn cố định là chỉ tiêu phản ánh mức độ hiệu quả trong việc sử dụng vốn cố định (tài sản dài hạn) để tạo ra doanh thu từ hoạt động kinh </w:t>
      </w:r>
      <w:r w:rsidRPr="00C076C0">
        <w:rPr>
          <w:rFonts w:ascii="Times New Roman" w:hAnsi="Times New Roman" w:cs="Times New Roman"/>
          <w:sz w:val="26"/>
          <w:szCs w:val="26"/>
        </w:rPr>
        <w:lastRenderedPageBreak/>
        <w:t>doanh. Nó cho biết mỗi đồng vốn cố định đầu tư mang lại bao nhiêu đồng doanh thu.</w:t>
      </w:r>
    </w:p>
    <w:p w14:paraId="06F2BFB5" w14:textId="5B768EC8" w:rsidR="004B6704" w:rsidRPr="00E54ABA" w:rsidRDefault="004B6704" w:rsidP="00E54ABA">
      <w:pPr>
        <w:spacing w:line="312" w:lineRule="auto"/>
        <w:jc w:val="both"/>
        <w:rPr>
          <w:rFonts w:ascii="Times New Roman" w:hAnsi="Times New Roman" w:cs="Times New Roman"/>
          <w:sz w:val="26"/>
          <w:szCs w:val="26"/>
          <w:lang w:val="vi-VN"/>
        </w:rPr>
      </w:pPr>
      <w:r w:rsidRPr="00C076C0">
        <w:rPr>
          <w:rFonts w:ascii="Times New Roman" w:hAnsi="Times New Roman" w:cs="Times New Roman"/>
          <w:sz w:val="26"/>
          <w:szCs w:val="26"/>
        </w:rPr>
        <w:t xml:space="preserve">                 </w:t>
      </w:r>
      <w:r w:rsidRPr="00C076C0">
        <w:rPr>
          <w:rFonts w:ascii="Times New Roman" w:hAnsi="Times New Roman" w:cs="Times New Roman"/>
          <w:noProof/>
          <w:sz w:val="26"/>
          <w:szCs w:val="26"/>
          <w:lang w:eastAsia="en-US"/>
        </w:rPr>
        <w:drawing>
          <wp:inline distT="0" distB="0" distL="0" distR="0" wp14:anchorId="1D69509A" wp14:editId="6C45DB77">
            <wp:extent cx="3733800" cy="411480"/>
            <wp:effectExtent l="0" t="0" r="0" b="7620"/>
            <wp:docPr id="207204547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33800" cy="411480"/>
                    </a:xfrm>
                    <a:prstGeom prst="rect">
                      <a:avLst/>
                    </a:prstGeom>
                    <a:noFill/>
                    <a:ln>
                      <a:noFill/>
                    </a:ln>
                  </pic:spPr>
                </pic:pic>
              </a:graphicData>
            </a:graphic>
          </wp:inline>
        </w:drawing>
      </w:r>
      <w:r w:rsidRPr="00C076C0">
        <w:rPr>
          <w:rFonts w:ascii="Times New Roman" w:hAnsi="Times New Roman" w:cs="Times New Roman"/>
          <w:sz w:val="26"/>
          <w:szCs w:val="26"/>
          <w:lang w:val="vi-VN"/>
        </w:rPr>
        <w:t xml:space="preserve">   (</w:t>
      </w:r>
      <w:r w:rsidRPr="00C076C0">
        <w:rPr>
          <w:rFonts w:ascii="Times New Roman" w:hAnsi="Times New Roman" w:cs="Times New Roman"/>
          <w:sz w:val="26"/>
          <w:szCs w:val="26"/>
        </w:rPr>
        <w:t>vòng/năm</w:t>
      </w:r>
      <w:r w:rsidRPr="00C076C0">
        <w:rPr>
          <w:rFonts w:ascii="Times New Roman" w:hAnsi="Times New Roman" w:cs="Times New Roman"/>
          <w:sz w:val="26"/>
          <w:szCs w:val="26"/>
          <w:lang w:val="vi-VN"/>
        </w:rPr>
        <w:t>)</w:t>
      </w:r>
      <w:r w:rsidRPr="00C076C0">
        <w:rPr>
          <w:rFonts w:ascii="Times New Roman" w:hAnsi="Times New Roman" w:cs="Times New Roman"/>
          <w:sz w:val="26"/>
          <w:szCs w:val="26"/>
        </w:rPr>
        <w:t xml:space="preserve"> </w:t>
      </w:r>
      <w:r w:rsidRPr="00C076C0">
        <w:rPr>
          <w:rFonts w:ascii="Times New Roman" w:hAnsi="Times New Roman" w:cs="Times New Roman"/>
          <w:sz w:val="26"/>
          <w:szCs w:val="26"/>
          <w:lang w:val="vi-VN"/>
        </w:rPr>
        <w:t xml:space="preserve">    [11]</w:t>
      </w:r>
    </w:p>
    <w:p w14:paraId="29B12C57"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u w:val="single"/>
        </w:rPr>
        <w:t>Ý nghĩa</w:t>
      </w:r>
      <w:r w:rsidRPr="00C076C0">
        <w:rPr>
          <w:rFonts w:ascii="Times New Roman" w:hAnsi="Times New Roman" w:cs="Times New Roman"/>
          <w:sz w:val="26"/>
          <w:szCs w:val="26"/>
        </w:rPr>
        <w:t>:</w:t>
      </w:r>
    </w:p>
    <w:p w14:paraId="0CFED82E"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Phản ánh hiệu quả khai thác máy móc, thiết bị, nhà xưởng, phương tiện sản xuất.</w:t>
      </w:r>
    </w:p>
    <w:p w14:paraId="1C9DFDFA" w14:textId="3F7FD57B" w:rsidR="004B6704" w:rsidRPr="009C5163" w:rsidRDefault="004B6704" w:rsidP="009C5163">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Cho thấy mức độ sinh lời gián tiếp từ tài sản dài hạn – yếu tố nền tảng cho phát triển bền vững. </w:t>
      </w:r>
      <w:proofErr w:type="gramStart"/>
      <w:r w:rsidRPr="00C076C0">
        <w:rPr>
          <w:rFonts w:ascii="Times New Roman" w:hAnsi="Times New Roman" w:cs="Times New Roman"/>
          <w:sz w:val="26"/>
          <w:szCs w:val="26"/>
        </w:rPr>
        <w:t>Giúp doanh nghiệp đánh giá cần đầu tư thêm, duy trì hay tái cấu trúc tài sản cố định.</w:t>
      </w:r>
      <w:proofErr w:type="gramEnd"/>
    </w:p>
    <w:p w14:paraId="74252FC4" w14:textId="77777777" w:rsidR="004B6704" w:rsidRPr="00C076C0" w:rsidRDefault="004B6704" w:rsidP="004B6704">
      <w:pPr>
        <w:numPr>
          <w:ilvl w:val="0"/>
          <w:numId w:val="19"/>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Chỉ số cao (&gt;3 lần/ năm): Doanh nghiệp sử dụng tài sản cố định hiệu quả để tối ưu hóa đầu </w:t>
      </w:r>
      <w:proofErr w:type="gramStart"/>
      <w:r w:rsidRPr="00C076C0">
        <w:rPr>
          <w:rFonts w:ascii="Times New Roman" w:hAnsi="Times New Roman" w:cs="Times New Roman"/>
          <w:sz w:val="26"/>
          <w:szCs w:val="26"/>
        </w:rPr>
        <w:t>tư</w:t>
      </w:r>
      <w:proofErr w:type="gramEnd"/>
      <w:r w:rsidRPr="00C076C0">
        <w:rPr>
          <w:rFonts w:ascii="Times New Roman" w:hAnsi="Times New Roman" w:cs="Times New Roman"/>
          <w:sz w:val="26"/>
          <w:szCs w:val="26"/>
        </w:rPr>
        <w:t>.</w:t>
      </w:r>
    </w:p>
    <w:p w14:paraId="51A66B23" w14:textId="77777777" w:rsidR="004B6704" w:rsidRPr="00C076C0" w:rsidRDefault="004B6704" w:rsidP="004B6704">
      <w:pPr>
        <w:numPr>
          <w:ilvl w:val="0"/>
          <w:numId w:val="19"/>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Chỉ số trung bình (1,5 - 3 lần/năm): Mức sử dụng chấp nhận được, có thể cải thiện.</w:t>
      </w:r>
    </w:p>
    <w:p w14:paraId="7868FE25" w14:textId="77777777" w:rsidR="004B6704" w:rsidRPr="00010593" w:rsidRDefault="004B6704" w:rsidP="004B6704">
      <w:pPr>
        <w:numPr>
          <w:ilvl w:val="0"/>
          <w:numId w:val="19"/>
        </w:num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Chỉ số thấp (&lt;1,5 lần/ năm): Vốn cố định được sử dụng kém hiệu quả, có thể vốn bị nhàn rỗi, lãng phí.</w:t>
      </w:r>
    </w:p>
    <w:p w14:paraId="6EEAC8E0" w14:textId="77777777" w:rsidR="004B6704" w:rsidRDefault="004B6704" w:rsidP="004B6704">
      <w:pPr>
        <w:spacing w:line="312" w:lineRule="auto"/>
        <w:ind w:left="360"/>
        <w:jc w:val="both"/>
        <w:rPr>
          <w:rFonts w:ascii="Times New Roman" w:hAnsi="Times New Roman" w:cs="Times New Roman"/>
          <w:i/>
          <w:sz w:val="26"/>
          <w:szCs w:val="26"/>
        </w:rPr>
      </w:pPr>
      <w:r w:rsidRPr="00010593">
        <w:rPr>
          <w:rFonts w:ascii="Times New Roman" w:hAnsi="Times New Roman" w:cs="Times New Roman"/>
          <w:i/>
          <w:sz w:val="26"/>
          <w:szCs w:val="26"/>
        </w:rPr>
        <w:t xml:space="preserve">Ảnh hưởng đến </w:t>
      </w:r>
      <w:proofErr w:type="gramStart"/>
      <w:r w:rsidRPr="00010593">
        <w:rPr>
          <w:rFonts w:ascii="Times New Roman" w:hAnsi="Times New Roman" w:cs="Times New Roman"/>
          <w:i/>
          <w:sz w:val="26"/>
          <w:szCs w:val="26"/>
        </w:rPr>
        <w:t>an</w:t>
      </w:r>
      <w:proofErr w:type="gramEnd"/>
      <w:r w:rsidRPr="00010593">
        <w:rPr>
          <w:rFonts w:ascii="Times New Roman" w:hAnsi="Times New Roman" w:cs="Times New Roman"/>
          <w:i/>
          <w:sz w:val="26"/>
          <w:szCs w:val="26"/>
        </w:rPr>
        <w:t xml:space="preserve"> toàn tài chính:</w:t>
      </w:r>
    </w:p>
    <w:p w14:paraId="262D9C31" w14:textId="071E8103" w:rsidR="009C5163" w:rsidRPr="0001059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1.11.</w:t>
      </w:r>
      <w:proofErr w:type="gramEnd"/>
      <w:r>
        <w:rPr>
          <w:rFonts w:ascii="Times New Roman" w:hAnsi="Times New Roman" w:cs="Times New Roman"/>
          <w:i/>
          <w:sz w:val="26"/>
          <w:szCs w:val="26"/>
        </w:rPr>
        <w:t xml:space="preserve"> Ảnh hưởng của hiệu suất sử dụng vốn cố định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các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151"/>
        <w:gridCol w:w="4897"/>
      </w:tblGrid>
      <w:tr w:rsidR="004B6704" w:rsidRPr="00C076C0" w14:paraId="563A47C0"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2927E5" w14:textId="77777777" w:rsidR="004B6704" w:rsidRPr="00C076C0" w:rsidRDefault="004B6704" w:rsidP="003803F6">
            <w:pPr>
              <w:jc w:val="both"/>
              <w:rPr>
                <w:rFonts w:ascii="Times New Roman" w:hAnsi="Times New Roman" w:cs="Times New Roman"/>
                <w:b/>
                <w:bCs/>
                <w:sz w:val="26"/>
                <w:szCs w:val="26"/>
              </w:rPr>
            </w:pPr>
            <w:r w:rsidRPr="00C076C0">
              <w:rPr>
                <w:rFonts w:ascii="Times New Roman" w:hAnsi="Times New Roman" w:cs="Times New Roman"/>
                <w:b/>
                <w:bCs/>
                <w:sz w:val="26"/>
                <w:szCs w:val="26"/>
              </w:rPr>
              <w:t>Hiệu suất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EC530A" w14:textId="77777777" w:rsidR="004B6704" w:rsidRPr="00C076C0" w:rsidRDefault="004B6704" w:rsidP="003803F6">
            <w:pPr>
              <w:jc w:val="both"/>
              <w:rPr>
                <w:rFonts w:ascii="Times New Roman" w:hAnsi="Times New Roman" w:cs="Times New Roman"/>
                <w:b/>
                <w:bCs/>
                <w:sz w:val="26"/>
                <w:szCs w:val="26"/>
              </w:rPr>
            </w:pPr>
            <w:r w:rsidRPr="00C076C0">
              <w:rPr>
                <w:rFonts w:ascii="Times New Roman" w:hAnsi="Times New Roman" w:cs="Times New Roman"/>
                <w:b/>
                <w:bCs/>
                <w:sz w:val="26"/>
                <w:szCs w:val="26"/>
              </w:rPr>
              <w:t>Hiệu suất thấp</w:t>
            </w:r>
          </w:p>
        </w:tc>
      </w:tr>
      <w:tr w:rsidR="004B6704" w:rsidRPr="00C076C0" w14:paraId="08C21C79"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DF7588"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Tối ưu hóa tài sản dài hạn, tận dụng tốt tài sản cố định giảm chi phí đầu tư tránh lãng phí.</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ACA1A5"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Gây lãng phí vốn đầu tư do máy móc, nhà xưởng đầu tư nhưng không được sử dụng hiệu quả.</w:t>
            </w:r>
          </w:p>
        </w:tc>
      </w:tr>
      <w:tr w:rsidR="004B6704" w:rsidRPr="00C076C0" w14:paraId="566CAF23"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B0628"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Tăng doanh thu mà không cần tăng đầu tư, giúp cải thiện lợi nhuận, tăng khả năng tự tài trợ.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B7E8DA"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Tăng chi phí khấu hao và bảo trì trong khi tài sản không tạo ra doanh thu tương xứng.</w:t>
            </w:r>
          </w:p>
        </w:tc>
      </w:tr>
      <w:tr w:rsidR="004B6704" w:rsidRPr="00C076C0" w14:paraId="4CF643D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87B78B"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Giảm áp lực tài chính dài hạn mà không cần vay vốn nhiều để đầu tư thêm máy móc, cơ sở hạ tầng.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992391"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Giảm tỷ suất sinh lời vì tài sản “nằm không” nên khiến lợi nhuận trên vốn đầu tư giảm.</w:t>
            </w:r>
          </w:p>
        </w:tc>
      </w:tr>
      <w:tr w:rsidR="004B6704" w:rsidRPr="00C076C0" w14:paraId="5F5FE07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96A5D2"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Tăng khả năng cạnh tranh và sử dụng tài sản hiệu quả giúp hạ giá thành và tăng lợi nhuận.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641AAB"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Gánh nặng tài chính nếu dùng vốn vay. Doanh nghiệp phải trả lãi nhưng tài sản chưa sinh lợi tốt.</w:t>
            </w:r>
          </w:p>
        </w:tc>
      </w:tr>
      <w:tr w:rsidR="004B6704" w:rsidRPr="00C076C0" w14:paraId="2E8B1862"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3441D3" w14:textId="77777777" w:rsidR="004B6704" w:rsidRPr="00C076C0" w:rsidRDefault="004B6704" w:rsidP="003803F6">
            <w:pPr>
              <w:jc w:val="both"/>
              <w:rPr>
                <w:rFonts w:ascii="Times New Roman" w:hAnsi="Times New Roman" w:cs="Times New Roman"/>
                <w:sz w:val="26"/>
                <w:szCs w:val="26"/>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CE25BF" w14:textId="77777777" w:rsidR="004B6704" w:rsidRPr="00C076C0" w:rsidRDefault="004B6704" w:rsidP="003803F6">
            <w:pPr>
              <w:jc w:val="both"/>
              <w:rPr>
                <w:rFonts w:ascii="Times New Roman" w:hAnsi="Times New Roman" w:cs="Times New Roman"/>
                <w:sz w:val="26"/>
                <w:szCs w:val="26"/>
              </w:rPr>
            </w:pPr>
            <w:r w:rsidRPr="00C076C0">
              <w:rPr>
                <w:rFonts w:ascii="Times New Roman" w:hAnsi="Times New Roman" w:cs="Times New Roman"/>
                <w:sz w:val="26"/>
                <w:szCs w:val="26"/>
              </w:rPr>
              <w:t>Ảnh hưởng uy tín và điểm tín dụng khi chỉ số hiệu quả thấp, dễ bị đánh giá là rủi ro trong mắt nhà đầu tư và ngân hàng.</w:t>
            </w:r>
          </w:p>
        </w:tc>
      </w:tr>
    </w:tbl>
    <w:p w14:paraId="29333527" w14:textId="77777777" w:rsidR="004B6704" w:rsidRPr="00C076C0" w:rsidRDefault="004B6704" w:rsidP="005B0517">
      <w:pPr>
        <w:pStyle w:val="Heading3"/>
      </w:pPr>
      <w:bookmarkStart w:id="113" w:name="_Toc197781156"/>
      <w:bookmarkStart w:id="114" w:name="_Toc197781438"/>
      <w:bookmarkStart w:id="115" w:name="_Toc198281659"/>
      <w:bookmarkStart w:id="116" w:name="_Toc198284444"/>
      <w:bookmarkStart w:id="117" w:name="_Toc198709969"/>
      <w:r w:rsidRPr="00C076C0">
        <w:lastRenderedPageBreak/>
        <w:t>1.3.4. Nhóm chỉ tiêu phản ánh khả năng sinh lời</w:t>
      </w:r>
      <w:bookmarkEnd w:id="113"/>
      <w:bookmarkEnd w:id="114"/>
      <w:bookmarkEnd w:id="115"/>
      <w:bookmarkEnd w:id="116"/>
      <w:bookmarkEnd w:id="117"/>
    </w:p>
    <w:p w14:paraId="2C8AF2EF" w14:textId="77777777" w:rsidR="004B6704" w:rsidRPr="00AF3D5D" w:rsidRDefault="004B6704" w:rsidP="004B6704">
      <w:pPr>
        <w:spacing w:line="312" w:lineRule="auto"/>
        <w:ind w:left="993" w:hanging="284"/>
        <w:jc w:val="both"/>
        <w:rPr>
          <w:rFonts w:ascii="Times New Roman" w:hAnsi="Times New Roman" w:cs="Times New Roman"/>
          <w:b/>
          <w:bCs/>
          <w:i/>
          <w:iCs/>
          <w:sz w:val="26"/>
          <w:szCs w:val="26"/>
          <w:lang w:val="vi-VN"/>
        </w:rPr>
      </w:pPr>
      <w:r w:rsidRPr="00AF3D5D">
        <w:rPr>
          <w:rFonts w:ascii="Times New Roman" w:hAnsi="Times New Roman" w:cs="Times New Roman"/>
          <w:b/>
          <w:bCs/>
          <w:i/>
          <w:iCs/>
          <w:sz w:val="26"/>
          <w:szCs w:val="26"/>
          <w:lang w:val="vi-VN"/>
        </w:rPr>
        <w:t>a. Tỷ suất lợi nhuận sau thuế trên doanh thu (hệ số lãi ròng) (ROS) </w:t>
      </w:r>
    </w:p>
    <w:p w14:paraId="69968587" w14:textId="77777777" w:rsidR="004B6704" w:rsidRPr="00AF3D5D" w:rsidRDefault="004B6704" w:rsidP="004B670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b/>
          <w:bCs/>
          <w:sz w:val="26"/>
          <w:szCs w:val="26"/>
          <w:lang w:val="vi-VN"/>
        </w:rPr>
        <w:t>   </w:t>
      </w:r>
      <w:r w:rsidRPr="00AF3D5D">
        <w:rPr>
          <w:rFonts w:ascii="Times New Roman" w:hAnsi="Times New Roman" w:cs="Times New Roman"/>
          <w:sz w:val="26"/>
          <w:szCs w:val="26"/>
          <w:lang w:val="vi-VN"/>
        </w:rPr>
        <w:t>Tỷ suất lợi nhuận sau thuế trên doanh thu hay tỷ suất lợi nhuận ròng là chỉ tiêu tài chính phản ánh mức lợi nhuận ròng mà doanh nghiệp thu được trên mỗi đồng doanh thu. Nó cho biết doanh nghiệp giữ lại được bao nhiêu đồng lợi nhuận sau thuế từ mỗi 1 đồng doanh thu thuần.</w:t>
      </w:r>
    </w:p>
    <w:p w14:paraId="4E8D698E" w14:textId="2B1249C8" w:rsidR="004B6704" w:rsidRPr="00C076C0" w:rsidRDefault="004B6704" w:rsidP="004B6704">
      <w:pPr>
        <w:spacing w:line="312" w:lineRule="auto"/>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inline distT="0" distB="0" distL="0" distR="0" wp14:anchorId="4F0154EC" wp14:editId="0123C2C5">
            <wp:extent cx="5417820" cy="373380"/>
            <wp:effectExtent l="0" t="0" r="0" b="7620"/>
            <wp:docPr id="85292307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17820" cy="373380"/>
                    </a:xfrm>
                    <a:prstGeom prst="rect">
                      <a:avLst/>
                    </a:prstGeom>
                    <a:noFill/>
                    <a:ln>
                      <a:noFill/>
                    </a:ln>
                  </pic:spPr>
                </pic:pic>
              </a:graphicData>
            </a:graphic>
          </wp:inline>
        </w:drawing>
      </w:r>
      <w:r w:rsidRPr="00C076C0">
        <w:rPr>
          <w:rFonts w:ascii="Times New Roman" w:hAnsi="Times New Roman" w:cs="Times New Roman"/>
          <w:sz w:val="26"/>
          <w:szCs w:val="26"/>
          <w:lang w:val="vi-VN"/>
        </w:rPr>
        <w:t>(%)</w:t>
      </w:r>
      <w:r w:rsidR="00E12E90">
        <w:rPr>
          <w:rFonts w:ascii="Times New Roman" w:hAnsi="Times New Roman" w:cs="Times New Roman"/>
          <w:sz w:val="26"/>
          <w:szCs w:val="26"/>
          <w:lang w:val="vi-VN"/>
        </w:rPr>
        <w:t xml:space="preserve">, </w:t>
      </w:r>
      <w:r w:rsidRPr="00C076C0">
        <w:rPr>
          <w:rFonts w:ascii="Times New Roman" w:hAnsi="Times New Roman" w:cs="Times New Roman"/>
          <w:sz w:val="26"/>
          <w:szCs w:val="26"/>
          <w:lang w:val="vi-VN"/>
        </w:rPr>
        <w:t>[12]</w:t>
      </w:r>
    </w:p>
    <w:p w14:paraId="22173A70" w14:textId="77777777" w:rsidR="004B6704" w:rsidRPr="00AF3D5D" w:rsidRDefault="004B6704" w:rsidP="004B6704">
      <w:pPr>
        <w:spacing w:line="312" w:lineRule="auto"/>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w:t>
      </w:r>
      <w:r w:rsidRPr="00AF3D5D">
        <w:rPr>
          <w:rFonts w:ascii="Times New Roman" w:hAnsi="Times New Roman" w:cs="Times New Roman"/>
          <w:sz w:val="26"/>
          <w:szCs w:val="26"/>
          <w:u w:val="single"/>
          <w:lang w:val="vi-VN"/>
        </w:rPr>
        <w:t>Ý nghĩa</w:t>
      </w:r>
      <w:r w:rsidRPr="00AF3D5D">
        <w:rPr>
          <w:rFonts w:ascii="Times New Roman" w:hAnsi="Times New Roman" w:cs="Times New Roman"/>
          <w:sz w:val="26"/>
          <w:szCs w:val="26"/>
          <w:lang w:val="vi-VN"/>
        </w:rPr>
        <w:t>: </w:t>
      </w:r>
    </w:p>
    <w:p w14:paraId="7029A9F6" w14:textId="77777777" w:rsidR="004B6704" w:rsidRPr="00AF3D5D" w:rsidRDefault="004B6704" w:rsidP="004B6704">
      <w:pPr>
        <w:spacing w:line="312" w:lineRule="auto"/>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ROS là thước đo lợi nhuận ròng trên hiệu quả kinh doanh. Cho biết khả năng sinh lợi từ hoạt động cốt lõi, không chịu ảnh hưởng từ cơ cấu tài sản hay vốn như ROA hay ROE.</w:t>
      </w:r>
    </w:p>
    <w:p w14:paraId="096A22F4" w14:textId="77777777" w:rsidR="004B6704" w:rsidRPr="00AF3D5D" w:rsidRDefault="004B6704" w:rsidP="004B6704">
      <w:pPr>
        <w:spacing w:line="312" w:lineRule="auto"/>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Là chỉ số được nhà đầu tư, cổ đông và ngân hàng đặc biệt quan tâm để đánh giá sức khỏe tài chính và khả năng trả nợ.</w:t>
      </w:r>
    </w:p>
    <w:p w14:paraId="7246B061" w14:textId="77777777" w:rsidR="004B6704" w:rsidRDefault="004B6704" w:rsidP="004B6704">
      <w:pPr>
        <w:spacing w:line="312" w:lineRule="auto"/>
        <w:ind w:left="360"/>
        <w:jc w:val="both"/>
        <w:rPr>
          <w:rFonts w:ascii="Times New Roman" w:hAnsi="Times New Roman" w:cs="Times New Roman"/>
          <w:i/>
          <w:sz w:val="26"/>
          <w:szCs w:val="26"/>
        </w:rPr>
      </w:pPr>
      <w:r w:rsidRPr="00AF3D5D">
        <w:rPr>
          <w:rFonts w:ascii="Times New Roman" w:hAnsi="Times New Roman" w:cs="Times New Roman"/>
          <w:i/>
          <w:sz w:val="26"/>
          <w:szCs w:val="26"/>
          <w:lang w:val="vi-VN"/>
        </w:rPr>
        <w:t>Ảnh hưởng đến an toàn tài chính: </w:t>
      </w:r>
    </w:p>
    <w:p w14:paraId="2375522B" w14:textId="77777777"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1.12.</w:t>
      </w:r>
      <w:proofErr w:type="gramEnd"/>
      <w:r>
        <w:rPr>
          <w:rFonts w:ascii="Times New Roman" w:hAnsi="Times New Roman" w:cs="Times New Roman"/>
          <w:i/>
          <w:sz w:val="26"/>
          <w:szCs w:val="26"/>
        </w:rPr>
        <w:t xml:space="preserve"> Ảnh hưởng của tỷ suất lợi nhuận sau thuế trên doanh </w:t>
      </w:r>
      <w:proofErr w:type="gramStart"/>
      <w:r>
        <w:rPr>
          <w:rFonts w:ascii="Times New Roman" w:hAnsi="Times New Roman" w:cs="Times New Roman"/>
          <w:i/>
          <w:sz w:val="26"/>
          <w:szCs w:val="26"/>
        </w:rPr>
        <w:t>thu</w:t>
      </w:r>
      <w:proofErr w:type="gramEnd"/>
      <w:r>
        <w:rPr>
          <w:rFonts w:ascii="Times New Roman" w:hAnsi="Times New Roman" w:cs="Times New Roman"/>
          <w:i/>
          <w:sz w:val="26"/>
          <w:szCs w:val="26"/>
        </w:rPr>
        <w:t xml:space="preserve"> đến</w:t>
      </w:r>
    </w:p>
    <w:p w14:paraId="3847F2B5" w14:textId="66DDF9F6" w:rsidR="009C5163" w:rsidRPr="009C5163"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các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649"/>
        <w:gridCol w:w="4399"/>
      </w:tblGrid>
      <w:tr w:rsidR="004B6704" w:rsidRPr="00C076C0" w14:paraId="547343DB"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E95B06" w14:textId="77777777" w:rsidR="004B6704" w:rsidRPr="00C076C0" w:rsidRDefault="004B6704" w:rsidP="00897A44">
            <w:pPr>
              <w:spacing w:line="312" w:lineRule="auto"/>
              <w:jc w:val="both"/>
              <w:rPr>
                <w:rFonts w:ascii="Times New Roman" w:hAnsi="Times New Roman" w:cs="Times New Roman"/>
                <w:b/>
                <w:bCs/>
                <w:sz w:val="26"/>
                <w:szCs w:val="26"/>
              </w:rPr>
            </w:pPr>
            <w:r w:rsidRPr="00C076C0">
              <w:rPr>
                <w:rFonts w:ascii="Times New Roman" w:hAnsi="Times New Roman" w:cs="Times New Roman"/>
                <w:b/>
                <w:bCs/>
                <w:sz w:val="26"/>
                <w:szCs w:val="26"/>
              </w:rPr>
              <w:t>ROS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55AA4E" w14:textId="77777777" w:rsidR="004B6704" w:rsidRPr="00C076C0" w:rsidRDefault="004B6704" w:rsidP="00897A44">
            <w:pPr>
              <w:spacing w:line="312" w:lineRule="auto"/>
              <w:jc w:val="both"/>
              <w:rPr>
                <w:rFonts w:ascii="Times New Roman" w:hAnsi="Times New Roman" w:cs="Times New Roman"/>
                <w:b/>
                <w:bCs/>
                <w:sz w:val="26"/>
                <w:szCs w:val="26"/>
              </w:rPr>
            </w:pPr>
            <w:r w:rsidRPr="00C076C0">
              <w:rPr>
                <w:rFonts w:ascii="Times New Roman" w:hAnsi="Times New Roman" w:cs="Times New Roman"/>
                <w:b/>
                <w:bCs/>
                <w:sz w:val="26"/>
                <w:szCs w:val="26"/>
              </w:rPr>
              <w:t>ROS thấp</w:t>
            </w:r>
          </w:p>
        </w:tc>
      </w:tr>
      <w:tr w:rsidR="004B6704" w:rsidRPr="00C076C0" w14:paraId="06F119FA"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FF1A5F"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Tạo ra dòng tiền mạnh, dễ dàng tái đầu tư, mở rộng kinh doanh mà không phụ thuộc vào vốn vay.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3AB58"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Lợi nhuận ròng thấp dù doanh thu cao cho thấy chi phí hoạt động cao hoặc giá vốn lớn.</w:t>
            </w:r>
          </w:p>
        </w:tc>
      </w:tr>
      <w:tr w:rsidR="004B6704" w:rsidRPr="00C076C0" w14:paraId="2A5BB77F"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7E387A"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Khả năng tích lũy và tự tài trợ cao: Lợi nhuận giữ lại giúp củng cố vốn chủ sở hữu, giảm rủi ro tài chính.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49840E"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Hạn chế khả năng tích lũy vốn hải phụ thuộc vào vốn vay để duy trì hoạt động hoặc mở rộng</w:t>
            </w:r>
          </w:p>
        </w:tc>
      </w:tr>
      <w:tr w:rsidR="004B6704" w:rsidRPr="00C076C0" w14:paraId="400695E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9B55A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Hiệu quả hoạt động tốt giúp nâng cao giá trị doanh nghiệp, dễ dàng tiếp cận nhà đầu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1012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Dễ bị tổn thương khi doanh thu giảm vì biên lợi nhuận thấp, giảm doanh thu có thể khiến lỗ.</w:t>
            </w:r>
          </w:p>
        </w:tc>
      </w:tr>
      <w:tr w:rsidR="004B6704" w:rsidRPr="00C076C0" w14:paraId="793F039E"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B0A89C"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Dễ đáp ứng nghĩa vụ tài chính, giảm rủi ro mất cân đối tài chính, tăng khả năng trả nợ</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415AA4"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Gây lo ngại cho nhà đầu tư và ngân hàng vì có thể doanh nghiệp bị đánh giá có rủi ro tài chính cao</w:t>
            </w:r>
          </w:p>
        </w:tc>
      </w:tr>
    </w:tbl>
    <w:p w14:paraId="017AAD87" w14:textId="77777777" w:rsidR="004B6704" w:rsidRPr="00C076C0" w:rsidRDefault="004B6704" w:rsidP="004B6704">
      <w:pPr>
        <w:spacing w:line="312" w:lineRule="auto"/>
        <w:jc w:val="both"/>
        <w:rPr>
          <w:rFonts w:ascii="Times New Roman" w:hAnsi="Times New Roman" w:cs="Times New Roman"/>
          <w:sz w:val="26"/>
          <w:szCs w:val="26"/>
        </w:rPr>
      </w:pPr>
    </w:p>
    <w:p w14:paraId="5A5FC186" w14:textId="77777777" w:rsidR="004B6704" w:rsidRPr="00C076C0" w:rsidRDefault="004B6704" w:rsidP="004B6704">
      <w:pPr>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b/>
          <w:bCs/>
          <w:i/>
          <w:iCs/>
          <w:sz w:val="26"/>
          <w:szCs w:val="26"/>
        </w:rPr>
        <w:lastRenderedPageBreak/>
        <w:t>b. Tỷ suất lợi nhuận trước thuế và lãi vay trên vốn kinh doanh hay tỷ suất sinh lời kinh tế của tài sản (BEP)</w:t>
      </w:r>
    </w:p>
    <w:p w14:paraId="26901556"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   Tỷ suất lợi nhuận trước thuế và lãi vay trên vốn kinh doanh hay thì suất sinh lời kinh tế của tài sản là một chỉ số tài chính sử dụng để đánh giá khả năng sinh lời từ hoạt động kinh doanh của doanh nghiệp trước khi tính đến chi phí lãi vay và thuế.</w:t>
      </w:r>
    </w:p>
    <w:p w14:paraId="008F5984" w14:textId="77777777" w:rsidR="004B6704" w:rsidRPr="00C076C0" w:rsidRDefault="004B6704" w:rsidP="004B6704">
      <w:pPr>
        <w:spacing w:line="312" w:lineRule="auto"/>
        <w:jc w:val="both"/>
        <w:rPr>
          <w:rFonts w:ascii="Times New Roman" w:hAnsi="Times New Roman" w:cs="Times New Roman"/>
          <w:sz w:val="26"/>
          <w:szCs w:val="26"/>
          <w:lang w:val="vi-VN"/>
        </w:rPr>
      </w:pPr>
      <w:r w:rsidRPr="00C076C0">
        <w:rPr>
          <w:rFonts w:ascii="Times New Roman" w:hAnsi="Times New Roman" w:cs="Times New Roman"/>
          <w:sz w:val="26"/>
          <w:szCs w:val="26"/>
        </w:rPr>
        <w:t xml:space="preserve">                  </w:t>
      </w:r>
      <w:r w:rsidRPr="00C076C0">
        <w:rPr>
          <w:rFonts w:ascii="Times New Roman" w:hAnsi="Times New Roman" w:cs="Times New Roman"/>
          <w:noProof/>
          <w:sz w:val="26"/>
          <w:szCs w:val="26"/>
          <w:lang w:eastAsia="en-US"/>
        </w:rPr>
        <w:drawing>
          <wp:inline distT="0" distB="0" distL="0" distR="0" wp14:anchorId="53F3BBA8" wp14:editId="48730FCC">
            <wp:extent cx="3954780" cy="411480"/>
            <wp:effectExtent l="0" t="0" r="7620" b="7620"/>
            <wp:docPr id="169048076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54780" cy="411480"/>
                    </a:xfrm>
                    <a:prstGeom prst="rect">
                      <a:avLst/>
                    </a:prstGeom>
                    <a:noFill/>
                    <a:ln>
                      <a:noFill/>
                    </a:ln>
                  </pic:spPr>
                </pic:pic>
              </a:graphicData>
            </a:graphic>
          </wp:inline>
        </w:drawing>
      </w:r>
      <w:r w:rsidRPr="00C076C0">
        <w:rPr>
          <w:rFonts w:ascii="Times New Roman" w:hAnsi="Times New Roman" w:cs="Times New Roman"/>
          <w:sz w:val="26"/>
          <w:szCs w:val="26"/>
        </w:rPr>
        <w:t xml:space="preserve"> </w:t>
      </w:r>
      <w:r w:rsidRPr="00C076C0">
        <w:rPr>
          <w:rFonts w:ascii="Times New Roman" w:hAnsi="Times New Roman" w:cs="Times New Roman"/>
          <w:sz w:val="26"/>
          <w:szCs w:val="26"/>
          <w:lang w:val="vi-VN"/>
        </w:rPr>
        <w:t xml:space="preserve">    (%)   [13]</w:t>
      </w:r>
    </w:p>
    <w:p w14:paraId="1669C531"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w:t>
      </w:r>
      <w:r w:rsidRPr="00C076C0">
        <w:rPr>
          <w:rFonts w:ascii="Times New Roman" w:hAnsi="Times New Roman" w:cs="Times New Roman"/>
          <w:sz w:val="26"/>
          <w:szCs w:val="26"/>
          <w:u w:val="single"/>
        </w:rPr>
        <w:t>Ý nghĩa</w:t>
      </w:r>
      <w:r w:rsidRPr="00C076C0">
        <w:rPr>
          <w:rFonts w:ascii="Times New Roman" w:hAnsi="Times New Roman" w:cs="Times New Roman"/>
          <w:sz w:val="26"/>
          <w:szCs w:val="26"/>
        </w:rPr>
        <w:t>: </w:t>
      </w:r>
    </w:p>
    <w:p w14:paraId="72BEB108" w14:textId="77777777" w:rsidR="004B6704" w:rsidRPr="00C076C0" w:rsidRDefault="004B6704" w:rsidP="004B670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BEP cho biết khi bỏ ra một đồng tài sản trong hoạt động kinh doanh thì công ty thu được bao nhiêu đồng lợi nhuận trước thuế và lãi vay.</w:t>
      </w:r>
    </w:p>
    <w:p w14:paraId="5152572D" w14:textId="24EBD376" w:rsidR="004B6704" w:rsidRPr="00C076C0" w:rsidRDefault="004B6704" w:rsidP="00E54ABA">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Giúp đánh giá sức mạnh tạo lợi nhuận của doanh nghiệp độc lập với cấu trúc tài chính (vay hay tự có). Là chỉ số quan trọng để đánh giá mức độ an toàn và hiệu quả của đầu tư vào tài sản.</w:t>
      </w:r>
    </w:p>
    <w:p w14:paraId="5EE734FC" w14:textId="77777777" w:rsidR="004B6704" w:rsidRDefault="004B6704" w:rsidP="004B6704">
      <w:pPr>
        <w:spacing w:line="312" w:lineRule="auto"/>
        <w:ind w:left="360"/>
        <w:jc w:val="both"/>
        <w:rPr>
          <w:rFonts w:ascii="Times New Roman" w:hAnsi="Times New Roman" w:cs="Times New Roman"/>
          <w:i/>
          <w:sz w:val="26"/>
          <w:szCs w:val="26"/>
          <w:lang w:val="vi-VN"/>
        </w:rPr>
      </w:pPr>
      <w:r w:rsidRPr="00093265">
        <w:rPr>
          <w:rFonts w:ascii="Times New Roman" w:hAnsi="Times New Roman" w:cs="Times New Roman"/>
          <w:i/>
          <w:sz w:val="26"/>
          <w:szCs w:val="26"/>
        </w:rPr>
        <w:t>Ảnh hưởng đến an toàn tài chính: </w:t>
      </w:r>
    </w:p>
    <w:p w14:paraId="06AF70B9" w14:textId="64F07D18" w:rsidR="002F29F9" w:rsidRP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1.13.</w:t>
      </w:r>
      <w:proofErr w:type="gramEnd"/>
      <w:r>
        <w:rPr>
          <w:rFonts w:ascii="Times New Roman" w:hAnsi="Times New Roman" w:cs="Times New Roman"/>
          <w:i/>
          <w:sz w:val="26"/>
          <w:szCs w:val="26"/>
        </w:rPr>
        <w:t xml:space="preserve"> Ảnh hưởng của tỷ suất lợi nhuận trước thuế và lãi vay trên vốn kinh doanh đến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các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647"/>
        <w:gridCol w:w="4401"/>
      </w:tblGrid>
      <w:tr w:rsidR="004B6704" w:rsidRPr="00C076C0" w14:paraId="10664068"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E88701"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BEP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901AF1"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BEP thấp</w:t>
            </w:r>
          </w:p>
        </w:tc>
      </w:tr>
      <w:tr w:rsidR="004B6704" w:rsidRPr="00C076C0" w14:paraId="2D9947C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C199BE"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Tài sản sinh lời tốt do doanh nghiệp khai thác tài sản hiệu quả, tạo ra nhiều lợi nhuận.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33E9B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Tài sản kém hiệu quả do tài sản lớn nhưng không sinh đủ lợi nhuận gây lãng phí nguồn lực.</w:t>
            </w:r>
          </w:p>
        </w:tc>
      </w:tr>
      <w:tr w:rsidR="004B6704" w:rsidRPr="00C076C0" w14:paraId="26DCF9B7"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6274C7"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khả năng tự trang trải chi phí tài chính và thuế, giảm rủi ro tài chính, tạo nền tảng tài chính vững chắc.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26E2F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Khó chi trả chi phí tài chính nếu EBIT thấp vì việc thanh toán lãi vay sẽ gây áp lực dòng tiền.</w:t>
            </w:r>
          </w:p>
        </w:tc>
      </w:tr>
      <w:tr w:rsidR="004B6704" w:rsidRPr="00C076C0" w14:paraId="414DB27B"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64A3DF"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Cho thấy hiệu quả sử dụng vốn đầu tư vào tài sản đang cao dễ thu hút nhà đầu tư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EF52F0"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Dễ rơi vào rủi ro tài chính, nhất là khi có nhiều nợ vay. BEP thấp kéo theo rủi ro mất cân đối.</w:t>
            </w:r>
          </w:p>
        </w:tc>
      </w:tr>
      <w:tr w:rsidR="004B6704" w:rsidRPr="00C076C0" w14:paraId="60E1CA33"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C4E4BC"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khả năng chống chịu rủi ro khi thị trường khó khăn, doanh nghiệp vẫn có “đệm” lợi nhuận tốt.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87E827"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Ảnh hưởng đến quyết định đầu tư do các nhà đầu tư hoặc ngân hàng có thể e ngại do hiệu suất thấp.</w:t>
            </w:r>
          </w:p>
        </w:tc>
      </w:tr>
    </w:tbl>
    <w:p w14:paraId="75063C30" w14:textId="77777777" w:rsidR="003803F6" w:rsidRDefault="003803F6" w:rsidP="004B6704">
      <w:pPr>
        <w:spacing w:line="312" w:lineRule="auto"/>
        <w:ind w:left="993" w:hanging="284"/>
        <w:jc w:val="both"/>
        <w:rPr>
          <w:rFonts w:ascii="Times New Roman" w:hAnsi="Times New Roman" w:cs="Times New Roman"/>
          <w:b/>
          <w:bCs/>
          <w:i/>
          <w:iCs/>
          <w:sz w:val="26"/>
          <w:szCs w:val="26"/>
          <w:lang w:val="vi-VN"/>
        </w:rPr>
      </w:pPr>
    </w:p>
    <w:p w14:paraId="2EBEE7AD" w14:textId="77777777" w:rsidR="003803F6" w:rsidRDefault="003803F6">
      <w:pPr>
        <w:spacing w:after="160" w:line="259" w:lineRule="auto"/>
        <w:rPr>
          <w:rFonts w:ascii="Times New Roman" w:hAnsi="Times New Roman" w:cs="Times New Roman"/>
          <w:b/>
          <w:bCs/>
          <w:i/>
          <w:iCs/>
          <w:sz w:val="26"/>
          <w:szCs w:val="26"/>
          <w:lang w:val="vi-VN"/>
        </w:rPr>
      </w:pPr>
      <w:r>
        <w:rPr>
          <w:rFonts w:ascii="Times New Roman" w:hAnsi="Times New Roman" w:cs="Times New Roman"/>
          <w:b/>
          <w:bCs/>
          <w:i/>
          <w:iCs/>
          <w:sz w:val="26"/>
          <w:szCs w:val="26"/>
          <w:lang w:val="vi-VN"/>
        </w:rPr>
        <w:br w:type="page"/>
      </w:r>
    </w:p>
    <w:p w14:paraId="355ECC46" w14:textId="0B3FEEF5" w:rsidR="004B6704" w:rsidRPr="00E12E90" w:rsidRDefault="004B6704" w:rsidP="004B6704">
      <w:pPr>
        <w:spacing w:line="312" w:lineRule="auto"/>
        <w:ind w:left="993" w:hanging="284"/>
        <w:jc w:val="both"/>
        <w:rPr>
          <w:rFonts w:ascii="Times New Roman" w:hAnsi="Times New Roman" w:cs="Times New Roman"/>
          <w:i/>
          <w:iCs/>
          <w:sz w:val="26"/>
          <w:szCs w:val="26"/>
          <w:lang w:val="vi-VN"/>
        </w:rPr>
      </w:pPr>
      <w:r w:rsidRPr="00E12E90">
        <w:rPr>
          <w:rFonts w:ascii="Times New Roman" w:hAnsi="Times New Roman" w:cs="Times New Roman"/>
          <w:b/>
          <w:bCs/>
          <w:i/>
          <w:iCs/>
          <w:sz w:val="26"/>
          <w:szCs w:val="26"/>
          <w:lang w:val="vi-VN"/>
        </w:rPr>
        <w:lastRenderedPageBreak/>
        <w:t>c. Tỷ suất lợi nhuận sau thuế trên vốn kinh doanh hay tỷ suất lợi nhuận ròng của tài sản (ROA)</w:t>
      </w:r>
    </w:p>
    <w:p w14:paraId="10CF7B11" w14:textId="77777777" w:rsidR="004B6704" w:rsidRPr="00B167D1" w:rsidRDefault="004B6704" w:rsidP="004B6704">
      <w:pPr>
        <w:spacing w:line="312" w:lineRule="auto"/>
        <w:ind w:firstLine="720"/>
        <w:jc w:val="both"/>
        <w:rPr>
          <w:rFonts w:ascii="Times New Roman" w:hAnsi="Times New Roman" w:cs="Times New Roman"/>
          <w:sz w:val="26"/>
          <w:szCs w:val="26"/>
          <w:lang w:val="vi-VN"/>
        </w:rPr>
      </w:pPr>
      <w:r w:rsidRPr="00E12E90">
        <w:rPr>
          <w:rFonts w:ascii="Times New Roman" w:hAnsi="Times New Roman" w:cs="Times New Roman"/>
          <w:sz w:val="26"/>
          <w:szCs w:val="26"/>
          <w:lang w:val="vi-VN"/>
        </w:rPr>
        <w:t>   </w:t>
      </w:r>
      <w:r w:rsidRPr="00B167D1">
        <w:rPr>
          <w:rFonts w:ascii="Times New Roman" w:hAnsi="Times New Roman" w:cs="Times New Roman"/>
          <w:sz w:val="26"/>
          <w:szCs w:val="26"/>
          <w:lang w:val="vi-VN"/>
        </w:rPr>
        <w:t>Tỷ suất lợi nhuận sau thuế trên vốn kinh doanh hay tỷ suất lợi nhuận ròng của tài sản ROA là một chỉ tiêu tài chính phản ánh khả năng sinh lời ròng của toàn bộ tài sản mà doanh nghiệp đang sử dụng. ROA đo lường hiệu quả sử dụng tài sản để tạo ra lợi nhuận sau thuế – tức phần lợi nhuận còn lại cho cổ đông và doanh nghiệp.</w:t>
      </w:r>
    </w:p>
    <w:p w14:paraId="02B0E24B" w14:textId="77777777" w:rsidR="004B6704" w:rsidRPr="00C076C0" w:rsidRDefault="004B6704" w:rsidP="004B6704">
      <w:pPr>
        <w:spacing w:line="312" w:lineRule="auto"/>
        <w:jc w:val="both"/>
        <w:rPr>
          <w:rFonts w:ascii="Times New Roman" w:hAnsi="Times New Roman" w:cs="Times New Roman"/>
          <w:sz w:val="26"/>
          <w:szCs w:val="26"/>
          <w:lang w:val="vi-VN"/>
        </w:rPr>
      </w:pPr>
      <w:r w:rsidRPr="00B167D1">
        <w:rPr>
          <w:rFonts w:ascii="Times New Roman" w:hAnsi="Times New Roman" w:cs="Times New Roman"/>
          <w:sz w:val="26"/>
          <w:szCs w:val="26"/>
          <w:lang w:val="vi-VN"/>
        </w:rPr>
        <w:t xml:space="preserve">                                  </w:t>
      </w:r>
      <w:r w:rsidRPr="00C076C0">
        <w:rPr>
          <w:rFonts w:ascii="Times New Roman" w:hAnsi="Times New Roman" w:cs="Times New Roman"/>
          <w:noProof/>
          <w:sz w:val="26"/>
          <w:szCs w:val="26"/>
          <w:lang w:eastAsia="en-US"/>
        </w:rPr>
        <w:drawing>
          <wp:inline distT="0" distB="0" distL="0" distR="0" wp14:anchorId="0131DC68" wp14:editId="70E12658">
            <wp:extent cx="2278380" cy="411480"/>
            <wp:effectExtent l="0" t="0" r="7620" b="7620"/>
            <wp:docPr id="1981274143" name="Picture 17"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274143" name="Picture 17" descr="A black background with white text&#10;&#10;AI-generated content may b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78380" cy="411480"/>
                    </a:xfrm>
                    <a:prstGeom prst="rect">
                      <a:avLst/>
                    </a:prstGeom>
                    <a:noFill/>
                    <a:ln>
                      <a:noFill/>
                    </a:ln>
                  </pic:spPr>
                </pic:pic>
              </a:graphicData>
            </a:graphic>
          </wp:inline>
        </w:drawing>
      </w:r>
      <w:r w:rsidRPr="00B167D1">
        <w:rPr>
          <w:rFonts w:ascii="Times New Roman" w:hAnsi="Times New Roman" w:cs="Times New Roman"/>
          <w:sz w:val="26"/>
          <w:szCs w:val="26"/>
          <w:lang w:val="vi-VN"/>
        </w:rPr>
        <w:t xml:space="preserve">     </w:t>
      </w:r>
      <w:r w:rsidRPr="00C076C0">
        <w:rPr>
          <w:rFonts w:ascii="Times New Roman" w:hAnsi="Times New Roman" w:cs="Times New Roman"/>
          <w:sz w:val="26"/>
          <w:szCs w:val="26"/>
          <w:lang w:val="vi-VN"/>
        </w:rPr>
        <w:t>(%)    [14]</w:t>
      </w:r>
    </w:p>
    <w:p w14:paraId="56E603AD" w14:textId="77777777" w:rsidR="004B6704" w:rsidRPr="00B167D1" w:rsidRDefault="004B6704" w:rsidP="004B6704">
      <w:pPr>
        <w:spacing w:line="312" w:lineRule="auto"/>
        <w:jc w:val="both"/>
        <w:rPr>
          <w:rFonts w:ascii="Times New Roman" w:hAnsi="Times New Roman" w:cs="Times New Roman"/>
          <w:sz w:val="26"/>
          <w:szCs w:val="26"/>
          <w:lang w:val="vi-VN"/>
        </w:rPr>
      </w:pPr>
      <w:r w:rsidRPr="00B167D1">
        <w:rPr>
          <w:rFonts w:ascii="Times New Roman" w:hAnsi="Times New Roman" w:cs="Times New Roman"/>
          <w:sz w:val="26"/>
          <w:szCs w:val="26"/>
          <w:lang w:val="vi-VN"/>
        </w:rPr>
        <w:t>   </w:t>
      </w:r>
      <w:r w:rsidRPr="00B167D1">
        <w:rPr>
          <w:rFonts w:ascii="Times New Roman" w:hAnsi="Times New Roman" w:cs="Times New Roman"/>
          <w:sz w:val="26"/>
          <w:szCs w:val="26"/>
          <w:u w:val="single"/>
          <w:lang w:val="vi-VN"/>
        </w:rPr>
        <w:t>Ý nghĩa</w:t>
      </w:r>
      <w:r w:rsidRPr="00B167D1">
        <w:rPr>
          <w:rFonts w:ascii="Times New Roman" w:hAnsi="Times New Roman" w:cs="Times New Roman"/>
          <w:sz w:val="26"/>
          <w:szCs w:val="26"/>
          <w:lang w:val="vi-VN"/>
        </w:rPr>
        <w:t>: </w:t>
      </w:r>
    </w:p>
    <w:p w14:paraId="5127F90A" w14:textId="77777777" w:rsidR="004B6704" w:rsidRPr="00B167D1" w:rsidRDefault="004B6704" w:rsidP="004B6704">
      <w:pPr>
        <w:spacing w:line="312" w:lineRule="auto"/>
        <w:jc w:val="both"/>
        <w:rPr>
          <w:rFonts w:ascii="Times New Roman" w:hAnsi="Times New Roman" w:cs="Times New Roman"/>
          <w:sz w:val="26"/>
          <w:szCs w:val="26"/>
          <w:lang w:val="vi-VN"/>
        </w:rPr>
      </w:pPr>
      <w:r w:rsidRPr="00B167D1">
        <w:rPr>
          <w:rFonts w:ascii="Times New Roman" w:hAnsi="Times New Roman" w:cs="Times New Roman"/>
          <w:sz w:val="26"/>
          <w:szCs w:val="26"/>
          <w:lang w:val="vi-VN"/>
        </w:rPr>
        <w:t>   ROA cho biết công ty tạo ra bao nhiêu đồng lợi nhuận sau thuế trên mỗi đồng vốn trong hoạt động kinh doanh của công ty.</w:t>
      </w:r>
    </w:p>
    <w:p w14:paraId="0589C26A" w14:textId="77777777" w:rsidR="004B6704" w:rsidRPr="00B167D1" w:rsidRDefault="004B6704" w:rsidP="004B6704">
      <w:pPr>
        <w:spacing w:line="312" w:lineRule="auto"/>
        <w:jc w:val="both"/>
        <w:rPr>
          <w:rFonts w:ascii="Times New Roman" w:hAnsi="Times New Roman" w:cs="Times New Roman"/>
          <w:sz w:val="26"/>
          <w:szCs w:val="26"/>
          <w:lang w:val="vi-VN"/>
        </w:rPr>
      </w:pPr>
      <w:r w:rsidRPr="00B167D1">
        <w:rPr>
          <w:rFonts w:ascii="Times New Roman" w:hAnsi="Times New Roman" w:cs="Times New Roman"/>
          <w:sz w:val="26"/>
          <w:szCs w:val="26"/>
          <w:lang w:val="vi-VN"/>
        </w:rPr>
        <w:t>   Được dùng để so sánh hiệu quả giữa các doanh nghiệp cùng ngành hoặc so với trung bình ngành. Thể hiện mức độ bền vững trong hoạt động kinh doanh, do nó liên quan trực tiếp đến hiệu quả khai thác tài sản.</w:t>
      </w:r>
    </w:p>
    <w:p w14:paraId="6BA13E10" w14:textId="23D6D277" w:rsidR="002F29F9" w:rsidRDefault="004B6704" w:rsidP="002F29F9">
      <w:pPr>
        <w:spacing w:line="312" w:lineRule="auto"/>
        <w:ind w:left="360"/>
        <w:jc w:val="both"/>
        <w:rPr>
          <w:rFonts w:ascii="Times New Roman" w:hAnsi="Times New Roman" w:cs="Times New Roman"/>
          <w:i/>
          <w:sz w:val="26"/>
          <w:szCs w:val="26"/>
          <w:lang w:val="vi-VN"/>
        </w:rPr>
      </w:pPr>
      <w:r w:rsidRPr="00B167D1">
        <w:rPr>
          <w:rFonts w:ascii="Times New Roman" w:hAnsi="Times New Roman" w:cs="Times New Roman"/>
          <w:i/>
          <w:sz w:val="26"/>
          <w:szCs w:val="26"/>
          <w:lang w:val="vi-VN"/>
        </w:rPr>
        <w:t>Ảnh hưởng đến an toàn tài chính: </w:t>
      </w:r>
    </w:p>
    <w:p w14:paraId="78FBDCC1" w14:textId="6575F746"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1.14.</w:t>
      </w:r>
      <w:proofErr w:type="gramEnd"/>
      <w:r>
        <w:rPr>
          <w:rFonts w:ascii="Times New Roman" w:hAnsi="Times New Roman" w:cs="Times New Roman"/>
          <w:i/>
          <w:sz w:val="26"/>
          <w:szCs w:val="26"/>
        </w:rPr>
        <w:t xml:space="preserve"> Ảnh hưởng của tỷ suất lợi nhuận sau thuế trên vốn kinh doanh đến</w:t>
      </w:r>
    </w:p>
    <w:p w14:paraId="7640E25C" w14:textId="43C42167" w:rsidR="002F29F9" w:rsidRPr="009C5163"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các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601"/>
        <w:gridCol w:w="4447"/>
      </w:tblGrid>
      <w:tr w:rsidR="004B6704" w:rsidRPr="00C076C0" w14:paraId="65211315"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611C26"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ROA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81C2F5" w14:textId="77777777" w:rsidR="004B6704" w:rsidRPr="00C076C0" w:rsidRDefault="004B6704" w:rsidP="00897A44">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ROA thấp</w:t>
            </w:r>
          </w:p>
        </w:tc>
      </w:tr>
      <w:tr w:rsidR="004B6704" w:rsidRPr="00C076C0" w14:paraId="1B1DA820"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E603EA"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Tài sản được khai thác hiệu quả do lợi nhuận sau thuế cao so với vốn đầu tư, tối ưu hóa tài sản.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31087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Tài sản sinh lời thấp do doanh nghiệp chưa tận dụng được tối đa nguồn lực.</w:t>
            </w:r>
          </w:p>
        </w:tc>
      </w:tr>
      <w:tr w:rsidR="004B6704" w:rsidRPr="00C076C0" w14:paraId="09FF2855"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C79BA1"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Nâng cao khả năng tích lũy và đầu tư do doanh nghiệp có dòng tiền dư để mở rộng mà không cần vay nhiều.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AA5EAF"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Giảm khả năng tài trợ từ lợi nhuận giữ lại, doanh nghiệp phụ thuộc vào vốn vay để mở rộng hoặc trả nợ.</w:t>
            </w:r>
          </w:p>
        </w:tc>
      </w:tr>
      <w:tr w:rsidR="004B6704" w:rsidRPr="00C076C0" w14:paraId="476ABC71"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BB06A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Giảm phụ thuộc vào vốn vay, cải thiện tự chủ tài chính, ít rủi ro lãi suất và nợ xấu.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FB9407"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Hạn chế khả năng cạnh tranh do ROA thấp phản ánh hiệu quả kinh doanh yếu hơn đối thủ.</w:t>
            </w:r>
          </w:p>
        </w:tc>
      </w:tr>
      <w:tr w:rsidR="004B6704" w:rsidRPr="00C076C0" w14:paraId="31FCA062"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CC041B"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uy tín với nhà đầu tư và ngân hàng vì chỉ số ROA cao chứng tỏ doanh nghiệp mạnh về nội lực.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C65D79"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rủi ro tài chính dài hạn khi chi phí tài chính cao mà tài sản không tạo ra lợi nhuận đủ lớn.</w:t>
            </w:r>
          </w:p>
        </w:tc>
      </w:tr>
    </w:tbl>
    <w:p w14:paraId="43A196A3" w14:textId="77777777" w:rsidR="004B6704" w:rsidRPr="00C076C0" w:rsidRDefault="004B6704" w:rsidP="004B6704">
      <w:pPr>
        <w:spacing w:line="312" w:lineRule="auto"/>
        <w:jc w:val="both"/>
        <w:rPr>
          <w:rFonts w:ascii="Times New Roman" w:hAnsi="Times New Roman" w:cs="Times New Roman"/>
          <w:sz w:val="26"/>
          <w:szCs w:val="26"/>
        </w:rPr>
      </w:pPr>
    </w:p>
    <w:p w14:paraId="329A51F4" w14:textId="77777777" w:rsidR="003803F6" w:rsidRDefault="003803F6">
      <w:pPr>
        <w:spacing w:after="160" w:line="259" w:lineRule="auto"/>
        <w:rPr>
          <w:rFonts w:ascii="Times New Roman" w:hAnsi="Times New Roman" w:cs="Times New Roman"/>
          <w:b/>
          <w:bCs/>
          <w:i/>
          <w:iCs/>
          <w:sz w:val="26"/>
          <w:szCs w:val="26"/>
        </w:rPr>
      </w:pPr>
      <w:r>
        <w:rPr>
          <w:rFonts w:ascii="Times New Roman" w:hAnsi="Times New Roman" w:cs="Times New Roman"/>
          <w:b/>
          <w:bCs/>
          <w:i/>
          <w:iCs/>
          <w:sz w:val="26"/>
          <w:szCs w:val="26"/>
        </w:rPr>
        <w:br w:type="page"/>
      </w:r>
    </w:p>
    <w:p w14:paraId="291CBD30" w14:textId="6CCA93F0" w:rsidR="004B6704" w:rsidRPr="00C076C0" w:rsidRDefault="004B6704" w:rsidP="004B6704">
      <w:pPr>
        <w:spacing w:line="312" w:lineRule="auto"/>
        <w:ind w:left="993" w:hanging="284"/>
        <w:jc w:val="both"/>
        <w:rPr>
          <w:rFonts w:ascii="Times New Roman" w:hAnsi="Times New Roman" w:cs="Times New Roman"/>
          <w:i/>
          <w:iCs/>
          <w:sz w:val="26"/>
          <w:szCs w:val="26"/>
        </w:rPr>
      </w:pPr>
      <w:r w:rsidRPr="00C076C0">
        <w:rPr>
          <w:rFonts w:ascii="Times New Roman" w:hAnsi="Times New Roman" w:cs="Times New Roman"/>
          <w:b/>
          <w:bCs/>
          <w:i/>
          <w:iCs/>
          <w:sz w:val="26"/>
          <w:szCs w:val="26"/>
        </w:rPr>
        <w:lastRenderedPageBreak/>
        <w:t>d. Tỷ suất lợi nhuận vốn chủ sở hữu (ROE)</w:t>
      </w:r>
    </w:p>
    <w:p w14:paraId="0685205D" w14:textId="13B97AEF" w:rsidR="004B6704" w:rsidRPr="004B6704" w:rsidRDefault="004B6704" w:rsidP="004B6704">
      <w:pPr>
        <w:spacing w:line="312" w:lineRule="auto"/>
        <w:ind w:firstLine="720"/>
        <w:jc w:val="both"/>
        <w:rPr>
          <w:rFonts w:ascii="Times New Roman" w:hAnsi="Times New Roman" w:cs="Times New Roman"/>
          <w:sz w:val="26"/>
          <w:szCs w:val="26"/>
          <w:lang w:val="vi-VN"/>
        </w:rPr>
      </w:pPr>
      <w:r w:rsidRPr="00C076C0">
        <w:rPr>
          <w:rFonts w:ascii="Times New Roman" w:hAnsi="Times New Roman" w:cs="Times New Roman"/>
          <w:noProof/>
          <w:sz w:val="26"/>
          <w:szCs w:val="26"/>
          <w:lang w:eastAsia="en-US"/>
        </w:rPr>
        <w:drawing>
          <wp:anchor distT="0" distB="0" distL="114300" distR="114300" simplePos="0" relativeHeight="251659264" behindDoc="0" locked="0" layoutInCell="1" allowOverlap="1" wp14:anchorId="0888F064" wp14:editId="2092FEB1">
            <wp:simplePos x="0" y="0"/>
            <wp:positionH relativeFrom="margin">
              <wp:posOffset>979805</wp:posOffset>
            </wp:positionH>
            <wp:positionV relativeFrom="paragraph">
              <wp:posOffset>957580</wp:posOffset>
            </wp:positionV>
            <wp:extent cx="2240280" cy="411480"/>
            <wp:effectExtent l="0" t="0" r="7620" b="7620"/>
            <wp:wrapSquare wrapText="bothSides"/>
            <wp:docPr id="1207260196" name="Picture 16"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260196" name="Picture 16" descr="A black background with white text&#10;&#10;AI-generated content may be incorrec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40280" cy="411480"/>
                    </a:xfrm>
                    <a:prstGeom prst="rect">
                      <a:avLst/>
                    </a:prstGeom>
                    <a:noFill/>
                    <a:ln>
                      <a:noFill/>
                    </a:ln>
                  </pic:spPr>
                </pic:pic>
              </a:graphicData>
            </a:graphic>
          </wp:anchor>
        </w:drawing>
      </w:r>
      <w:r w:rsidRPr="00C076C0">
        <w:rPr>
          <w:rFonts w:ascii="Times New Roman" w:hAnsi="Times New Roman" w:cs="Times New Roman"/>
          <w:sz w:val="26"/>
          <w:szCs w:val="26"/>
        </w:rPr>
        <w:t>   Tỷ suất lợi nhuận vốn chủ sở hữu ROE là một chỉ tiêu tài chính dùng để đo lường khả năng sinh lời của một công ty dựa trên vốn chủ sở hữu của cổ đông. ROE cho biết công ty tạo ra bao nhiêu lợi nhuận trên mỗi đồng vốn mà cổ đông đã đầu tư vào công ty.</w:t>
      </w:r>
    </w:p>
    <w:p w14:paraId="55ED1F95" w14:textId="3CD66044" w:rsidR="004B6704" w:rsidRPr="00C076C0" w:rsidRDefault="004B6704" w:rsidP="004B6704">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                                                                                                                                                                                                          (%)     [15]                                                      </w:t>
      </w:r>
    </w:p>
    <w:p w14:paraId="772BAEB7" w14:textId="77777777" w:rsidR="004B6704" w:rsidRDefault="004B6704" w:rsidP="004B6704">
      <w:pPr>
        <w:spacing w:line="312" w:lineRule="auto"/>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w:t>
      </w:r>
    </w:p>
    <w:p w14:paraId="04E17B76" w14:textId="2CCE0893" w:rsidR="004B6704" w:rsidRPr="00AF3D5D" w:rsidRDefault="004B6704" w:rsidP="004B6704">
      <w:pPr>
        <w:spacing w:line="312" w:lineRule="auto"/>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w:t>
      </w:r>
      <w:r w:rsidRPr="00AF3D5D">
        <w:rPr>
          <w:rFonts w:ascii="Times New Roman" w:hAnsi="Times New Roman" w:cs="Times New Roman"/>
          <w:sz w:val="26"/>
          <w:szCs w:val="26"/>
          <w:u w:val="single"/>
          <w:lang w:val="vi-VN"/>
        </w:rPr>
        <w:t>Ý nghĩa</w:t>
      </w:r>
      <w:r w:rsidRPr="00AF3D5D">
        <w:rPr>
          <w:rFonts w:ascii="Times New Roman" w:hAnsi="Times New Roman" w:cs="Times New Roman"/>
          <w:sz w:val="26"/>
          <w:szCs w:val="26"/>
          <w:lang w:val="vi-VN"/>
        </w:rPr>
        <w:t>: </w:t>
      </w:r>
    </w:p>
    <w:p w14:paraId="594A19A9" w14:textId="77777777" w:rsidR="004B6704" w:rsidRPr="00AF3D5D" w:rsidRDefault="004B6704" w:rsidP="004B6704">
      <w:pPr>
        <w:spacing w:line="312" w:lineRule="auto"/>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Là thước đo trực tiếp mức độ sinh lời của nhà đầu tư (cổ đông). Phản ánh năng lực quản lý tài chính và hoạt động kinh doanh của doanh nghiệp. </w:t>
      </w:r>
    </w:p>
    <w:p w14:paraId="4BCB18D3" w14:textId="77777777" w:rsidR="004B6704" w:rsidRDefault="004B6704" w:rsidP="004B6704">
      <w:pPr>
        <w:spacing w:line="312" w:lineRule="auto"/>
        <w:ind w:left="360"/>
        <w:jc w:val="both"/>
        <w:rPr>
          <w:rFonts w:ascii="Times New Roman" w:hAnsi="Times New Roman" w:cs="Times New Roman"/>
          <w:i/>
          <w:sz w:val="26"/>
          <w:szCs w:val="26"/>
        </w:rPr>
      </w:pPr>
      <w:r w:rsidRPr="00AF3D5D">
        <w:rPr>
          <w:rFonts w:ascii="Times New Roman" w:hAnsi="Times New Roman" w:cs="Times New Roman"/>
          <w:i/>
          <w:sz w:val="26"/>
          <w:szCs w:val="26"/>
          <w:lang w:val="vi-VN"/>
        </w:rPr>
        <w:t>Ảnh hưởng đến an toàn tài chính:</w:t>
      </w:r>
    </w:p>
    <w:p w14:paraId="75ABF942" w14:textId="3BF6A616" w:rsidR="009C5163" w:rsidRDefault="009C5163" w:rsidP="009C5163">
      <w:pPr>
        <w:spacing w:line="312" w:lineRule="auto"/>
        <w:jc w:val="center"/>
        <w:rPr>
          <w:rFonts w:ascii="Times New Roman" w:hAnsi="Times New Roman" w:cs="Times New Roman"/>
          <w:i/>
          <w:sz w:val="26"/>
          <w:szCs w:val="26"/>
        </w:rPr>
      </w:pPr>
      <w:proofErr w:type="gramStart"/>
      <w:r>
        <w:rPr>
          <w:rFonts w:ascii="Times New Roman" w:hAnsi="Times New Roman" w:cs="Times New Roman"/>
          <w:i/>
          <w:sz w:val="26"/>
          <w:szCs w:val="26"/>
        </w:rPr>
        <w:t>Bảng 1.15.</w:t>
      </w:r>
      <w:proofErr w:type="gramEnd"/>
      <w:r>
        <w:rPr>
          <w:rFonts w:ascii="Times New Roman" w:hAnsi="Times New Roman" w:cs="Times New Roman"/>
          <w:i/>
          <w:sz w:val="26"/>
          <w:szCs w:val="26"/>
        </w:rPr>
        <w:t xml:space="preserve"> Ảnh hưởng của tỷ suất lợi nhuận vốn chủ sở hữu đến</w:t>
      </w:r>
    </w:p>
    <w:p w14:paraId="799C2107" w14:textId="791B16D6" w:rsidR="009C5163" w:rsidRPr="009C5163" w:rsidRDefault="009C5163" w:rsidP="009C5163">
      <w:pPr>
        <w:spacing w:line="312" w:lineRule="auto"/>
        <w:jc w:val="center"/>
        <w:rPr>
          <w:rFonts w:ascii="Times New Roman" w:hAnsi="Times New Roman" w:cs="Times New Roman"/>
          <w:i/>
          <w:sz w:val="26"/>
          <w:szCs w:val="26"/>
        </w:rPr>
      </w:pPr>
      <w:r>
        <w:rPr>
          <w:rFonts w:ascii="Times New Roman" w:hAnsi="Times New Roman" w:cs="Times New Roman"/>
          <w:i/>
          <w:sz w:val="26"/>
          <w:szCs w:val="26"/>
        </w:rPr>
        <w:t xml:space="preserve"> </w:t>
      </w:r>
      <w:proofErr w:type="gramStart"/>
      <w:r>
        <w:rPr>
          <w:rFonts w:ascii="Times New Roman" w:hAnsi="Times New Roman" w:cs="Times New Roman"/>
          <w:i/>
          <w:sz w:val="26"/>
          <w:szCs w:val="26"/>
        </w:rPr>
        <w:t>an</w:t>
      </w:r>
      <w:proofErr w:type="gramEnd"/>
      <w:r>
        <w:rPr>
          <w:rFonts w:ascii="Times New Roman" w:hAnsi="Times New Roman" w:cs="Times New Roman"/>
          <w:i/>
          <w:sz w:val="26"/>
          <w:szCs w:val="26"/>
        </w:rPr>
        <w:t xml:space="preserve"> toàn tài chính của các CTCP niêm yết thuộc TKV</w:t>
      </w:r>
    </w:p>
    <w:tbl>
      <w:tblPr>
        <w:tblW w:w="9048" w:type="dxa"/>
        <w:tblCellMar>
          <w:top w:w="15" w:type="dxa"/>
          <w:left w:w="15" w:type="dxa"/>
          <w:bottom w:w="15" w:type="dxa"/>
          <w:right w:w="15" w:type="dxa"/>
        </w:tblCellMar>
        <w:tblLook w:val="04A0" w:firstRow="1" w:lastRow="0" w:firstColumn="1" w:lastColumn="0" w:noHBand="0" w:noVBand="1"/>
      </w:tblPr>
      <w:tblGrid>
        <w:gridCol w:w="4239"/>
        <w:gridCol w:w="4809"/>
      </w:tblGrid>
      <w:tr w:rsidR="004B6704" w:rsidRPr="00C076C0" w14:paraId="12DD8AFD"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844180" w14:textId="77777777" w:rsidR="004B6704" w:rsidRPr="00C076C0" w:rsidRDefault="004B6704" w:rsidP="00897A44">
            <w:pPr>
              <w:spacing w:line="312" w:lineRule="auto"/>
              <w:jc w:val="center"/>
              <w:rPr>
                <w:rFonts w:ascii="Times New Roman" w:hAnsi="Times New Roman" w:cs="Times New Roman"/>
                <w:b/>
                <w:sz w:val="26"/>
                <w:szCs w:val="26"/>
              </w:rPr>
            </w:pPr>
            <w:r w:rsidRPr="00C076C0">
              <w:rPr>
                <w:rFonts w:ascii="Times New Roman" w:hAnsi="Times New Roman" w:cs="Times New Roman"/>
                <w:b/>
                <w:sz w:val="26"/>
                <w:szCs w:val="26"/>
              </w:rPr>
              <w:t>ROE cao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1A616" w14:textId="77777777" w:rsidR="004B6704" w:rsidRPr="00C076C0" w:rsidRDefault="004B6704" w:rsidP="00897A44">
            <w:pPr>
              <w:spacing w:line="312" w:lineRule="auto"/>
              <w:jc w:val="center"/>
              <w:rPr>
                <w:rFonts w:ascii="Times New Roman" w:hAnsi="Times New Roman" w:cs="Times New Roman"/>
                <w:b/>
                <w:sz w:val="26"/>
                <w:szCs w:val="26"/>
              </w:rPr>
            </w:pPr>
            <w:r w:rsidRPr="00C076C0">
              <w:rPr>
                <w:rFonts w:ascii="Times New Roman" w:hAnsi="Times New Roman" w:cs="Times New Roman"/>
                <w:b/>
                <w:sz w:val="26"/>
                <w:szCs w:val="26"/>
              </w:rPr>
              <w:t>ROE thấp</w:t>
            </w:r>
          </w:p>
        </w:tc>
      </w:tr>
      <w:tr w:rsidR="004B6704" w:rsidRPr="00C076C0" w14:paraId="26AAB56B"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29BC17"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Sinh lợi cao cho cổ đông, tăng uy tín và khả năng thu hút vốn đầu tư mới.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219053"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Kém hấp dẫn với nhà đầu tư vì lợi nhuận trên vốn góp thấp, cổ đông có thể rút vốn.</w:t>
            </w:r>
          </w:p>
        </w:tc>
      </w:tr>
      <w:tr w:rsidR="004B6704" w:rsidRPr="00C076C0" w14:paraId="6B4557D9"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FE879C"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Tăng trưởng vốn chủ sở hữu do lợi nhuận giữ lại được tái đầu tư giúp tăng nội lực tài chính.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55F4A"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Nếu ROE thấp nhưng vẫn cần mở rộng, doanh nghiệp sẽ phải vay nhiều, tăng áp lực phụ thuộc vào nợ vay</w:t>
            </w:r>
          </w:p>
        </w:tc>
      </w:tr>
      <w:tr w:rsidR="004B6704" w:rsidRPr="00C076C0" w14:paraId="738D3A86"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4801FD"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Giảm phụ thuộc vào vay nợ, tự chủ tài chính cao, ít rủi ro về lãi vay và nợ xấu.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811EF4"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Giảm nội lực tài chính do không đủ tích lũy để tăng vốn tự có, khó chống đỡ khủng hoảng.</w:t>
            </w:r>
          </w:p>
        </w:tc>
      </w:tr>
      <w:tr w:rsidR="004B6704" w:rsidRPr="00C076C0" w14:paraId="51DBFA76" w14:textId="77777777" w:rsidTr="00897A4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0B1640"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 xml:space="preserve"> Tăng sức cạnh tranh và định giá doanh nghiệp hiệu quả, dễ niêm yết hoặc mở rộng.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615A90" w14:textId="77777777" w:rsidR="004B6704" w:rsidRPr="00C076C0" w:rsidRDefault="004B6704" w:rsidP="00897A44">
            <w:pPr>
              <w:spacing w:line="312" w:lineRule="auto"/>
              <w:jc w:val="both"/>
              <w:rPr>
                <w:rFonts w:ascii="Times New Roman" w:hAnsi="Times New Roman" w:cs="Times New Roman"/>
                <w:sz w:val="26"/>
                <w:szCs w:val="26"/>
              </w:rPr>
            </w:pPr>
            <w:r w:rsidRPr="00C076C0">
              <w:rPr>
                <w:rFonts w:ascii="Times New Roman" w:hAnsi="Times New Roman" w:cs="Times New Roman"/>
                <w:sz w:val="26"/>
                <w:szCs w:val="26"/>
              </w:rPr>
              <w:t>Có thể phản ánh hiệu quả kinh doanh kém o chi phí cao, doanh thu thấp hoặc quản trị chưa hiệu quả.</w:t>
            </w:r>
          </w:p>
        </w:tc>
      </w:tr>
    </w:tbl>
    <w:p w14:paraId="7F246AE3" w14:textId="77777777" w:rsidR="004B6704" w:rsidRPr="00C076C0" w:rsidRDefault="004B6704" w:rsidP="004B6704">
      <w:pPr>
        <w:spacing w:line="312" w:lineRule="auto"/>
        <w:jc w:val="both"/>
        <w:rPr>
          <w:rFonts w:ascii="Times New Roman" w:hAnsi="Times New Roman" w:cs="Times New Roman"/>
          <w:sz w:val="26"/>
          <w:szCs w:val="26"/>
        </w:rPr>
      </w:pPr>
    </w:p>
    <w:p w14:paraId="3325877E" w14:textId="77777777" w:rsidR="004B6704" w:rsidRPr="00C076C0" w:rsidRDefault="004B6704" w:rsidP="005B0517">
      <w:pPr>
        <w:pStyle w:val="Heading2"/>
      </w:pPr>
      <w:bookmarkStart w:id="118" w:name="_Toc197781157"/>
      <w:bookmarkStart w:id="119" w:name="_Toc197781439"/>
      <w:bookmarkStart w:id="120" w:name="_Toc198709970"/>
      <w:r w:rsidRPr="00C076C0">
        <w:t>1.4. Các nhân tố ảnh hưởng đến an toàn tài chính của công ty cổ phần</w:t>
      </w:r>
      <w:bookmarkEnd w:id="118"/>
      <w:bookmarkEnd w:id="119"/>
      <w:bookmarkEnd w:id="120"/>
    </w:p>
    <w:p w14:paraId="41CBBE85" w14:textId="77777777" w:rsidR="004B6704" w:rsidRPr="00C076C0" w:rsidRDefault="004B6704" w:rsidP="005B0517">
      <w:pPr>
        <w:pStyle w:val="Heading3"/>
      </w:pPr>
      <w:bookmarkStart w:id="121" w:name="_Toc197781158"/>
      <w:bookmarkStart w:id="122" w:name="_Toc197781440"/>
      <w:bookmarkStart w:id="123" w:name="_Toc198281660"/>
      <w:bookmarkStart w:id="124" w:name="_Toc198284445"/>
      <w:bookmarkStart w:id="125" w:name="_Toc198709971"/>
      <w:r w:rsidRPr="00C076C0">
        <w:t>1.4.1. Nhân tố khách quan</w:t>
      </w:r>
      <w:bookmarkEnd w:id="121"/>
      <w:bookmarkEnd w:id="122"/>
      <w:bookmarkEnd w:id="123"/>
      <w:bookmarkEnd w:id="124"/>
      <w:bookmarkEnd w:id="125"/>
    </w:p>
    <w:p w14:paraId="4058D4AD"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Hình thức pháp lý tổ chức doanh nghiệp của công ty cổ phần:</w:t>
      </w:r>
    </w:p>
    <w:p w14:paraId="2AE3BAF4"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 xml:space="preserve">Hình thức pháp lý tổ chức doanh nghiệp ảnh hưởng trực tiếp đến an toàn tài chính của công ty cổ phần thông qua quy định về trách nhiệm pháp lý, cơ cấu vốn và khả năng huy động vốn. Với tư cách là một pháp nhân độc lập, công ty cổ phần </w:t>
      </w:r>
      <w:r w:rsidRPr="00C076C0">
        <w:rPr>
          <w:rFonts w:ascii="Times New Roman" w:hAnsi="Times New Roman" w:cs="Times New Roman"/>
          <w:sz w:val="26"/>
          <w:szCs w:val="26"/>
        </w:rPr>
        <w:lastRenderedPageBreak/>
        <w:t>có lợi thế trong việc huy động vốn từ nhiều cổ đông thông qua phát hành cổ phiếu, giúp tăng cường tiềm lực tài chính và phân tán rủi ro. Đồng thời, chế độ trách nhiệm hữu hạn của cổ đông (chỉ chịu trách nhiệm trong phạm vi vốn góp) giúp công ty giảm bớt rủi ro pháp lý cá nhân cho nhà đầu tư, tạo sự ổn định trong nguồn vốn. Tuy nhiên, hình thức này cũng đòi hỏi tuân thủ nghiêm ngặt các quy định về công bố thông tin, quản trị doanh nghiệp và minh bạch tài chính; nếu không thực hiện tốt sẽ làm suy giảm niềm tin của nhà đầu tư, ảnh hưởng đến khả năng huy động vốn và sự an toàn tài chính chung của công ty.</w:t>
      </w:r>
    </w:p>
    <w:p w14:paraId="7D87EEC4"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Đặc điểm kinh tế - kỹ thuật của ngành kinh doanh</w:t>
      </w:r>
    </w:p>
    <w:p w14:paraId="62DFC405"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 xml:space="preserve">Đặc điểm kinh tế – kỹ thuật của ngành kinh doanh ảnh hưởng sâu sắc đến an toàn tài chính của công ty cổ phần, vì nó quyết định cơ cấu chi phí, vòng quay vốn, mức độ rủi ro và nhu cầu đầu tư dài hạn. </w:t>
      </w:r>
    </w:p>
    <w:p w14:paraId="3D6FE688"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Ví dụ, với ngành khai thác than – như các công ty cổ phần thuộc Tập đoàn Công nghiệp Than – Khoáng sản Việt Nam (TKV) đang niêm yết – đây là ngành có đặc điểm kỹ thuật phức tạp, đòi hỏi vốn đầu tư lớn cho máy móc, hạ tầng khai thác và an toàn lao động, trong khi chi phí cố định và chi phí bảo trì lại rất cao. Ngoài ra, do phụ thuộc vào yếu tố tài nguyên và thị trường năng lượng toàn cầu, doanh thu của ngành này thường biến động theo giá than thế giới và chính sách năng lượng trong nước. Ví dụ, khi giá than giảm hoặc nhu cầu tiêu thụ từ EVN suy yếu, các công ty như Than Hà Tu – THT, Than Núi Béo – NBC… dễ gặp khó khăn trong dòng tiền, tăng áp lực trả nợ và ảnh hưởng đến khả năng thanh toán. Vì vậy, đặc thù ngành than tạo ra thách thức lớn cho việc đảm bảo an toàn tài chính nếu doanh nghiệp không quản lý chi phí và dòng tiền hiệu quả.</w:t>
      </w:r>
    </w:p>
    <w:p w14:paraId="08EBCCC5"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b/>
          <w:bCs/>
          <w:sz w:val="26"/>
          <w:szCs w:val="26"/>
        </w:rPr>
        <w:t xml:space="preserve">- </w:t>
      </w:r>
      <w:r w:rsidRPr="00C076C0">
        <w:rPr>
          <w:rFonts w:ascii="Times New Roman" w:hAnsi="Times New Roman" w:cs="Times New Roman"/>
          <w:i/>
          <w:iCs/>
          <w:sz w:val="26"/>
          <w:szCs w:val="26"/>
        </w:rPr>
        <w:t>Môi trường kinh tế vĩ mô</w:t>
      </w:r>
    </w:p>
    <w:p w14:paraId="591B617B"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Tình hình kinh tế vĩ mô như tăng trưởng GDP, lạm phát, lãi suất và tỷ giá hối đoái có ảnh hưởng lớn đến hoạt động tài chính của công ty. Ví dụ, lãi suất cao khiến chi phí vay vốn tăng, làm giảm khả năng trả nợ của công ty. Tương tự, lạm phát cao làm giảm giá trị thực của dòng tiền và ảnh hưởng đến sức mua của khách hàng, từ đó tác động đến doanh thu và lợi nhuận.</w:t>
      </w:r>
    </w:p>
    <w:p w14:paraId="0A778334"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Chính sách pháp lý và quy định nhà nước</w:t>
      </w:r>
    </w:p>
    <w:p w14:paraId="25F11B5D"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Hệ thống pháp luật và chính sách thuế, tài chính, kế toán có thể tạo điều kiện thuận lợi hoặc rủi ro cho hoạt động của doanh nghiệp. Sự thay đổi đột ngột trong quy định về thuế, quản lý thị trường chứng khoán, hay quy định về vay vốn ngân hàng có thể ảnh hưởng đến cấu trúc tài chính và dòng tiền của công ty.</w:t>
      </w:r>
    </w:p>
    <w:p w14:paraId="2DB37E7A"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Biến động thị trường, cạnh tranh và mức độ hội nhập thị trường</w:t>
      </w:r>
    </w:p>
    <w:p w14:paraId="5A07D0EE"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lastRenderedPageBreak/>
        <w:t>Thị trường tiêu thụ sản phẩm thay đổi nhanh chóng hoặc cạnh tranh gay gắt có thể làm giảm doanh thu và lợi nhuận, từ đó làm suy yếu khả năng tài chính. Hay sự biến động giá nguyên vật liệu đầu vào cũng ảnh hưởng lớn đến chi phí sản xuất và biên lợi nhuận. Ngoài ra, việc hội nhập vào các hiệp định thương mại tự do có thể tạo cơ hội mở rộng thị trường, nhưng cũng làm gia tăng sự cạnh tranh từ các đối thủ quốc tế, đe dọa lợi nhuận và an toàn tài chính của công ty.</w:t>
      </w:r>
    </w:p>
    <w:p w14:paraId="78E726A7"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Công nghệ và đổi mới sáng tạo</w:t>
      </w:r>
    </w:p>
    <w:p w14:paraId="56C2DFF5"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Sự thay đổi nhanh chóng của công nghệ và xu hướng đổi mới sáng tạo yêu cầu các công ty phải đầu tư liên tục vào nghiên cứu và phát triển (R&amp;D) để duy trì sự cạnh tranh. Nếu công ty không có khả năng theo kịp các xu hướng công nghệ, họ có thể bị tụt lại phía sau, làm giảm doanh thu và ảnh hưởng đến hiệu quả tài chính.</w:t>
      </w:r>
    </w:p>
    <w:p w14:paraId="0D16AD9F"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Yếu tố tự nhiên và dịch bệnh</w:t>
      </w:r>
    </w:p>
    <w:p w14:paraId="3A0F6AA7"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Thiên tai, dịch bệnh, biến đổi khí hậu hoặc các khủng hoảng ngoài tầm kiểm soát như đại dịch COVID-19 có thể gây gián đoạn chuỗi cung ứng, giảm sản xuất và tiêu thụ, ảnh hưởng nghiêm trọng đến an toàn tài chính.</w:t>
      </w:r>
    </w:p>
    <w:p w14:paraId="7C7B63DA" w14:textId="77777777" w:rsidR="004B6704" w:rsidRPr="00C076C0" w:rsidRDefault="004B6704" w:rsidP="005B0517">
      <w:pPr>
        <w:pStyle w:val="Heading3"/>
      </w:pPr>
      <w:bookmarkStart w:id="126" w:name="_Toc198281661"/>
      <w:bookmarkStart w:id="127" w:name="_Toc198284446"/>
      <w:bookmarkStart w:id="128" w:name="_Toc198709972"/>
      <w:bookmarkStart w:id="129" w:name="_Toc197781159"/>
      <w:bookmarkStart w:id="130" w:name="_Toc197781441"/>
      <w:r w:rsidRPr="00C076C0">
        <w:t>1.4.2. Nhóm nhân tố chủ quan</w:t>
      </w:r>
      <w:bookmarkEnd w:id="126"/>
      <w:bookmarkEnd w:id="127"/>
      <w:bookmarkEnd w:id="128"/>
      <w:r w:rsidRPr="00C076C0">
        <w:t xml:space="preserve"> </w:t>
      </w:r>
      <w:bookmarkEnd w:id="129"/>
      <w:bookmarkEnd w:id="130"/>
    </w:p>
    <w:p w14:paraId="24B2A493"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b/>
          <w:bCs/>
          <w:sz w:val="26"/>
          <w:szCs w:val="26"/>
        </w:rPr>
        <w:t xml:space="preserve">- </w:t>
      </w:r>
      <w:r w:rsidRPr="00C076C0">
        <w:rPr>
          <w:rFonts w:ascii="Times New Roman" w:hAnsi="Times New Roman" w:cs="Times New Roman"/>
          <w:i/>
          <w:iCs/>
          <w:sz w:val="26"/>
          <w:szCs w:val="26"/>
        </w:rPr>
        <w:t>Chính sách tài chính và chiến lược quản trị</w:t>
      </w:r>
    </w:p>
    <w:p w14:paraId="746050F9"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Cách công ty lập kế hoạch tài chính, quản lý chi phí, sử dụng đòn bẩy tài chính và phân phối lợi nhuận có ảnh hưởng trực tiếp đến sự an toàn tài chính. Việc lạm dụng vay nợ để mở rộng kinh doanh có thể tạo rủi ro mất khả năng thanh toán trong thời kỳ suy thoái.</w:t>
      </w:r>
    </w:p>
    <w:p w14:paraId="2E0F5BCA"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Cơ cấu tài chính</w:t>
      </w:r>
    </w:p>
    <w:p w14:paraId="1E412DA0"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Tỷ lệ giữa nợ và vốn chủ sở hữu (đòn bẩy tài chính) quyết định mức độ rủi ro tài chính của công ty. Cơ cấu tài chính hợp lý sẽ giúp công ty linh hoạt trước các biến động, trong khi cơ cấu mất cân đối sẽ làm gia tăng rủi ro phá sản.</w:t>
      </w:r>
    </w:p>
    <w:p w14:paraId="4580136A"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Hiệu quả hoạt động sản xuất kinh doanh</w:t>
      </w:r>
    </w:p>
    <w:p w14:paraId="5D759D80"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Một công ty có hiệu quả kinh doanh cao sẽ tạo ra lợi nhuận ổn định, từ đó tăng khả năng tích lũy vốn, trả nợ và đầu tư trở lại. Ngược lại, nếu hoạt động kinh doanh kém hiệu quả, doanh thu và lợi nhuận giảm sẽ khiến tài chính bị đe dọa.</w:t>
      </w:r>
    </w:p>
    <w:p w14:paraId="04282918" w14:textId="77777777" w:rsidR="004B6704" w:rsidRPr="00C076C0" w:rsidRDefault="004B6704" w:rsidP="004B6704">
      <w:pPr>
        <w:spacing w:line="312" w:lineRule="auto"/>
        <w:ind w:firstLine="720"/>
        <w:jc w:val="both"/>
        <w:rPr>
          <w:rFonts w:ascii="Times New Roman" w:hAnsi="Times New Roman" w:cs="Times New Roman"/>
          <w:i/>
          <w:iCs/>
          <w:sz w:val="26"/>
          <w:szCs w:val="26"/>
        </w:rPr>
      </w:pPr>
      <w:r w:rsidRPr="00C076C0">
        <w:rPr>
          <w:rFonts w:ascii="Times New Roman" w:hAnsi="Times New Roman" w:cs="Times New Roman"/>
          <w:i/>
          <w:iCs/>
          <w:sz w:val="26"/>
          <w:szCs w:val="26"/>
        </w:rPr>
        <w:t>- Trình độ quản trị của ban lãnh đạo</w:t>
      </w:r>
    </w:p>
    <w:p w14:paraId="13BD3F49" w14:textId="77777777" w:rsidR="004B6704" w:rsidRPr="00C076C0" w:rsidRDefault="004B6704" w:rsidP="004B6704">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Năng lực quản lý tài chính, chiến lược phát triển, cũng như khả năng ứng phó với rủi ro của đội ngũ lãnh đạo có vai trò quyết định đối với sự an toàn tài chính. Quyết định sai lầm trong đầu tư, quản lý vốn, hoặc không kịp thời điều chỉnh trước biến động thị trường sẽ dễ dẫn đến khủng hoảng tài chính.</w:t>
      </w:r>
    </w:p>
    <w:p w14:paraId="5E318485" w14:textId="77777777" w:rsidR="004B6704" w:rsidRPr="00C076C0" w:rsidRDefault="004B6704" w:rsidP="004B6704">
      <w:pPr>
        <w:spacing w:line="312" w:lineRule="auto"/>
        <w:jc w:val="both"/>
        <w:rPr>
          <w:rFonts w:ascii="Times New Roman" w:hAnsi="Times New Roman" w:cs="Times New Roman"/>
          <w:sz w:val="26"/>
          <w:szCs w:val="26"/>
        </w:rPr>
      </w:pPr>
    </w:p>
    <w:p w14:paraId="18839C2E" w14:textId="74AB1557" w:rsidR="004B6704" w:rsidRPr="004B6704" w:rsidRDefault="004B6704" w:rsidP="005B0517">
      <w:pPr>
        <w:pStyle w:val="Heading1"/>
        <w:rPr>
          <w:lang w:val="vi-VN"/>
        </w:rPr>
      </w:pPr>
      <w:bookmarkStart w:id="131" w:name="_Toc197781160"/>
      <w:bookmarkStart w:id="132" w:name="_Toc197781442"/>
      <w:bookmarkStart w:id="133" w:name="_Toc198281662"/>
      <w:bookmarkStart w:id="134" w:name="_Toc198284447"/>
      <w:bookmarkStart w:id="135" w:name="_Toc198709973"/>
      <w:r w:rsidRPr="004B6704">
        <w:rPr>
          <w:lang w:val="vi-VN"/>
        </w:rPr>
        <w:lastRenderedPageBreak/>
        <w:t xml:space="preserve">KẾT LUẬN </w:t>
      </w:r>
      <w:r w:rsidR="00F76309" w:rsidRPr="00F22BA5">
        <w:rPr>
          <w:lang w:val="vi-VN"/>
        </w:rPr>
        <w:t>PHẦN</w:t>
      </w:r>
      <w:r w:rsidRPr="004B6704">
        <w:rPr>
          <w:lang w:val="vi-VN"/>
        </w:rPr>
        <w:t xml:space="preserve"> 1</w:t>
      </w:r>
      <w:bookmarkEnd w:id="131"/>
      <w:bookmarkEnd w:id="132"/>
      <w:bookmarkEnd w:id="133"/>
      <w:bookmarkEnd w:id="134"/>
      <w:bookmarkEnd w:id="135"/>
    </w:p>
    <w:p w14:paraId="0C0B5AE5" w14:textId="6AAA6FB4"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Trong nội dung </w:t>
      </w:r>
      <w:r w:rsidR="00F76309" w:rsidRPr="00F22BA5">
        <w:rPr>
          <w:rFonts w:ascii="Times New Roman" w:hAnsi="Times New Roman" w:cs="Times New Roman"/>
          <w:sz w:val="26"/>
          <w:szCs w:val="26"/>
          <w:lang w:val="vi-VN"/>
        </w:rPr>
        <w:t xml:space="preserve">Phần </w:t>
      </w:r>
      <w:r w:rsidRPr="004B6704">
        <w:rPr>
          <w:rFonts w:ascii="Times New Roman" w:hAnsi="Times New Roman" w:cs="Times New Roman"/>
          <w:sz w:val="26"/>
          <w:szCs w:val="26"/>
          <w:lang w:val="vi-VN"/>
        </w:rPr>
        <w:t xml:space="preserve"> 1, bài nghiên cứu đã làm rõ được các vấn đề cơ bản sau: </w:t>
      </w:r>
    </w:p>
    <w:p w14:paraId="2AAAAFED"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i/>
          <w:sz w:val="26"/>
          <w:szCs w:val="26"/>
          <w:lang w:val="vi-VN"/>
        </w:rPr>
        <w:t>Thứ nhất,</w:t>
      </w:r>
      <w:r w:rsidRPr="004B6704">
        <w:rPr>
          <w:rFonts w:ascii="Times New Roman" w:hAnsi="Times New Roman" w:cs="Times New Roman"/>
          <w:sz w:val="26"/>
          <w:szCs w:val="26"/>
          <w:lang w:val="vi-VN"/>
        </w:rPr>
        <w:t xml:space="preserve"> trình bày những vấn đề cơ bản về Công ty cổ phần như khái niệm, các hoạt động kinh doanh chủ yếu, đặc điểm hoạt động tác động đến tài chính của CTCP</w:t>
      </w:r>
      <w:r w:rsidRPr="00C076C0">
        <w:rPr>
          <w:rFonts w:ascii="Times New Roman" w:hAnsi="Times New Roman" w:cs="Times New Roman"/>
          <w:sz w:val="26"/>
          <w:szCs w:val="26"/>
          <w:lang w:val="vi-VN"/>
        </w:rPr>
        <w:t>.</w:t>
      </w:r>
      <w:r w:rsidRPr="004B6704">
        <w:rPr>
          <w:rFonts w:ascii="Times New Roman" w:hAnsi="Times New Roman" w:cs="Times New Roman"/>
          <w:sz w:val="26"/>
          <w:szCs w:val="26"/>
          <w:lang w:val="vi-VN"/>
        </w:rPr>
        <w:t xml:space="preserve"> </w:t>
      </w:r>
    </w:p>
    <w:p w14:paraId="712BDB6E" w14:textId="77777777"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i/>
          <w:sz w:val="26"/>
          <w:szCs w:val="26"/>
          <w:lang w:val="vi-VN"/>
        </w:rPr>
        <w:t>Thứ hai,</w:t>
      </w:r>
      <w:r w:rsidRPr="004B6704">
        <w:rPr>
          <w:rFonts w:ascii="Times New Roman" w:hAnsi="Times New Roman" w:cs="Times New Roman"/>
          <w:sz w:val="26"/>
          <w:szCs w:val="26"/>
          <w:lang w:val="vi-VN"/>
        </w:rPr>
        <w:t xml:space="preserve"> bài nghiên cứu làm rõ được khái niệm về an toàn tài chính của CTCP, khẳng định vai trò của an toàn tài chính đối với CTCP, xây dựng nội dung cũng như các chỉ tiêu đánh giá an toàn tài chính của CTCP trên các khía cạnh về cơ cấu vốn, khả năng thanh toán, lợi nhuận và dòng tiền, chí phí và hiệu quả sử dụng tài sản. Đồng thời, phân tích các nhân tố khách quan và chủ quan ảnh hưởng đến an toàn tài chính của CTCP. </w:t>
      </w:r>
    </w:p>
    <w:p w14:paraId="3A8DFDFA" w14:textId="194DD6CB" w:rsidR="004B6704" w:rsidRPr="004B6704" w:rsidRDefault="004B6704" w:rsidP="004B6704">
      <w:pPr>
        <w:spacing w:line="312" w:lineRule="auto"/>
        <w:ind w:firstLine="720"/>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t xml:space="preserve">Nội dung </w:t>
      </w:r>
      <w:r w:rsidR="00F76309" w:rsidRPr="00F22BA5">
        <w:rPr>
          <w:rFonts w:ascii="Times New Roman" w:hAnsi="Times New Roman" w:cs="Times New Roman"/>
          <w:sz w:val="26"/>
          <w:szCs w:val="26"/>
          <w:lang w:val="vi-VN"/>
        </w:rPr>
        <w:t>phần</w:t>
      </w:r>
      <w:r w:rsidRPr="004B6704">
        <w:rPr>
          <w:rFonts w:ascii="Times New Roman" w:hAnsi="Times New Roman" w:cs="Times New Roman"/>
          <w:sz w:val="26"/>
          <w:szCs w:val="26"/>
          <w:lang w:val="vi-VN"/>
        </w:rPr>
        <w:t xml:space="preserve"> 1 là nền tảng lý luận, là cơ sở để đánh giá thực trạng cũng như đề xuất giải pháp nhằm đảm bảo an toàn tài chính của các </w:t>
      </w:r>
      <w:r w:rsidR="00B564BE">
        <w:rPr>
          <w:rFonts w:ascii="Times New Roman" w:hAnsi="Times New Roman" w:cs="Times New Roman"/>
          <w:sz w:val="26"/>
          <w:szCs w:val="26"/>
          <w:lang w:val="vi-VN"/>
        </w:rPr>
        <w:t>CTCP</w:t>
      </w:r>
      <w:r w:rsidRPr="004B6704">
        <w:rPr>
          <w:rFonts w:ascii="Times New Roman" w:hAnsi="Times New Roman" w:cs="Times New Roman"/>
          <w:sz w:val="26"/>
          <w:szCs w:val="26"/>
          <w:lang w:val="vi-VN"/>
        </w:rPr>
        <w:t xml:space="preserve"> cổ phần niêm yết ở Việt Nam trong nội dung các </w:t>
      </w:r>
      <w:r w:rsidR="00F76309" w:rsidRPr="00F22BA5">
        <w:rPr>
          <w:rFonts w:ascii="Times New Roman" w:hAnsi="Times New Roman" w:cs="Times New Roman"/>
          <w:sz w:val="26"/>
          <w:szCs w:val="26"/>
          <w:lang w:val="vi-VN"/>
        </w:rPr>
        <w:t>phần</w:t>
      </w:r>
      <w:r w:rsidRPr="004B6704">
        <w:rPr>
          <w:rFonts w:ascii="Times New Roman" w:hAnsi="Times New Roman" w:cs="Times New Roman"/>
          <w:sz w:val="26"/>
          <w:szCs w:val="26"/>
          <w:lang w:val="vi-VN"/>
        </w:rPr>
        <w:t xml:space="preserve"> tiếp theo của bài NCKH.</w:t>
      </w:r>
    </w:p>
    <w:p w14:paraId="745532C3" w14:textId="77777777" w:rsidR="004B6704" w:rsidRPr="004B6704" w:rsidRDefault="004B6704" w:rsidP="004B6704">
      <w:pPr>
        <w:spacing w:line="312" w:lineRule="auto"/>
        <w:jc w:val="both"/>
        <w:rPr>
          <w:rFonts w:ascii="Times New Roman" w:hAnsi="Times New Roman" w:cs="Times New Roman"/>
          <w:sz w:val="26"/>
          <w:szCs w:val="26"/>
          <w:lang w:val="vi-VN"/>
        </w:rPr>
      </w:pPr>
    </w:p>
    <w:p w14:paraId="038965F8" w14:textId="77777777" w:rsidR="004B6704" w:rsidRPr="004B6704" w:rsidRDefault="004B6704" w:rsidP="004B6704">
      <w:pPr>
        <w:spacing w:line="312" w:lineRule="auto"/>
        <w:jc w:val="both"/>
        <w:rPr>
          <w:rFonts w:ascii="Times New Roman" w:hAnsi="Times New Roman" w:cs="Times New Roman"/>
          <w:sz w:val="26"/>
          <w:szCs w:val="26"/>
          <w:lang w:val="vi-VN"/>
        </w:rPr>
      </w:pPr>
      <w:r w:rsidRPr="004B6704">
        <w:rPr>
          <w:rFonts w:ascii="Times New Roman" w:hAnsi="Times New Roman" w:cs="Times New Roman"/>
          <w:sz w:val="26"/>
          <w:szCs w:val="26"/>
          <w:lang w:val="vi-VN"/>
        </w:rPr>
        <w:br w:type="page"/>
      </w:r>
    </w:p>
    <w:p w14:paraId="626B52BD" w14:textId="77777777" w:rsidR="00126E2E" w:rsidRPr="00126E2E" w:rsidRDefault="00126E2E" w:rsidP="005B0517">
      <w:pPr>
        <w:pStyle w:val="Heading1"/>
        <w:rPr>
          <w:lang w:val="vi-VN"/>
        </w:rPr>
      </w:pPr>
      <w:bookmarkStart w:id="136" w:name="_Toc198281663"/>
      <w:bookmarkStart w:id="137" w:name="_Toc198284448"/>
      <w:bookmarkStart w:id="138" w:name="_Toc198709974"/>
      <w:bookmarkStart w:id="139" w:name="_Toc197781161"/>
      <w:bookmarkStart w:id="140" w:name="_Toc197781443"/>
      <w:r w:rsidRPr="00126E2E">
        <w:rPr>
          <w:lang w:val="vi-VN"/>
        </w:rPr>
        <w:lastRenderedPageBreak/>
        <w:t>PHẦN 2</w:t>
      </w:r>
      <w:bookmarkEnd w:id="136"/>
      <w:bookmarkEnd w:id="137"/>
      <w:bookmarkEnd w:id="138"/>
    </w:p>
    <w:p w14:paraId="4A520FE6" w14:textId="049A2BCF" w:rsidR="00126E2E" w:rsidRPr="00126E2E" w:rsidRDefault="00126E2E" w:rsidP="005B0517">
      <w:pPr>
        <w:pStyle w:val="Heading1"/>
        <w:rPr>
          <w:lang w:val="vi-VN"/>
        </w:rPr>
      </w:pPr>
      <w:r w:rsidRPr="00126E2E">
        <w:rPr>
          <w:lang w:val="vi-VN"/>
        </w:rPr>
        <w:t xml:space="preserve"> </w:t>
      </w:r>
      <w:bookmarkStart w:id="141" w:name="_Toc198281664"/>
      <w:bookmarkStart w:id="142" w:name="_Toc198284449"/>
      <w:bookmarkStart w:id="143" w:name="_Toc198709975"/>
      <w:r w:rsidRPr="00126E2E">
        <w:rPr>
          <w:lang w:val="vi-VN"/>
        </w:rPr>
        <w:t xml:space="preserve">THỰC TRẠNG AN TOÀN TÀI CHÍNH </w:t>
      </w:r>
      <w:r w:rsidR="0014204A" w:rsidRPr="00F22BA5">
        <w:rPr>
          <w:lang w:val="vi-VN"/>
        </w:rPr>
        <w:t>CÁC</w:t>
      </w:r>
      <w:r w:rsidRPr="00126E2E">
        <w:rPr>
          <w:lang w:val="vi-VN"/>
        </w:rPr>
        <w:t xml:space="preserve"> CÔNG TY CỔ PHẦN NIÊM YẾT THUỘC TKV</w:t>
      </w:r>
      <w:bookmarkEnd w:id="141"/>
      <w:bookmarkEnd w:id="142"/>
      <w:bookmarkEnd w:id="143"/>
      <w:r w:rsidRPr="00126E2E">
        <w:rPr>
          <w:lang w:val="vi-VN"/>
        </w:rPr>
        <w:t xml:space="preserve"> </w:t>
      </w:r>
      <w:bookmarkEnd w:id="139"/>
      <w:bookmarkEnd w:id="140"/>
    </w:p>
    <w:p w14:paraId="4938D255" w14:textId="77777777" w:rsidR="00126E2E" w:rsidRPr="00126E2E" w:rsidRDefault="00126E2E" w:rsidP="005B0517">
      <w:pPr>
        <w:pStyle w:val="Heading2"/>
        <w:rPr>
          <w:lang w:val="vi-VN"/>
        </w:rPr>
      </w:pPr>
      <w:bookmarkStart w:id="144" w:name="_Toc198281665"/>
      <w:bookmarkStart w:id="145" w:name="_Toc198284450"/>
      <w:bookmarkStart w:id="146" w:name="_Toc198709976"/>
      <w:r w:rsidRPr="00126E2E">
        <w:rPr>
          <w:lang w:val="vi-VN"/>
        </w:rPr>
        <w:t>2.1. Tổng quan về một số công ty cổ phần niêm yết thuộc TKV</w:t>
      </w:r>
      <w:bookmarkEnd w:id="144"/>
      <w:bookmarkEnd w:id="145"/>
      <w:bookmarkEnd w:id="146"/>
    </w:p>
    <w:p w14:paraId="23E9D050" w14:textId="77777777" w:rsidR="00126E2E" w:rsidRPr="00B564BE" w:rsidRDefault="00126E2E" w:rsidP="005B0517">
      <w:pPr>
        <w:pStyle w:val="Heading3"/>
        <w:rPr>
          <w:lang w:val="vi-VN"/>
        </w:rPr>
      </w:pPr>
      <w:bookmarkStart w:id="147" w:name="_Toc197781163"/>
      <w:bookmarkStart w:id="148" w:name="_Toc197781445"/>
      <w:bookmarkStart w:id="149" w:name="_Toc198709977"/>
      <w:r w:rsidRPr="00B564BE">
        <w:rPr>
          <w:lang w:val="vi-VN"/>
        </w:rPr>
        <w:t>2.1.1. Quá trình hình thành và phát triển của TKV</w:t>
      </w:r>
      <w:bookmarkEnd w:id="147"/>
      <w:bookmarkEnd w:id="148"/>
      <w:bookmarkEnd w:id="149"/>
    </w:p>
    <w:p w14:paraId="5BE940D6"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i/>
          <w:iCs/>
          <w:sz w:val="26"/>
          <w:szCs w:val="26"/>
          <w:lang w:val="vi-VN"/>
        </w:rPr>
        <w:t>Tập đoàn Công nghiệp Than – Khoáng sản Việt Nam (TKV)</w:t>
      </w:r>
      <w:r w:rsidRPr="00126E2E">
        <w:rPr>
          <w:rFonts w:ascii="Times New Roman" w:hAnsi="Times New Roman" w:cs="Times New Roman"/>
          <w:sz w:val="26"/>
          <w:szCs w:val="26"/>
          <w:lang w:val="vi-VN"/>
        </w:rPr>
        <w:t xml:space="preserve"> là một trong những tập đoàn kinh tế nhà nước lớn của Việt Nam, hoạt động chủ yếu trong lĩnh vực khai thác than, khoáng sản và sản xuất điện, đóng vai trò then chốt trong nền kinh tế quốc dân. </w:t>
      </w:r>
    </w:p>
    <w:p w14:paraId="1E693F4A"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 xml:space="preserve">Quá trình hình thành của TKV bắt đầu từ năm 1995, khi </w:t>
      </w:r>
      <w:r w:rsidRPr="00126E2E">
        <w:rPr>
          <w:rFonts w:ascii="Times New Roman" w:hAnsi="Times New Roman" w:cs="Times New Roman"/>
          <w:i/>
          <w:iCs/>
          <w:sz w:val="26"/>
          <w:szCs w:val="26"/>
          <w:lang w:val="vi-VN"/>
        </w:rPr>
        <w:t>Tổng Công ty Than Việt Nam (Vinacoal)</w:t>
      </w:r>
      <w:r w:rsidRPr="00126E2E">
        <w:rPr>
          <w:rFonts w:ascii="Times New Roman" w:hAnsi="Times New Roman" w:cs="Times New Roman"/>
          <w:sz w:val="26"/>
          <w:szCs w:val="26"/>
          <w:lang w:val="vi-VN"/>
        </w:rPr>
        <w:t xml:space="preserve"> được thành lập theo Quyết định số 563/TTg ngày 10/10/1994 của Thủ tướng Chính phủ và chính thức đi vào hoạt động từ ngày 1/1/1995. Mục tiêu của việc thành lập Vinacoal là để tổ chức lại hoạt động khai thác và kinh doanh than trong cả nước một cách thống nhất, hiệu quả hơn, đáp ứng nhu cầu năng lượng ngày càng tăng và thúc đẩy công nghiệp hóa – hiện đại hóa đất nước.</w:t>
      </w:r>
    </w:p>
    <w:p w14:paraId="46ADC2CA"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Bước ngoặt quan trọng trong quá trình phát triển của Vinacoal là vào năm 2005, khi Chính phủ quyết định chuyển đổi</w:t>
      </w:r>
      <w:r w:rsidRPr="00126E2E">
        <w:rPr>
          <w:rFonts w:ascii="Times New Roman" w:hAnsi="Times New Roman" w:cs="Times New Roman"/>
          <w:b/>
          <w:bCs/>
          <w:sz w:val="26"/>
          <w:szCs w:val="26"/>
          <w:lang w:val="vi-VN"/>
        </w:rPr>
        <w:t xml:space="preserve"> </w:t>
      </w:r>
      <w:r w:rsidRPr="00126E2E">
        <w:rPr>
          <w:rFonts w:ascii="Times New Roman" w:hAnsi="Times New Roman" w:cs="Times New Roman"/>
          <w:i/>
          <w:iCs/>
          <w:sz w:val="26"/>
          <w:szCs w:val="26"/>
          <w:lang w:val="vi-VN"/>
        </w:rPr>
        <w:t>Tổng Công ty Than Việt Nam (Vinacoal)</w:t>
      </w:r>
      <w:r w:rsidRPr="00126E2E">
        <w:rPr>
          <w:rFonts w:ascii="Times New Roman" w:hAnsi="Times New Roman" w:cs="Times New Roman"/>
          <w:b/>
          <w:bCs/>
          <w:sz w:val="26"/>
          <w:szCs w:val="26"/>
          <w:lang w:val="vi-VN"/>
        </w:rPr>
        <w:t xml:space="preserve"> </w:t>
      </w:r>
      <w:r w:rsidRPr="00126E2E">
        <w:rPr>
          <w:rFonts w:ascii="Times New Roman" w:hAnsi="Times New Roman" w:cs="Times New Roman"/>
          <w:sz w:val="26"/>
          <w:szCs w:val="26"/>
          <w:lang w:val="vi-VN"/>
        </w:rPr>
        <w:t xml:space="preserve">thành </w:t>
      </w:r>
      <w:r w:rsidRPr="00126E2E">
        <w:rPr>
          <w:rFonts w:ascii="Times New Roman" w:hAnsi="Times New Roman" w:cs="Times New Roman"/>
          <w:i/>
          <w:iCs/>
          <w:sz w:val="26"/>
          <w:szCs w:val="26"/>
          <w:lang w:val="vi-VN"/>
        </w:rPr>
        <w:t xml:space="preserve">Tập đoàn Công nghiệp Than – Khoáng sản Việt Nam (TKV) </w:t>
      </w:r>
      <w:r w:rsidRPr="00126E2E">
        <w:rPr>
          <w:rFonts w:ascii="Times New Roman" w:hAnsi="Times New Roman" w:cs="Times New Roman"/>
          <w:sz w:val="26"/>
          <w:szCs w:val="26"/>
          <w:lang w:val="vi-VN"/>
        </w:rPr>
        <w:t>theo mô hình công ty mẹ – công ty con. Quyết định này được thực hiện theo Quyết định số 198/2005/QĐ-TTg ngày 8/8/2005, với mục tiêu không chỉ nâng cao hiệu quả quản trị, mà còn mở rộng hoạt động của TKV sang lĩnh vực khai thác và chế biến khoáng sản, sản xuất điện, cơ khí, vật liệu nổ công nghiệp, và cả dịch vụ vận tải, thương mại. Từ đây, TKV trở thành một trong những tập đoàn đa ngành quan trọng nhất trong nền kinh tế quốc dân.</w:t>
      </w:r>
    </w:p>
    <w:p w14:paraId="13168F1C"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Trong giai đoạn từ 2005 đến nay, TKV không ngừng mở rộng quy mô, hiện đại hóa công nghệ khai thác và phát triển bền vững. Tập đoàn đã đầu tư vào các mỏ than hiện đại, áp dụng công nghệ khai thác hầm lò cơ giới hóa, cũng như triển khai các dự án lớn về điện lực. Bên cạnh đó, TKV cũng từng bước thực hiện cổ phần hóa các đơn vị thành viên, trong đó nhiều công ty đã niêm yết trên thị trường chứng khoán, nâng cao tính minh bạch và hiệu quả hoạt động. Đồng thời, TKV đẩy mạnh hợp tác quốc tế, triển khai khai thác khoáng sản tại một số nước như Lào và Campuchia.</w:t>
      </w:r>
    </w:p>
    <w:p w14:paraId="637CE2D6"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 xml:space="preserve">Hiện nay, TKV giữ vai trò then chốt trong đảm bảo an ninh năng lượng quốc gia, cung cấp phần lớn sản lượng than cho các nhà máy nhiệt điện trong nước, đồng </w:t>
      </w:r>
      <w:r w:rsidRPr="00126E2E">
        <w:rPr>
          <w:rFonts w:ascii="Times New Roman" w:hAnsi="Times New Roman" w:cs="Times New Roman"/>
          <w:sz w:val="26"/>
          <w:szCs w:val="26"/>
          <w:lang w:val="vi-VN"/>
        </w:rPr>
        <w:lastRenderedPageBreak/>
        <w:t>thời là lực lượng chủ lực trong khai thác khoáng sản chiến lược. Tập đoàn cũng đang từng bước hướng tới phát triển bền vững, đầu tư vào chuyển đổi số, tăng cường công tác bảo vệ môi trường và đảm bảo an sinh xã hội tại các vùng mỏ. Với định hướng đó, TKV tiếp tục giữ vững vai trò trụ cột trong ngành công nghiệp khai khoáng và năng lượng của Việt Nam.</w:t>
      </w:r>
    </w:p>
    <w:p w14:paraId="49171863" w14:textId="77777777" w:rsidR="00126E2E" w:rsidRPr="00B564BE" w:rsidRDefault="00126E2E" w:rsidP="005B0517">
      <w:pPr>
        <w:pStyle w:val="Heading3"/>
        <w:rPr>
          <w:lang w:val="vi-VN"/>
        </w:rPr>
      </w:pPr>
      <w:bookmarkStart w:id="150" w:name="_Toc197781164"/>
      <w:bookmarkStart w:id="151" w:name="_Toc197781446"/>
      <w:bookmarkStart w:id="152" w:name="_Toc198709978"/>
      <w:r w:rsidRPr="00B564BE">
        <w:rPr>
          <w:lang w:val="vi-VN"/>
        </w:rPr>
        <w:t>2.1.2. Đặc điểm chung về các công ty cổ phần niêm yết thuộc TKV</w:t>
      </w:r>
      <w:bookmarkEnd w:id="150"/>
      <w:bookmarkEnd w:id="151"/>
      <w:bookmarkEnd w:id="152"/>
    </w:p>
    <w:p w14:paraId="160F7658"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Các công ty cổ phần niêm yết thuộc Tập đoàn Công nghiệp Than – Khoáng sản Việt Nam (TKV) đều có nguồn gốc từ những doanh nghiệp nhà nước hoạt động lâu năm trong lĩnh vực khai thác than, khoáng sản, sản xuất điện và dịch vụ kỹ thuật mỏ. Phần lớn các công ty này được thành lập từ thời bao cấp hoặc giai đoạn đầu đổi mới, sau đó được tổ chức lại dưới sự quản lý trực tiếp của TKV. Đây là nền tảng tạo nên lực lượng sản xuất vững mạnh, chuyên sâu và giàu kinh nghiệm trong ngành công nghiệp khai khoáng và năng lượng.</w:t>
      </w:r>
    </w:p>
    <w:p w14:paraId="6A3BC26B"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Các công ty này là đều trải qua quá trình cổ phần hóa theo chủ trương của Nhà nước, đặc biệt mạnh mẽ trong giai đoạn 2005–2010. Sau cổ phần hóa, nhiều công ty đã chính thức niêm yết cổ phiếu trên các sàn giao dịch chứng khoán như HNX hoặc UPCoM, trở thành doanh nghiệp đại chúng. Tuy nhiên, dù đã cổ phần hóa, phần lớn các công ty này vẫn duy trì tỷ lệ cổ phần chi phối của TKV – thường là trên 51%. Điều này giúp đảm bảo sự liên kết chặt chẽ với tập đoàn mẹ và đồng bộ hóa trong chiến lược phát triển toàn ngành.</w:t>
      </w:r>
    </w:p>
    <w:p w14:paraId="119E6268"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Bên cạnh đó, các CTCP niêm yết thuộc TKV thường chuyên môn hóa theo lĩnh vực hoạt động cụ thể, tạo thành chuỗi giá trị hoàn chỉnh trong ngành than – khoáng sản. Sự chuyên môn hóa này giúp các công ty hoạt động hiệu quả hơn và dễ dàng mở rộng đầu tư chiều sâu.</w:t>
      </w:r>
    </w:p>
    <w:p w14:paraId="0431F9F7" w14:textId="77777777"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Ngoài ra, các CTCP niêm yết thuộc TKV đều chịu ảnh hưởng lớn từ đặc thù ngành khai khoáng như: chi phí sản xuất cao, điều kiện làm việc khắc nghiệt, rủi ro môi trường và yêu cầu nghiêm ngặt về an toàn lao động. Tuy vậy, với sự hỗ trợ kỹ thuật và tài chính từ TKV, cùng với việc áp dụng công nghệ khai thác hiện đại, các công ty này đang từng bước nâng cao năng suất lao động, cải thiện điều kiện làm việc và đáp ứng tốt hơn các yêu cầu phát triển bền vững.</w:t>
      </w:r>
    </w:p>
    <w:p w14:paraId="00EDB244" w14:textId="77777777" w:rsidR="0014204A" w:rsidRPr="0014204A" w:rsidRDefault="00126E2E" w:rsidP="0014204A">
      <w:pPr>
        <w:spacing w:line="312" w:lineRule="auto"/>
        <w:ind w:firstLine="720"/>
        <w:jc w:val="both"/>
        <w:rPr>
          <w:rFonts w:asciiTheme="majorHAnsi" w:hAnsiTheme="majorHAnsi" w:cstheme="majorHAnsi"/>
          <w:sz w:val="26"/>
          <w:szCs w:val="26"/>
          <w:lang w:val="vi-VN"/>
        </w:rPr>
      </w:pPr>
      <w:r w:rsidRPr="00126E2E">
        <w:rPr>
          <w:rFonts w:ascii="Times New Roman" w:hAnsi="Times New Roman" w:cs="Times New Roman"/>
          <w:sz w:val="26"/>
          <w:szCs w:val="26"/>
          <w:lang w:val="vi-VN"/>
        </w:rPr>
        <w:t xml:space="preserve">Cuối cùng, do là doanh nghiệp đại chúng, các CTCP niêm yết thuộc TKV đều tuân thủ quy định về minh bạch tài chính, công bố thông tin, và quản trị công ty theo chuẩn mực thị trường chứng khoán. Đây là yếu tố quan trọng giúp các công ty này nâng cao hình ảnh thương hiệu, thu hút nhà đầu tư và từng bước tiếp cận các nguồn vốn mới </w:t>
      </w:r>
      <w:r w:rsidRPr="0014204A">
        <w:rPr>
          <w:rFonts w:asciiTheme="majorHAnsi" w:hAnsiTheme="majorHAnsi" w:cstheme="majorHAnsi"/>
          <w:sz w:val="26"/>
          <w:szCs w:val="26"/>
          <w:lang w:val="vi-VN"/>
        </w:rPr>
        <w:t>để phát triển lâu dài.</w:t>
      </w:r>
    </w:p>
    <w:p w14:paraId="1EFD81A9" w14:textId="0745D474" w:rsidR="00E3242B" w:rsidRDefault="00126E2E" w:rsidP="005B0517">
      <w:pPr>
        <w:pStyle w:val="Heading3"/>
        <w:rPr>
          <w:lang w:val="vi-VN"/>
        </w:rPr>
      </w:pPr>
      <w:bookmarkStart w:id="153" w:name="_Toc198281666"/>
      <w:bookmarkStart w:id="154" w:name="_Toc198284451"/>
      <w:bookmarkStart w:id="155" w:name="_Toc198709979"/>
      <w:r w:rsidRPr="00126E2E">
        <w:rPr>
          <w:lang w:val="vi-VN"/>
        </w:rPr>
        <w:lastRenderedPageBreak/>
        <w:t>2.1.3. Thông tin về một số công ty cổ phần niêm yết thuộc TKV</w:t>
      </w:r>
      <w:bookmarkEnd w:id="153"/>
      <w:bookmarkEnd w:id="154"/>
      <w:bookmarkEnd w:id="155"/>
    </w:p>
    <w:p w14:paraId="59948B13" w14:textId="2A619184" w:rsidR="0014204A" w:rsidRPr="0014204A" w:rsidRDefault="0014204A" w:rsidP="0014204A">
      <w:pPr>
        <w:spacing w:line="312" w:lineRule="auto"/>
        <w:ind w:firstLine="720"/>
        <w:jc w:val="both"/>
        <w:rPr>
          <w:rFonts w:asciiTheme="majorHAnsi" w:hAnsiTheme="majorHAnsi" w:cstheme="majorHAnsi"/>
          <w:sz w:val="26"/>
          <w:szCs w:val="26"/>
          <w:lang w:val="vi-VN"/>
        </w:rPr>
      </w:pPr>
      <w:r w:rsidRPr="00F22BA5">
        <w:rPr>
          <w:rFonts w:asciiTheme="majorHAnsi" w:hAnsiTheme="majorHAnsi" w:cstheme="majorHAnsi"/>
          <w:lang w:val="vi-VN"/>
        </w:rPr>
        <w:t>Trong phạm vi bài NCKH nhóm tác giả đã tập trung nghiên cứu một số CTCP niêm yết tiêu biểu của Tập đoàn TKV như Công ty cổ phần Than Vàng Danh (TVD); Công ty Cổ phần Than Mông Dương (MDC); Công ty Cổ phần Than Hà Lầm (HLC); Công ty Cổ phần Than Hà Tu (THT); Công ty Cổ phần Than Núi Béo (NBC). Dưới đây là một số thông tin cơ bản về các doanh nghiệp này.</w:t>
      </w:r>
    </w:p>
    <w:p w14:paraId="1CF42C93" w14:textId="77777777" w:rsidR="0014204A" w:rsidRPr="0014204A" w:rsidRDefault="0014204A" w:rsidP="0014204A">
      <w:pPr>
        <w:rPr>
          <w:lang w:val="vi-VN"/>
        </w:rPr>
      </w:pPr>
    </w:p>
    <w:p w14:paraId="7F105DBF" w14:textId="7D1EBB1F" w:rsidR="00126E2E" w:rsidRPr="00533E45" w:rsidRDefault="00126E2E" w:rsidP="00ED419E">
      <w:pPr>
        <w:pStyle w:val="p2"/>
      </w:pPr>
      <w:r w:rsidRPr="00533E45">
        <w:t>Bảng 2.1. Một số công ty cổ phần niêm yết thuộc TKV</w:t>
      </w:r>
    </w:p>
    <w:tbl>
      <w:tblPr>
        <w:tblStyle w:val="TableGrid"/>
        <w:tblW w:w="9048" w:type="dxa"/>
        <w:tblLook w:val="04A0" w:firstRow="1" w:lastRow="0" w:firstColumn="1" w:lastColumn="0" w:noHBand="0" w:noVBand="1"/>
      </w:tblPr>
      <w:tblGrid>
        <w:gridCol w:w="708"/>
        <w:gridCol w:w="2946"/>
        <w:gridCol w:w="901"/>
        <w:gridCol w:w="1432"/>
        <w:gridCol w:w="1487"/>
        <w:gridCol w:w="1574"/>
      </w:tblGrid>
      <w:tr w:rsidR="00126E2E" w:rsidRPr="00C076C0" w14:paraId="19A30CA0" w14:textId="77777777" w:rsidTr="00533E45">
        <w:trPr>
          <w:trHeight w:val="798"/>
        </w:trPr>
        <w:tc>
          <w:tcPr>
            <w:tcW w:w="562" w:type="dxa"/>
            <w:vAlign w:val="center"/>
          </w:tcPr>
          <w:p w14:paraId="31E95FD3"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STT</w:t>
            </w:r>
          </w:p>
        </w:tc>
        <w:tc>
          <w:tcPr>
            <w:tcW w:w="3032" w:type="dxa"/>
            <w:vAlign w:val="center"/>
          </w:tcPr>
          <w:p w14:paraId="610DE9CE"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Tên công ty</w:t>
            </w:r>
          </w:p>
        </w:tc>
        <w:tc>
          <w:tcPr>
            <w:tcW w:w="905" w:type="dxa"/>
            <w:vAlign w:val="center"/>
          </w:tcPr>
          <w:p w14:paraId="6DCF80F7"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Mã CP</w:t>
            </w:r>
          </w:p>
        </w:tc>
        <w:tc>
          <w:tcPr>
            <w:tcW w:w="1456" w:type="dxa"/>
            <w:vAlign w:val="center"/>
          </w:tcPr>
          <w:p w14:paraId="4C936A9B"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Năm thành lập</w:t>
            </w:r>
          </w:p>
        </w:tc>
        <w:tc>
          <w:tcPr>
            <w:tcW w:w="1491" w:type="dxa"/>
            <w:vAlign w:val="center"/>
          </w:tcPr>
          <w:p w14:paraId="4E6DA548"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Năm niêm yết</w:t>
            </w:r>
          </w:p>
        </w:tc>
        <w:tc>
          <w:tcPr>
            <w:tcW w:w="1602" w:type="dxa"/>
            <w:vAlign w:val="center"/>
          </w:tcPr>
          <w:p w14:paraId="5F6AA75A"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Vốn điều lệ (tỷ đồng)</w:t>
            </w:r>
          </w:p>
        </w:tc>
      </w:tr>
      <w:tr w:rsidR="00126E2E" w:rsidRPr="00C076C0" w14:paraId="5C588D56" w14:textId="77777777" w:rsidTr="00533E45">
        <w:trPr>
          <w:trHeight w:val="280"/>
        </w:trPr>
        <w:tc>
          <w:tcPr>
            <w:tcW w:w="562" w:type="dxa"/>
            <w:vAlign w:val="center"/>
          </w:tcPr>
          <w:p w14:paraId="1F28234E"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1</w:t>
            </w:r>
          </w:p>
        </w:tc>
        <w:tc>
          <w:tcPr>
            <w:tcW w:w="3032" w:type="dxa"/>
            <w:vAlign w:val="center"/>
          </w:tcPr>
          <w:p w14:paraId="61DF1E42" w14:textId="02E229E6" w:rsidR="00126E2E" w:rsidRPr="00C076C0" w:rsidRDefault="005D1700" w:rsidP="0031049D">
            <w:pPr>
              <w:spacing w:line="312" w:lineRule="auto"/>
              <w:rPr>
                <w:rFonts w:ascii="Times New Roman" w:hAnsi="Times New Roman" w:cs="Times New Roman"/>
                <w:b/>
                <w:bCs/>
                <w:sz w:val="26"/>
                <w:szCs w:val="26"/>
              </w:rPr>
            </w:pPr>
            <w:r>
              <w:rPr>
                <w:rFonts w:ascii="Times New Roman" w:hAnsi="Times New Roman" w:cs="Times New Roman"/>
                <w:sz w:val="26"/>
                <w:szCs w:val="26"/>
              </w:rPr>
              <w:t>CTCP</w:t>
            </w:r>
            <w:r w:rsidR="00126E2E" w:rsidRPr="00C076C0">
              <w:rPr>
                <w:rFonts w:ascii="Times New Roman" w:hAnsi="Times New Roman" w:cs="Times New Roman"/>
                <w:sz w:val="26"/>
                <w:szCs w:val="26"/>
              </w:rPr>
              <w:t xml:space="preserve"> Than Vàng Danh</w:t>
            </w:r>
          </w:p>
        </w:tc>
        <w:tc>
          <w:tcPr>
            <w:tcW w:w="905" w:type="dxa"/>
            <w:vAlign w:val="center"/>
          </w:tcPr>
          <w:p w14:paraId="4798A949"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TVD</w:t>
            </w:r>
          </w:p>
        </w:tc>
        <w:tc>
          <w:tcPr>
            <w:tcW w:w="1456" w:type="dxa"/>
            <w:vAlign w:val="center"/>
          </w:tcPr>
          <w:p w14:paraId="46A33128"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1964</w:t>
            </w:r>
          </w:p>
        </w:tc>
        <w:tc>
          <w:tcPr>
            <w:tcW w:w="1491" w:type="dxa"/>
            <w:vAlign w:val="center"/>
          </w:tcPr>
          <w:p w14:paraId="7DA1AAFD"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11/01/2011</w:t>
            </w:r>
          </w:p>
        </w:tc>
        <w:tc>
          <w:tcPr>
            <w:tcW w:w="1602" w:type="dxa"/>
            <w:vAlign w:val="center"/>
          </w:tcPr>
          <w:p w14:paraId="3E29957C"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449,63</w:t>
            </w:r>
          </w:p>
        </w:tc>
      </w:tr>
      <w:tr w:rsidR="00126E2E" w:rsidRPr="00C076C0" w14:paraId="160610A5" w14:textId="77777777" w:rsidTr="00533E45">
        <w:trPr>
          <w:trHeight w:val="301"/>
        </w:trPr>
        <w:tc>
          <w:tcPr>
            <w:tcW w:w="562" w:type="dxa"/>
            <w:vAlign w:val="center"/>
          </w:tcPr>
          <w:p w14:paraId="4C330D89"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2</w:t>
            </w:r>
          </w:p>
        </w:tc>
        <w:tc>
          <w:tcPr>
            <w:tcW w:w="3032" w:type="dxa"/>
            <w:vAlign w:val="center"/>
          </w:tcPr>
          <w:p w14:paraId="5D9B0CD2" w14:textId="597C7C91" w:rsidR="00126E2E" w:rsidRPr="00C076C0" w:rsidRDefault="0031049D" w:rsidP="0031049D">
            <w:pPr>
              <w:spacing w:line="312" w:lineRule="auto"/>
              <w:rPr>
                <w:rFonts w:ascii="Times New Roman" w:hAnsi="Times New Roman" w:cs="Times New Roman"/>
                <w:b/>
                <w:bCs/>
                <w:sz w:val="26"/>
                <w:szCs w:val="26"/>
              </w:rPr>
            </w:pPr>
            <w:r>
              <w:rPr>
                <w:rFonts w:ascii="Times New Roman" w:hAnsi="Times New Roman" w:cs="Times New Roman"/>
                <w:sz w:val="26"/>
                <w:szCs w:val="26"/>
              </w:rPr>
              <w:t>CTCP</w:t>
            </w:r>
            <w:r w:rsidRPr="00C076C0">
              <w:rPr>
                <w:rFonts w:ascii="Times New Roman" w:hAnsi="Times New Roman" w:cs="Times New Roman"/>
                <w:sz w:val="26"/>
                <w:szCs w:val="26"/>
              </w:rPr>
              <w:t xml:space="preserve"> </w:t>
            </w:r>
            <w:r w:rsidR="00126E2E" w:rsidRPr="00C076C0">
              <w:rPr>
                <w:rFonts w:ascii="Times New Roman" w:hAnsi="Times New Roman" w:cs="Times New Roman"/>
                <w:sz w:val="26"/>
                <w:szCs w:val="26"/>
              </w:rPr>
              <w:t>Than Mông Dương</w:t>
            </w:r>
          </w:p>
        </w:tc>
        <w:tc>
          <w:tcPr>
            <w:tcW w:w="905" w:type="dxa"/>
            <w:vAlign w:val="center"/>
          </w:tcPr>
          <w:p w14:paraId="2047BC24"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MDC</w:t>
            </w:r>
          </w:p>
        </w:tc>
        <w:tc>
          <w:tcPr>
            <w:tcW w:w="1456" w:type="dxa"/>
            <w:vAlign w:val="center"/>
          </w:tcPr>
          <w:p w14:paraId="7B098179"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1982</w:t>
            </w:r>
          </w:p>
        </w:tc>
        <w:tc>
          <w:tcPr>
            <w:tcW w:w="1491" w:type="dxa"/>
            <w:vAlign w:val="center"/>
          </w:tcPr>
          <w:p w14:paraId="36B8FB57"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23/07/2009</w:t>
            </w:r>
          </w:p>
        </w:tc>
        <w:tc>
          <w:tcPr>
            <w:tcW w:w="1602" w:type="dxa"/>
            <w:vAlign w:val="center"/>
          </w:tcPr>
          <w:p w14:paraId="718F0029"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340,55</w:t>
            </w:r>
          </w:p>
        </w:tc>
      </w:tr>
      <w:tr w:rsidR="00126E2E" w:rsidRPr="00C076C0" w14:paraId="7A5A3601" w14:textId="77777777" w:rsidTr="00533E45">
        <w:trPr>
          <w:trHeight w:val="393"/>
        </w:trPr>
        <w:tc>
          <w:tcPr>
            <w:tcW w:w="562" w:type="dxa"/>
            <w:vAlign w:val="center"/>
          </w:tcPr>
          <w:p w14:paraId="01B94537"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3</w:t>
            </w:r>
          </w:p>
        </w:tc>
        <w:tc>
          <w:tcPr>
            <w:tcW w:w="3032" w:type="dxa"/>
            <w:vAlign w:val="center"/>
          </w:tcPr>
          <w:p w14:paraId="3BA0F618" w14:textId="047AEE27" w:rsidR="00126E2E" w:rsidRPr="00C076C0" w:rsidRDefault="0031049D" w:rsidP="0031049D">
            <w:pPr>
              <w:spacing w:line="312" w:lineRule="auto"/>
              <w:rPr>
                <w:rFonts w:ascii="Times New Roman" w:hAnsi="Times New Roman" w:cs="Times New Roman"/>
                <w:b/>
                <w:bCs/>
                <w:sz w:val="26"/>
                <w:szCs w:val="26"/>
              </w:rPr>
            </w:pPr>
            <w:r>
              <w:rPr>
                <w:rFonts w:ascii="Times New Roman" w:hAnsi="Times New Roman" w:cs="Times New Roman"/>
                <w:sz w:val="26"/>
                <w:szCs w:val="26"/>
              </w:rPr>
              <w:t>CTCP</w:t>
            </w:r>
            <w:r w:rsidRPr="00C076C0">
              <w:rPr>
                <w:rFonts w:ascii="Times New Roman" w:hAnsi="Times New Roman" w:cs="Times New Roman"/>
                <w:sz w:val="26"/>
                <w:szCs w:val="26"/>
              </w:rPr>
              <w:t xml:space="preserve"> </w:t>
            </w:r>
            <w:r w:rsidR="00126E2E" w:rsidRPr="00C076C0">
              <w:rPr>
                <w:rFonts w:ascii="Times New Roman" w:hAnsi="Times New Roman" w:cs="Times New Roman"/>
                <w:sz w:val="26"/>
                <w:szCs w:val="26"/>
              </w:rPr>
              <w:t>Than Hà Lầm</w:t>
            </w:r>
          </w:p>
        </w:tc>
        <w:tc>
          <w:tcPr>
            <w:tcW w:w="905" w:type="dxa"/>
            <w:vAlign w:val="center"/>
          </w:tcPr>
          <w:p w14:paraId="290DC985"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HLC</w:t>
            </w:r>
          </w:p>
        </w:tc>
        <w:tc>
          <w:tcPr>
            <w:tcW w:w="1456" w:type="dxa"/>
            <w:vAlign w:val="center"/>
          </w:tcPr>
          <w:p w14:paraId="10F8B2C9"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1996</w:t>
            </w:r>
          </w:p>
        </w:tc>
        <w:tc>
          <w:tcPr>
            <w:tcW w:w="1491" w:type="dxa"/>
            <w:vAlign w:val="center"/>
          </w:tcPr>
          <w:p w14:paraId="2FEF76BA"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24/10/2008</w:t>
            </w:r>
          </w:p>
        </w:tc>
        <w:tc>
          <w:tcPr>
            <w:tcW w:w="1602" w:type="dxa"/>
            <w:vAlign w:val="center"/>
          </w:tcPr>
          <w:p w14:paraId="10AA8FC5"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245,69</w:t>
            </w:r>
          </w:p>
        </w:tc>
      </w:tr>
      <w:tr w:rsidR="00126E2E" w:rsidRPr="00C076C0" w14:paraId="4D99205B" w14:textId="77777777" w:rsidTr="00533E45">
        <w:trPr>
          <w:trHeight w:val="393"/>
        </w:trPr>
        <w:tc>
          <w:tcPr>
            <w:tcW w:w="562" w:type="dxa"/>
            <w:vAlign w:val="center"/>
          </w:tcPr>
          <w:p w14:paraId="71D6C277"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4</w:t>
            </w:r>
          </w:p>
        </w:tc>
        <w:tc>
          <w:tcPr>
            <w:tcW w:w="3032" w:type="dxa"/>
            <w:vAlign w:val="center"/>
          </w:tcPr>
          <w:p w14:paraId="56EF440B" w14:textId="3C5A8D70" w:rsidR="00126E2E" w:rsidRPr="00C076C0" w:rsidRDefault="0031049D" w:rsidP="0031049D">
            <w:pPr>
              <w:spacing w:line="312" w:lineRule="auto"/>
              <w:rPr>
                <w:rFonts w:ascii="Times New Roman" w:hAnsi="Times New Roman" w:cs="Times New Roman"/>
                <w:b/>
                <w:bCs/>
                <w:sz w:val="26"/>
                <w:szCs w:val="26"/>
              </w:rPr>
            </w:pPr>
            <w:r>
              <w:rPr>
                <w:rFonts w:ascii="Times New Roman" w:hAnsi="Times New Roman" w:cs="Times New Roman"/>
                <w:sz w:val="26"/>
                <w:szCs w:val="26"/>
              </w:rPr>
              <w:t>CTCP</w:t>
            </w:r>
            <w:r w:rsidRPr="00C076C0">
              <w:rPr>
                <w:rFonts w:ascii="Times New Roman" w:hAnsi="Times New Roman" w:cs="Times New Roman"/>
                <w:sz w:val="26"/>
                <w:szCs w:val="26"/>
              </w:rPr>
              <w:t xml:space="preserve"> </w:t>
            </w:r>
            <w:r w:rsidR="00126E2E" w:rsidRPr="00C076C0">
              <w:rPr>
                <w:rFonts w:ascii="Times New Roman" w:hAnsi="Times New Roman" w:cs="Times New Roman"/>
                <w:sz w:val="26"/>
                <w:szCs w:val="26"/>
              </w:rPr>
              <w:t>Than Hà Tu</w:t>
            </w:r>
          </w:p>
        </w:tc>
        <w:tc>
          <w:tcPr>
            <w:tcW w:w="905" w:type="dxa"/>
            <w:vAlign w:val="center"/>
          </w:tcPr>
          <w:p w14:paraId="34123ABB"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THT</w:t>
            </w:r>
          </w:p>
        </w:tc>
        <w:tc>
          <w:tcPr>
            <w:tcW w:w="1456" w:type="dxa"/>
            <w:vAlign w:val="center"/>
          </w:tcPr>
          <w:p w14:paraId="3A63DE84"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1996</w:t>
            </w:r>
          </w:p>
        </w:tc>
        <w:tc>
          <w:tcPr>
            <w:tcW w:w="1491" w:type="dxa"/>
            <w:vAlign w:val="center"/>
          </w:tcPr>
          <w:p w14:paraId="245C4BD7"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24/10/2008</w:t>
            </w:r>
          </w:p>
        </w:tc>
        <w:tc>
          <w:tcPr>
            <w:tcW w:w="1602" w:type="dxa"/>
            <w:vAlign w:val="center"/>
          </w:tcPr>
          <w:p w14:paraId="03D64170"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245,69</w:t>
            </w:r>
          </w:p>
        </w:tc>
      </w:tr>
      <w:tr w:rsidR="00126E2E" w:rsidRPr="00C076C0" w14:paraId="6B240C77" w14:textId="77777777" w:rsidTr="00533E45">
        <w:trPr>
          <w:trHeight w:val="393"/>
        </w:trPr>
        <w:tc>
          <w:tcPr>
            <w:tcW w:w="562" w:type="dxa"/>
            <w:vAlign w:val="center"/>
          </w:tcPr>
          <w:p w14:paraId="067B2585" w14:textId="77777777" w:rsidR="00126E2E" w:rsidRPr="00C076C0" w:rsidRDefault="00126E2E" w:rsidP="00B31327">
            <w:pPr>
              <w:spacing w:line="312" w:lineRule="auto"/>
              <w:jc w:val="center"/>
              <w:rPr>
                <w:rFonts w:ascii="Times New Roman" w:hAnsi="Times New Roman" w:cs="Times New Roman"/>
                <w:b/>
                <w:bCs/>
                <w:sz w:val="26"/>
                <w:szCs w:val="26"/>
              </w:rPr>
            </w:pPr>
            <w:r w:rsidRPr="00C076C0">
              <w:rPr>
                <w:rFonts w:ascii="Times New Roman" w:hAnsi="Times New Roman" w:cs="Times New Roman"/>
                <w:b/>
                <w:bCs/>
                <w:sz w:val="26"/>
                <w:szCs w:val="26"/>
              </w:rPr>
              <w:t>5</w:t>
            </w:r>
          </w:p>
        </w:tc>
        <w:tc>
          <w:tcPr>
            <w:tcW w:w="3032" w:type="dxa"/>
            <w:vAlign w:val="center"/>
          </w:tcPr>
          <w:p w14:paraId="3D5B065B" w14:textId="269F84D5" w:rsidR="00126E2E" w:rsidRPr="00C076C0" w:rsidRDefault="0031049D" w:rsidP="00533E45">
            <w:pPr>
              <w:spacing w:line="312" w:lineRule="auto"/>
              <w:rPr>
                <w:rFonts w:ascii="Times New Roman" w:hAnsi="Times New Roman" w:cs="Times New Roman"/>
                <w:b/>
                <w:bCs/>
                <w:sz w:val="26"/>
                <w:szCs w:val="26"/>
              </w:rPr>
            </w:pPr>
            <w:r>
              <w:rPr>
                <w:rFonts w:ascii="Times New Roman" w:hAnsi="Times New Roman" w:cs="Times New Roman"/>
                <w:sz w:val="26"/>
                <w:szCs w:val="26"/>
              </w:rPr>
              <w:t>CTCP</w:t>
            </w:r>
            <w:r w:rsidRPr="00C076C0">
              <w:rPr>
                <w:rFonts w:ascii="Times New Roman" w:hAnsi="Times New Roman" w:cs="Times New Roman"/>
                <w:sz w:val="26"/>
                <w:szCs w:val="26"/>
              </w:rPr>
              <w:t xml:space="preserve"> </w:t>
            </w:r>
            <w:r w:rsidR="00126E2E" w:rsidRPr="00C076C0">
              <w:rPr>
                <w:rFonts w:ascii="Times New Roman" w:hAnsi="Times New Roman" w:cs="Times New Roman"/>
                <w:sz w:val="26"/>
                <w:szCs w:val="26"/>
              </w:rPr>
              <w:t>Than Núi Béo</w:t>
            </w:r>
          </w:p>
        </w:tc>
        <w:tc>
          <w:tcPr>
            <w:tcW w:w="905" w:type="dxa"/>
            <w:vAlign w:val="center"/>
          </w:tcPr>
          <w:p w14:paraId="680F9CE2"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NBC</w:t>
            </w:r>
          </w:p>
        </w:tc>
        <w:tc>
          <w:tcPr>
            <w:tcW w:w="1456" w:type="dxa"/>
            <w:vAlign w:val="center"/>
          </w:tcPr>
          <w:p w14:paraId="3A028369"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1996</w:t>
            </w:r>
          </w:p>
        </w:tc>
        <w:tc>
          <w:tcPr>
            <w:tcW w:w="1491" w:type="dxa"/>
            <w:vAlign w:val="center"/>
          </w:tcPr>
          <w:p w14:paraId="0D782FE9"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24/10/2008</w:t>
            </w:r>
          </w:p>
        </w:tc>
        <w:tc>
          <w:tcPr>
            <w:tcW w:w="1602" w:type="dxa"/>
            <w:vAlign w:val="center"/>
          </w:tcPr>
          <w:p w14:paraId="56D2AC2D" w14:textId="77777777" w:rsidR="00126E2E" w:rsidRPr="00C076C0" w:rsidRDefault="00126E2E" w:rsidP="00533E45">
            <w:pPr>
              <w:spacing w:line="312" w:lineRule="auto"/>
              <w:jc w:val="center"/>
              <w:rPr>
                <w:rFonts w:ascii="Times New Roman" w:hAnsi="Times New Roman" w:cs="Times New Roman"/>
                <w:b/>
                <w:bCs/>
                <w:sz w:val="26"/>
                <w:szCs w:val="26"/>
              </w:rPr>
            </w:pPr>
            <w:r w:rsidRPr="00C076C0">
              <w:rPr>
                <w:rFonts w:ascii="Times New Roman" w:hAnsi="Times New Roman" w:cs="Times New Roman"/>
                <w:sz w:val="26"/>
                <w:szCs w:val="26"/>
              </w:rPr>
              <w:t>245,69</w:t>
            </w:r>
          </w:p>
        </w:tc>
      </w:tr>
    </w:tbl>
    <w:p w14:paraId="60FF346E" w14:textId="77777777" w:rsidR="00126E2E" w:rsidRPr="00C076C0" w:rsidRDefault="00126E2E" w:rsidP="00126E2E">
      <w:pPr>
        <w:spacing w:line="312" w:lineRule="auto"/>
        <w:jc w:val="right"/>
        <w:rPr>
          <w:rFonts w:ascii="Times New Roman" w:hAnsi="Times New Roman" w:cs="Times New Roman"/>
          <w:bCs/>
          <w:i/>
          <w:sz w:val="26"/>
          <w:szCs w:val="26"/>
        </w:rPr>
      </w:pPr>
      <w:r w:rsidRPr="00C076C0">
        <w:rPr>
          <w:rFonts w:ascii="Times New Roman" w:hAnsi="Times New Roman" w:cs="Times New Roman"/>
          <w:bCs/>
          <w:i/>
          <w:sz w:val="26"/>
          <w:szCs w:val="26"/>
        </w:rPr>
        <w:t xml:space="preserve"> (Nguồn: Webside của các công ty)</w:t>
      </w:r>
    </w:p>
    <w:p w14:paraId="398B3BE6" w14:textId="77777777" w:rsidR="00126E2E" w:rsidRPr="00C076C0" w:rsidRDefault="00126E2E" w:rsidP="00126E2E">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 xml:space="preserve">Các công ty cổ phần này đều là những đơn vị thành viên nòng cốt của Tập đoàn Công nghiệp Than – Khoáng sản Việt Nam (TKV) trong lĩnh vực khai thác và chế biến than. Chúng đều được hình thành từ các mỏ than truyền thống có lịch sử khai thác lâu đời tại tỉnh Quảng Ninh – cái nôi của ngành công nghiệp than Việt Nam. </w:t>
      </w:r>
    </w:p>
    <w:p w14:paraId="2D85BB86" w14:textId="77777777" w:rsidR="00126E2E" w:rsidRPr="00C076C0" w:rsidRDefault="00126E2E" w:rsidP="00126E2E">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Sau quá trình cổ phần hóa, các đơn vị này trở thành công ty cổ phần, chuyển sang hoạt động theo mô hình doanh nghiệp đại chúng, và chính thức niêm yết cổ phiếu trên sàn giao dịch chứng khoán Hà Nội (HNX). Dù đã cổ phần hóa, TKV vẫn là cổ đông lớn nắm giữ cổ phần chi phối tại hầu hết các công ty này. Cụ thể, tỷ lệ sở hữu của TKV đối với TVD là khoảng 65%, với MDC và HLC là khoảng 67%, với THT khoảng 51%, và với NBC là khoảng 66%.</w:t>
      </w:r>
    </w:p>
    <w:p w14:paraId="7E77DCC4" w14:textId="77777777" w:rsidR="00126E2E" w:rsidRPr="00C076C0" w:rsidRDefault="00126E2E" w:rsidP="00126E2E">
      <w:pPr>
        <w:spacing w:line="312" w:lineRule="auto"/>
        <w:ind w:firstLine="720"/>
        <w:jc w:val="both"/>
        <w:rPr>
          <w:rFonts w:ascii="Times New Roman" w:hAnsi="Times New Roman" w:cs="Times New Roman"/>
          <w:sz w:val="26"/>
          <w:szCs w:val="26"/>
        </w:rPr>
      </w:pPr>
      <w:r w:rsidRPr="00C076C0">
        <w:rPr>
          <w:rFonts w:ascii="Times New Roman" w:hAnsi="Times New Roman" w:cs="Times New Roman"/>
          <w:sz w:val="26"/>
          <w:szCs w:val="26"/>
        </w:rPr>
        <w:t>Ngoài ra, các công ty than này đều có chuyên môn sâu trong khai thác than hầm lò hoặc lộ thiên, tùy vào điều kiện địa chất từng khu vực. Ví dụ, TVD, HLC và MDC chủ yếu khai thác than hầm lò – yêu cầu công nghệ cao, chi phí lớn và lao động kỹ thuật cao, trong khi NBC và THT có khả năng khai thác cả hầm lò và lộ thiên. Nhờ sự chuyên môn hóa rõ ràng, các công ty có điều kiện tập trung đầu tư máy móc, công nghệ và nguồn nhân lực phù hợp, góp phần nâng cao hiệu quả sản xuất.</w:t>
      </w:r>
    </w:p>
    <w:p w14:paraId="575D4A48" w14:textId="385C2C5C" w:rsidR="00126E2E" w:rsidRPr="00C076C0" w:rsidRDefault="00126E2E" w:rsidP="005B0517">
      <w:pPr>
        <w:pStyle w:val="Heading2"/>
      </w:pPr>
      <w:bookmarkStart w:id="156" w:name="_Toc198281667"/>
      <w:bookmarkStart w:id="157" w:name="_Toc198284452"/>
      <w:bookmarkStart w:id="158" w:name="_Toc198709980"/>
      <w:r w:rsidRPr="00C076C0">
        <w:lastRenderedPageBreak/>
        <w:t xml:space="preserve">2.2. Tình hình hoạt động sản xuất kinh doanh của </w:t>
      </w:r>
      <w:r w:rsidR="002C2762">
        <w:t xml:space="preserve">một số </w:t>
      </w:r>
      <w:r w:rsidRPr="00C076C0">
        <w:t>CTCP niêm yết thuộc TKV</w:t>
      </w:r>
      <w:bookmarkEnd w:id="156"/>
      <w:bookmarkEnd w:id="157"/>
      <w:bookmarkEnd w:id="158"/>
    </w:p>
    <w:p w14:paraId="54D5EEAE" w14:textId="77777777" w:rsidR="00533E45" w:rsidRDefault="00533E45" w:rsidP="00F22BA5">
      <w:pPr>
        <w:jc w:val="center"/>
        <w:rPr>
          <w:rFonts w:ascii="Times New Roman" w:hAnsi="Times New Roman" w:cs="Times New Roman"/>
          <w:b/>
          <w:bCs/>
          <w:sz w:val="26"/>
          <w:szCs w:val="26"/>
          <w:lang w:val="vi-VN"/>
        </w:rPr>
      </w:pPr>
    </w:p>
    <w:p w14:paraId="383E25E0" w14:textId="1769E72A" w:rsidR="00F22BA5" w:rsidRDefault="0002299B" w:rsidP="00F22BA5">
      <w:pPr>
        <w:jc w:val="center"/>
        <w:rPr>
          <w:rFonts w:ascii="Times New Roman" w:hAnsi="Times New Roman" w:cs="Times New Roman"/>
          <w:b/>
          <w:bCs/>
          <w:sz w:val="26"/>
          <w:szCs w:val="26"/>
          <w:lang w:val="vi-VN"/>
        </w:rPr>
      </w:pPr>
      <w:r w:rsidRPr="00F22BA5">
        <w:rPr>
          <w:rFonts w:ascii="Times New Roman" w:hAnsi="Times New Roman" w:cs="Times New Roman"/>
          <w:b/>
          <w:bCs/>
          <w:sz w:val="26"/>
          <w:szCs w:val="26"/>
          <w:lang w:val="vi-VN"/>
        </w:rPr>
        <w:t xml:space="preserve">Bảng </w:t>
      </w:r>
      <w:r w:rsidR="0047156E" w:rsidRPr="00ED419E">
        <w:rPr>
          <w:rFonts w:ascii="Times New Roman" w:hAnsi="Times New Roman" w:cs="Times New Roman"/>
          <w:b/>
          <w:bCs/>
          <w:sz w:val="26"/>
          <w:szCs w:val="26"/>
          <w:lang w:val="vi-VN"/>
        </w:rPr>
        <w:t>2.</w:t>
      </w:r>
      <w:r w:rsidR="00621F59" w:rsidRPr="00ED419E">
        <w:rPr>
          <w:rFonts w:ascii="Times New Roman" w:hAnsi="Times New Roman" w:cs="Times New Roman"/>
          <w:b/>
          <w:bCs/>
          <w:sz w:val="26"/>
          <w:szCs w:val="26"/>
          <w:lang w:val="vi-VN"/>
        </w:rPr>
        <w:t>2</w:t>
      </w:r>
      <w:r w:rsidRPr="00F22BA5">
        <w:rPr>
          <w:rFonts w:ascii="Times New Roman" w:hAnsi="Times New Roman" w:cs="Times New Roman"/>
          <w:b/>
          <w:bCs/>
          <w:sz w:val="26"/>
          <w:szCs w:val="26"/>
          <w:lang w:val="vi-VN"/>
        </w:rPr>
        <w:t xml:space="preserve">. </w:t>
      </w:r>
      <w:r w:rsidR="0047156E" w:rsidRPr="00ED419E">
        <w:rPr>
          <w:rFonts w:ascii="Times New Roman" w:hAnsi="Times New Roman" w:cs="Times New Roman"/>
          <w:b/>
          <w:bCs/>
          <w:sz w:val="26"/>
          <w:szCs w:val="26"/>
          <w:lang w:val="vi-VN"/>
        </w:rPr>
        <w:t xml:space="preserve">Kết quả </w:t>
      </w:r>
      <w:r>
        <w:rPr>
          <w:rFonts w:ascii="Times New Roman" w:hAnsi="Times New Roman" w:cs="Times New Roman"/>
          <w:b/>
          <w:bCs/>
          <w:sz w:val="26"/>
          <w:szCs w:val="26"/>
          <w:lang w:val="vi-VN"/>
        </w:rPr>
        <w:t xml:space="preserve">hoạt động sản xuất kinh doanh của </w:t>
      </w:r>
      <w:r w:rsidR="0047156E" w:rsidRPr="00ED419E">
        <w:rPr>
          <w:rFonts w:ascii="Times New Roman" w:hAnsi="Times New Roman" w:cs="Times New Roman"/>
          <w:b/>
          <w:bCs/>
          <w:sz w:val="26"/>
          <w:szCs w:val="26"/>
          <w:lang w:val="vi-VN"/>
        </w:rPr>
        <w:t xml:space="preserve">một số </w:t>
      </w:r>
      <w:r>
        <w:rPr>
          <w:rFonts w:ascii="Times New Roman" w:hAnsi="Times New Roman" w:cs="Times New Roman"/>
          <w:b/>
          <w:bCs/>
          <w:sz w:val="26"/>
          <w:szCs w:val="26"/>
          <w:lang w:val="vi-VN"/>
        </w:rPr>
        <w:t>CTCP</w:t>
      </w:r>
    </w:p>
    <w:p w14:paraId="308897A8" w14:textId="0DE8D4F3" w:rsidR="0002299B" w:rsidRPr="0047156E" w:rsidRDefault="0002299B" w:rsidP="00F22BA5">
      <w:pPr>
        <w:jc w:val="center"/>
        <w:rPr>
          <w:rFonts w:ascii="Times New Roman" w:hAnsi="Times New Roman" w:cs="Times New Roman"/>
          <w:b/>
          <w:bCs/>
          <w:sz w:val="26"/>
          <w:szCs w:val="26"/>
        </w:rPr>
      </w:pPr>
      <w:r>
        <w:rPr>
          <w:rFonts w:ascii="Times New Roman" w:hAnsi="Times New Roman" w:cs="Times New Roman"/>
          <w:b/>
          <w:bCs/>
          <w:sz w:val="26"/>
          <w:szCs w:val="26"/>
          <w:lang w:val="vi-VN"/>
        </w:rPr>
        <w:t xml:space="preserve"> </w:t>
      </w:r>
      <w:r w:rsidR="0047156E">
        <w:rPr>
          <w:rFonts w:ascii="Times New Roman" w:hAnsi="Times New Roman" w:cs="Times New Roman"/>
          <w:b/>
          <w:bCs/>
          <w:sz w:val="26"/>
          <w:szCs w:val="26"/>
        </w:rPr>
        <w:t>thuộc TKV năm 2023</w:t>
      </w:r>
    </w:p>
    <w:p w14:paraId="4C61A049" w14:textId="2C8FB74A" w:rsidR="00897A44" w:rsidRDefault="00897A44" w:rsidP="00897A44">
      <w:pPr>
        <w:rPr>
          <w:rFonts w:ascii="Times New Roman" w:hAnsi="Times New Roman" w:cs="Times New Roman"/>
          <w:b/>
          <w:bCs/>
          <w:sz w:val="26"/>
          <w:szCs w:val="26"/>
          <w:lang w:val="vi-VN"/>
        </w:rPr>
      </w:pPr>
    </w:p>
    <w:tbl>
      <w:tblPr>
        <w:tblStyle w:val="TableGrid"/>
        <w:tblW w:w="0" w:type="auto"/>
        <w:tblLook w:val="04A0" w:firstRow="1" w:lastRow="0" w:firstColumn="1" w:lastColumn="0" w:noHBand="0" w:noVBand="1"/>
      </w:tblPr>
      <w:tblGrid>
        <w:gridCol w:w="708"/>
        <w:gridCol w:w="2024"/>
        <w:gridCol w:w="914"/>
        <w:gridCol w:w="1090"/>
        <w:gridCol w:w="1065"/>
        <w:gridCol w:w="1060"/>
        <w:gridCol w:w="1060"/>
        <w:gridCol w:w="1060"/>
      </w:tblGrid>
      <w:tr w:rsidR="00897A44" w:rsidRPr="0031049D" w14:paraId="7A34C6F2" w14:textId="77777777" w:rsidTr="009C5163">
        <w:tc>
          <w:tcPr>
            <w:tcW w:w="708" w:type="dxa"/>
          </w:tcPr>
          <w:p w14:paraId="0761EA46" w14:textId="27B447F5" w:rsidR="00897A44" w:rsidRPr="0031049D" w:rsidRDefault="00897A44" w:rsidP="00897A44">
            <w:pPr>
              <w:jc w:val="center"/>
              <w:rPr>
                <w:rFonts w:ascii="Times New Roman" w:hAnsi="Times New Roman" w:cs="Times New Roman"/>
                <w:b/>
                <w:bCs/>
                <w:sz w:val="26"/>
                <w:szCs w:val="26"/>
                <w:lang w:val="vi-VN"/>
              </w:rPr>
            </w:pPr>
            <w:r w:rsidRPr="0031049D">
              <w:rPr>
                <w:rFonts w:ascii="Times New Roman" w:hAnsi="Times New Roman" w:cs="Times New Roman"/>
                <w:b/>
                <w:sz w:val="26"/>
                <w:szCs w:val="26"/>
              </w:rPr>
              <w:t>STT</w:t>
            </w:r>
          </w:p>
        </w:tc>
        <w:tc>
          <w:tcPr>
            <w:tcW w:w="2066" w:type="dxa"/>
          </w:tcPr>
          <w:p w14:paraId="526531A1" w14:textId="4A394357" w:rsidR="00897A44" w:rsidRPr="0031049D" w:rsidRDefault="00897A44" w:rsidP="00897A44">
            <w:pPr>
              <w:jc w:val="center"/>
              <w:rPr>
                <w:rFonts w:ascii="Times New Roman" w:hAnsi="Times New Roman" w:cs="Times New Roman"/>
                <w:b/>
                <w:bCs/>
                <w:sz w:val="26"/>
                <w:szCs w:val="26"/>
                <w:lang w:val="vi-VN"/>
              </w:rPr>
            </w:pPr>
            <w:r w:rsidRPr="0031049D">
              <w:rPr>
                <w:rFonts w:ascii="Times New Roman" w:hAnsi="Times New Roman" w:cs="Times New Roman"/>
                <w:b/>
                <w:sz w:val="26"/>
                <w:szCs w:val="26"/>
              </w:rPr>
              <w:t>Chỉ tiêu</w:t>
            </w:r>
          </w:p>
        </w:tc>
        <w:tc>
          <w:tcPr>
            <w:tcW w:w="920" w:type="dxa"/>
          </w:tcPr>
          <w:p w14:paraId="0F2DE228" w14:textId="11D9496F" w:rsidR="00897A44" w:rsidRPr="0031049D" w:rsidRDefault="00897A44" w:rsidP="00897A44">
            <w:pPr>
              <w:jc w:val="center"/>
              <w:rPr>
                <w:rFonts w:ascii="Times New Roman" w:hAnsi="Times New Roman" w:cs="Times New Roman"/>
                <w:b/>
                <w:bCs/>
                <w:sz w:val="26"/>
                <w:szCs w:val="26"/>
                <w:lang w:val="vi-VN"/>
              </w:rPr>
            </w:pPr>
            <w:r w:rsidRPr="0031049D">
              <w:rPr>
                <w:rFonts w:ascii="Times New Roman" w:hAnsi="Times New Roman" w:cs="Times New Roman"/>
                <w:b/>
                <w:sz w:val="26"/>
                <w:szCs w:val="26"/>
              </w:rPr>
              <w:t>ĐVT</w:t>
            </w:r>
          </w:p>
        </w:tc>
        <w:tc>
          <w:tcPr>
            <w:tcW w:w="1091" w:type="dxa"/>
          </w:tcPr>
          <w:p w14:paraId="6E49C4E3" w14:textId="634AC4D6" w:rsidR="00897A44" w:rsidRPr="0031049D" w:rsidRDefault="00897A44" w:rsidP="00897A44">
            <w:pPr>
              <w:jc w:val="center"/>
              <w:rPr>
                <w:rFonts w:ascii="Times New Roman" w:hAnsi="Times New Roman" w:cs="Times New Roman"/>
                <w:b/>
                <w:bCs/>
                <w:sz w:val="26"/>
                <w:szCs w:val="26"/>
              </w:rPr>
            </w:pPr>
            <w:r w:rsidRPr="0031049D">
              <w:rPr>
                <w:rFonts w:ascii="Times New Roman" w:hAnsi="Times New Roman" w:cs="Times New Roman"/>
                <w:b/>
                <w:bCs/>
                <w:sz w:val="26"/>
                <w:szCs w:val="26"/>
              </w:rPr>
              <w:t>TVD</w:t>
            </w:r>
          </w:p>
        </w:tc>
        <w:tc>
          <w:tcPr>
            <w:tcW w:w="1065" w:type="dxa"/>
          </w:tcPr>
          <w:p w14:paraId="1F1326B0" w14:textId="191C91DE" w:rsidR="00897A44" w:rsidRPr="0031049D" w:rsidRDefault="00897A44" w:rsidP="00897A44">
            <w:pPr>
              <w:jc w:val="center"/>
              <w:rPr>
                <w:rFonts w:ascii="Times New Roman" w:hAnsi="Times New Roman" w:cs="Times New Roman"/>
                <w:b/>
                <w:bCs/>
                <w:sz w:val="26"/>
                <w:szCs w:val="26"/>
              </w:rPr>
            </w:pPr>
            <w:r w:rsidRPr="0031049D">
              <w:rPr>
                <w:rFonts w:ascii="Times New Roman" w:hAnsi="Times New Roman" w:cs="Times New Roman"/>
                <w:b/>
                <w:bCs/>
                <w:sz w:val="26"/>
                <w:szCs w:val="26"/>
              </w:rPr>
              <w:t>MD</w:t>
            </w:r>
            <w:r w:rsidR="0047156E" w:rsidRPr="0031049D">
              <w:rPr>
                <w:rFonts w:ascii="Times New Roman" w:hAnsi="Times New Roman" w:cs="Times New Roman"/>
                <w:b/>
                <w:bCs/>
                <w:sz w:val="26"/>
                <w:szCs w:val="26"/>
              </w:rPr>
              <w:t>C</w:t>
            </w:r>
          </w:p>
        </w:tc>
        <w:tc>
          <w:tcPr>
            <w:tcW w:w="1065" w:type="dxa"/>
          </w:tcPr>
          <w:p w14:paraId="3CBFE8E8" w14:textId="05B05CC0" w:rsidR="00897A44" w:rsidRPr="0031049D" w:rsidRDefault="00897A44" w:rsidP="00897A44">
            <w:pPr>
              <w:jc w:val="center"/>
              <w:rPr>
                <w:rFonts w:ascii="Times New Roman" w:hAnsi="Times New Roman" w:cs="Times New Roman"/>
                <w:b/>
                <w:bCs/>
                <w:sz w:val="26"/>
                <w:szCs w:val="26"/>
              </w:rPr>
            </w:pPr>
            <w:r w:rsidRPr="0031049D">
              <w:rPr>
                <w:rFonts w:ascii="Times New Roman" w:hAnsi="Times New Roman" w:cs="Times New Roman"/>
                <w:b/>
                <w:bCs/>
                <w:sz w:val="26"/>
                <w:szCs w:val="26"/>
              </w:rPr>
              <w:t>HLC</w:t>
            </w:r>
          </w:p>
        </w:tc>
        <w:tc>
          <w:tcPr>
            <w:tcW w:w="1065" w:type="dxa"/>
          </w:tcPr>
          <w:p w14:paraId="2956E440" w14:textId="59623461" w:rsidR="00897A44" w:rsidRPr="0031049D" w:rsidRDefault="00897A44" w:rsidP="00897A44">
            <w:pPr>
              <w:jc w:val="center"/>
              <w:rPr>
                <w:rFonts w:ascii="Times New Roman" w:hAnsi="Times New Roman" w:cs="Times New Roman"/>
                <w:b/>
                <w:bCs/>
                <w:sz w:val="26"/>
                <w:szCs w:val="26"/>
              </w:rPr>
            </w:pPr>
            <w:r w:rsidRPr="0031049D">
              <w:rPr>
                <w:rFonts w:ascii="Times New Roman" w:hAnsi="Times New Roman" w:cs="Times New Roman"/>
                <w:b/>
                <w:bCs/>
                <w:sz w:val="26"/>
                <w:szCs w:val="26"/>
              </w:rPr>
              <w:t>THT</w:t>
            </w:r>
          </w:p>
        </w:tc>
        <w:tc>
          <w:tcPr>
            <w:tcW w:w="1065" w:type="dxa"/>
          </w:tcPr>
          <w:p w14:paraId="057F282C" w14:textId="713A87FD" w:rsidR="00897A44" w:rsidRPr="0031049D" w:rsidRDefault="00897A44" w:rsidP="00897A44">
            <w:pPr>
              <w:jc w:val="center"/>
              <w:rPr>
                <w:rFonts w:ascii="Times New Roman" w:hAnsi="Times New Roman" w:cs="Times New Roman"/>
                <w:b/>
                <w:bCs/>
                <w:sz w:val="26"/>
                <w:szCs w:val="26"/>
              </w:rPr>
            </w:pPr>
            <w:r w:rsidRPr="0031049D">
              <w:rPr>
                <w:rFonts w:ascii="Times New Roman" w:hAnsi="Times New Roman" w:cs="Times New Roman"/>
                <w:b/>
                <w:bCs/>
                <w:sz w:val="26"/>
                <w:szCs w:val="26"/>
              </w:rPr>
              <w:t>NBC</w:t>
            </w:r>
          </w:p>
        </w:tc>
      </w:tr>
      <w:tr w:rsidR="00897A44" w14:paraId="2FC95841" w14:textId="77777777" w:rsidTr="009C5163">
        <w:tc>
          <w:tcPr>
            <w:tcW w:w="708" w:type="dxa"/>
            <w:vAlign w:val="center"/>
          </w:tcPr>
          <w:p w14:paraId="47DAED23" w14:textId="28FBBAD3" w:rsidR="00897A44" w:rsidRPr="002C2762" w:rsidRDefault="002C2762" w:rsidP="00533E45">
            <w:pPr>
              <w:jc w:val="center"/>
              <w:rPr>
                <w:rFonts w:ascii="Times New Roman" w:hAnsi="Times New Roman" w:cs="Times New Roman"/>
                <w:b/>
                <w:bCs/>
                <w:sz w:val="26"/>
                <w:szCs w:val="26"/>
              </w:rPr>
            </w:pPr>
            <w:r>
              <w:rPr>
                <w:rFonts w:ascii="Times New Roman" w:hAnsi="Times New Roman" w:cs="Times New Roman"/>
                <w:b/>
                <w:bCs/>
                <w:sz w:val="26"/>
                <w:szCs w:val="26"/>
              </w:rPr>
              <w:t>1</w:t>
            </w:r>
          </w:p>
        </w:tc>
        <w:tc>
          <w:tcPr>
            <w:tcW w:w="2066" w:type="dxa"/>
            <w:vAlign w:val="center"/>
          </w:tcPr>
          <w:p w14:paraId="34C828CA" w14:textId="042FD28F" w:rsidR="00897A44" w:rsidRDefault="00897A44" w:rsidP="00533E45">
            <w:pPr>
              <w:rPr>
                <w:rFonts w:ascii="Times New Roman" w:hAnsi="Times New Roman" w:cs="Times New Roman"/>
                <w:sz w:val="26"/>
                <w:szCs w:val="26"/>
              </w:rPr>
            </w:pPr>
            <w:r>
              <w:rPr>
                <w:rFonts w:ascii="Times New Roman" w:hAnsi="Times New Roman" w:cs="Times New Roman"/>
                <w:sz w:val="26"/>
                <w:szCs w:val="26"/>
              </w:rPr>
              <w:t>Sản lượng than sản xuất</w:t>
            </w:r>
          </w:p>
        </w:tc>
        <w:tc>
          <w:tcPr>
            <w:tcW w:w="920" w:type="dxa"/>
            <w:vAlign w:val="center"/>
          </w:tcPr>
          <w:p w14:paraId="7DD19563" w14:textId="080E32E5" w:rsidR="00897A44" w:rsidRDefault="00897A44" w:rsidP="00533E45">
            <w:pPr>
              <w:jc w:val="center"/>
              <w:rPr>
                <w:rFonts w:ascii="Times New Roman" w:hAnsi="Times New Roman" w:cs="Times New Roman"/>
                <w:sz w:val="26"/>
                <w:szCs w:val="26"/>
              </w:rPr>
            </w:pPr>
            <w:r>
              <w:rPr>
                <w:rFonts w:ascii="Times New Roman" w:hAnsi="Times New Roman" w:cs="Times New Roman"/>
                <w:sz w:val="26"/>
                <w:szCs w:val="26"/>
              </w:rPr>
              <w:t>Tr.</w:t>
            </w:r>
            <w:r w:rsidRPr="00071CBA">
              <w:rPr>
                <w:rFonts w:ascii="Times New Roman" w:hAnsi="Times New Roman" w:cs="Times New Roman"/>
                <w:sz w:val="26"/>
                <w:szCs w:val="26"/>
              </w:rPr>
              <w:t xml:space="preserve"> tấn</w:t>
            </w:r>
          </w:p>
        </w:tc>
        <w:tc>
          <w:tcPr>
            <w:tcW w:w="1091" w:type="dxa"/>
            <w:vAlign w:val="center"/>
          </w:tcPr>
          <w:p w14:paraId="6C5CE628" w14:textId="61D5F346"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4,015</w:t>
            </w:r>
          </w:p>
        </w:tc>
        <w:tc>
          <w:tcPr>
            <w:tcW w:w="1065" w:type="dxa"/>
            <w:vAlign w:val="center"/>
          </w:tcPr>
          <w:p w14:paraId="42F67BA6" w14:textId="3016A5F0"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1,565</w:t>
            </w:r>
          </w:p>
        </w:tc>
        <w:tc>
          <w:tcPr>
            <w:tcW w:w="1065" w:type="dxa"/>
            <w:vAlign w:val="center"/>
          </w:tcPr>
          <w:p w14:paraId="04F27789" w14:textId="69BFB8F5"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2,400</w:t>
            </w:r>
          </w:p>
        </w:tc>
        <w:tc>
          <w:tcPr>
            <w:tcW w:w="1065" w:type="dxa"/>
            <w:vAlign w:val="center"/>
          </w:tcPr>
          <w:p w14:paraId="64E06948" w14:textId="14FBDE0D"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2,55</w:t>
            </w:r>
          </w:p>
        </w:tc>
        <w:tc>
          <w:tcPr>
            <w:tcW w:w="1065" w:type="dxa"/>
            <w:vAlign w:val="center"/>
          </w:tcPr>
          <w:p w14:paraId="1033D6EF" w14:textId="4033DC99"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1,76</w:t>
            </w:r>
          </w:p>
        </w:tc>
      </w:tr>
      <w:tr w:rsidR="00897A44" w14:paraId="4A00C420" w14:textId="77777777" w:rsidTr="009C5163">
        <w:tc>
          <w:tcPr>
            <w:tcW w:w="708" w:type="dxa"/>
            <w:vAlign w:val="center"/>
          </w:tcPr>
          <w:p w14:paraId="42B15761" w14:textId="5532ABEC" w:rsidR="00897A44" w:rsidRPr="002C2762" w:rsidRDefault="002C2762" w:rsidP="00533E45">
            <w:pPr>
              <w:jc w:val="center"/>
              <w:rPr>
                <w:rFonts w:ascii="Times New Roman" w:hAnsi="Times New Roman" w:cs="Times New Roman"/>
                <w:b/>
                <w:bCs/>
                <w:sz w:val="26"/>
                <w:szCs w:val="26"/>
              </w:rPr>
            </w:pPr>
            <w:r>
              <w:rPr>
                <w:rFonts w:ascii="Times New Roman" w:hAnsi="Times New Roman" w:cs="Times New Roman"/>
                <w:b/>
                <w:bCs/>
                <w:sz w:val="26"/>
                <w:szCs w:val="26"/>
              </w:rPr>
              <w:t>2</w:t>
            </w:r>
          </w:p>
        </w:tc>
        <w:tc>
          <w:tcPr>
            <w:tcW w:w="2066" w:type="dxa"/>
            <w:vAlign w:val="center"/>
          </w:tcPr>
          <w:p w14:paraId="287205CC" w14:textId="41A0003A" w:rsidR="00897A44" w:rsidRDefault="00897A44" w:rsidP="00533E45">
            <w:pPr>
              <w:rPr>
                <w:rFonts w:ascii="Times New Roman" w:hAnsi="Times New Roman" w:cs="Times New Roman"/>
                <w:sz w:val="26"/>
                <w:szCs w:val="26"/>
              </w:rPr>
            </w:pPr>
            <w:r>
              <w:rPr>
                <w:rFonts w:ascii="Times New Roman" w:hAnsi="Times New Roman" w:cs="Times New Roman"/>
                <w:sz w:val="26"/>
                <w:szCs w:val="26"/>
              </w:rPr>
              <w:t>Sản lượng than tiêu thụ</w:t>
            </w:r>
          </w:p>
        </w:tc>
        <w:tc>
          <w:tcPr>
            <w:tcW w:w="920" w:type="dxa"/>
            <w:vAlign w:val="center"/>
          </w:tcPr>
          <w:p w14:paraId="3955299E" w14:textId="23C331BE" w:rsidR="00897A44" w:rsidRDefault="00897A44" w:rsidP="00533E45">
            <w:pPr>
              <w:jc w:val="center"/>
              <w:rPr>
                <w:rFonts w:ascii="Times New Roman" w:hAnsi="Times New Roman" w:cs="Times New Roman"/>
                <w:sz w:val="26"/>
                <w:szCs w:val="26"/>
              </w:rPr>
            </w:pPr>
            <w:r>
              <w:rPr>
                <w:rFonts w:ascii="Times New Roman" w:hAnsi="Times New Roman" w:cs="Times New Roman"/>
                <w:sz w:val="26"/>
                <w:szCs w:val="26"/>
              </w:rPr>
              <w:t>Tr.</w:t>
            </w:r>
            <w:r w:rsidRPr="00071CBA">
              <w:rPr>
                <w:rFonts w:ascii="Times New Roman" w:hAnsi="Times New Roman" w:cs="Times New Roman"/>
                <w:sz w:val="26"/>
                <w:szCs w:val="26"/>
              </w:rPr>
              <w:t xml:space="preserve"> tấn</w:t>
            </w:r>
          </w:p>
        </w:tc>
        <w:tc>
          <w:tcPr>
            <w:tcW w:w="1091" w:type="dxa"/>
            <w:vAlign w:val="center"/>
          </w:tcPr>
          <w:p w14:paraId="132A6951" w14:textId="67E2B618"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3,608</w:t>
            </w:r>
          </w:p>
        </w:tc>
        <w:tc>
          <w:tcPr>
            <w:tcW w:w="1065" w:type="dxa"/>
            <w:vAlign w:val="center"/>
          </w:tcPr>
          <w:p w14:paraId="5D1716E0" w14:textId="6FE8AF97"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1,579</w:t>
            </w:r>
          </w:p>
        </w:tc>
        <w:tc>
          <w:tcPr>
            <w:tcW w:w="1065" w:type="dxa"/>
            <w:vAlign w:val="center"/>
          </w:tcPr>
          <w:p w14:paraId="59D57008" w14:textId="77599FA8" w:rsidR="00897A44" w:rsidRDefault="00897A44" w:rsidP="00533E45">
            <w:pPr>
              <w:jc w:val="center"/>
              <w:rPr>
                <w:rFonts w:ascii="Times New Roman" w:hAnsi="Times New Roman" w:cs="Times New Roman"/>
                <w:b/>
                <w:bCs/>
                <w:sz w:val="26"/>
                <w:szCs w:val="26"/>
                <w:lang w:val="vi-VN"/>
              </w:rPr>
            </w:pPr>
            <w:r>
              <w:rPr>
                <w:rFonts w:ascii="Times New Roman" w:hAnsi="Times New Roman" w:cs="Times New Roman"/>
                <w:sz w:val="26"/>
                <w:szCs w:val="26"/>
              </w:rPr>
              <w:t>2,</w:t>
            </w:r>
            <w:r w:rsidRPr="00071CBA">
              <w:rPr>
                <w:rFonts w:ascii="Times New Roman" w:hAnsi="Times New Roman" w:cs="Times New Roman"/>
                <w:sz w:val="26"/>
                <w:szCs w:val="26"/>
              </w:rPr>
              <w:t>271</w:t>
            </w:r>
          </w:p>
        </w:tc>
        <w:tc>
          <w:tcPr>
            <w:tcW w:w="1065" w:type="dxa"/>
            <w:vAlign w:val="center"/>
          </w:tcPr>
          <w:p w14:paraId="6C37C8E2" w14:textId="3A6B2483"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2,7</w:t>
            </w:r>
            <w:r w:rsidR="00A63445">
              <w:rPr>
                <w:rFonts w:ascii="Times New Roman" w:hAnsi="Times New Roman" w:cs="Times New Roman"/>
                <w:sz w:val="26"/>
                <w:szCs w:val="26"/>
              </w:rPr>
              <w:t>0</w:t>
            </w:r>
          </w:p>
        </w:tc>
        <w:tc>
          <w:tcPr>
            <w:tcW w:w="1065" w:type="dxa"/>
            <w:vAlign w:val="center"/>
          </w:tcPr>
          <w:p w14:paraId="3322681C" w14:textId="6379F266"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2,7</w:t>
            </w:r>
            <w:r w:rsidR="00A63445">
              <w:rPr>
                <w:rFonts w:ascii="Times New Roman" w:hAnsi="Times New Roman" w:cs="Times New Roman"/>
                <w:sz w:val="26"/>
                <w:szCs w:val="26"/>
              </w:rPr>
              <w:t>0</w:t>
            </w:r>
          </w:p>
        </w:tc>
      </w:tr>
      <w:tr w:rsidR="00897A44" w14:paraId="2A1C150B" w14:textId="77777777" w:rsidTr="009C5163">
        <w:tc>
          <w:tcPr>
            <w:tcW w:w="708" w:type="dxa"/>
            <w:vAlign w:val="center"/>
          </w:tcPr>
          <w:p w14:paraId="55C11D23" w14:textId="2527CBFD" w:rsidR="00897A44" w:rsidRPr="002C2762" w:rsidRDefault="002C2762" w:rsidP="00533E45">
            <w:pPr>
              <w:jc w:val="center"/>
              <w:rPr>
                <w:rFonts w:ascii="Times New Roman" w:hAnsi="Times New Roman" w:cs="Times New Roman"/>
                <w:b/>
                <w:bCs/>
                <w:sz w:val="26"/>
                <w:szCs w:val="26"/>
              </w:rPr>
            </w:pPr>
            <w:r>
              <w:rPr>
                <w:rFonts w:ascii="Times New Roman" w:hAnsi="Times New Roman" w:cs="Times New Roman"/>
                <w:b/>
                <w:bCs/>
                <w:sz w:val="26"/>
                <w:szCs w:val="26"/>
              </w:rPr>
              <w:t>3</w:t>
            </w:r>
          </w:p>
        </w:tc>
        <w:tc>
          <w:tcPr>
            <w:tcW w:w="2066" w:type="dxa"/>
            <w:vAlign w:val="center"/>
          </w:tcPr>
          <w:p w14:paraId="6C879EDB" w14:textId="53CE62D8" w:rsidR="00897A44" w:rsidRDefault="00897A44" w:rsidP="00533E45">
            <w:pPr>
              <w:rPr>
                <w:rFonts w:ascii="Times New Roman" w:hAnsi="Times New Roman" w:cs="Times New Roman"/>
                <w:b/>
                <w:bCs/>
                <w:sz w:val="26"/>
                <w:szCs w:val="26"/>
                <w:lang w:val="vi-VN"/>
              </w:rPr>
            </w:pPr>
            <w:r>
              <w:rPr>
                <w:rFonts w:ascii="Times New Roman" w:hAnsi="Times New Roman" w:cs="Times New Roman"/>
                <w:sz w:val="26"/>
                <w:szCs w:val="26"/>
              </w:rPr>
              <w:t xml:space="preserve">Doanh thu </w:t>
            </w:r>
            <w:r w:rsidRPr="00071CBA">
              <w:rPr>
                <w:rFonts w:ascii="Times New Roman" w:hAnsi="Times New Roman" w:cs="Times New Roman"/>
                <w:sz w:val="26"/>
                <w:szCs w:val="26"/>
              </w:rPr>
              <w:t>thuần</w:t>
            </w:r>
          </w:p>
        </w:tc>
        <w:tc>
          <w:tcPr>
            <w:tcW w:w="920" w:type="dxa"/>
            <w:vAlign w:val="center"/>
          </w:tcPr>
          <w:p w14:paraId="29E61AEA" w14:textId="55B105D5" w:rsidR="00897A44" w:rsidRDefault="00897A44" w:rsidP="00533E45">
            <w:pPr>
              <w:jc w:val="center"/>
              <w:rPr>
                <w:rFonts w:ascii="Times New Roman" w:hAnsi="Times New Roman" w:cs="Times New Roman"/>
                <w:b/>
                <w:bCs/>
                <w:sz w:val="26"/>
                <w:szCs w:val="26"/>
                <w:lang w:val="vi-VN"/>
              </w:rPr>
            </w:pPr>
            <w:r w:rsidRPr="00942548">
              <w:rPr>
                <w:rFonts w:ascii="Times New Roman" w:hAnsi="Times New Roman" w:cs="Times New Roman"/>
                <w:sz w:val="26"/>
                <w:szCs w:val="26"/>
              </w:rPr>
              <w:t>Tỷ đ</w:t>
            </w:r>
          </w:p>
        </w:tc>
        <w:tc>
          <w:tcPr>
            <w:tcW w:w="1091" w:type="dxa"/>
            <w:vAlign w:val="center"/>
          </w:tcPr>
          <w:p w14:paraId="7BA35773" w14:textId="7F70A59C"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6.536</w:t>
            </w:r>
          </w:p>
        </w:tc>
        <w:tc>
          <w:tcPr>
            <w:tcW w:w="1065" w:type="dxa"/>
            <w:vAlign w:val="center"/>
          </w:tcPr>
          <w:p w14:paraId="445ECBD1" w14:textId="4CA53807"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2.697</w:t>
            </w:r>
          </w:p>
        </w:tc>
        <w:tc>
          <w:tcPr>
            <w:tcW w:w="1065" w:type="dxa"/>
            <w:vAlign w:val="center"/>
          </w:tcPr>
          <w:p w14:paraId="03BDE047" w14:textId="3335A966"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3.078</w:t>
            </w:r>
          </w:p>
        </w:tc>
        <w:tc>
          <w:tcPr>
            <w:tcW w:w="1065" w:type="dxa"/>
            <w:vAlign w:val="center"/>
          </w:tcPr>
          <w:p w14:paraId="2651C4FC" w14:textId="2A3957A2"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4.344</w:t>
            </w:r>
          </w:p>
        </w:tc>
        <w:tc>
          <w:tcPr>
            <w:tcW w:w="1065" w:type="dxa"/>
            <w:vAlign w:val="center"/>
          </w:tcPr>
          <w:p w14:paraId="29FEAC13" w14:textId="1DE97AFA"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3.251</w:t>
            </w:r>
          </w:p>
        </w:tc>
      </w:tr>
      <w:tr w:rsidR="00897A44" w14:paraId="501F1054" w14:textId="77777777" w:rsidTr="009C5163">
        <w:tc>
          <w:tcPr>
            <w:tcW w:w="708" w:type="dxa"/>
            <w:vAlign w:val="center"/>
          </w:tcPr>
          <w:p w14:paraId="12600D0F" w14:textId="3DB8FD58" w:rsidR="00897A44" w:rsidRPr="002C2762" w:rsidRDefault="002C2762" w:rsidP="00533E45">
            <w:pPr>
              <w:jc w:val="center"/>
              <w:rPr>
                <w:rFonts w:ascii="Times New Roman" w:hAnsi="Times New Roman" w:cs="Times New Roman"/>
                <w:b/>
                <w:bCs/>
                <w:sz w:val="26"/>
                <w:szCs w:val="26"/>
              </w:rPr>
            </w:pPr>
            <w:r>
              <w:rPr>
                <w:rFonts w:ascii="Times New Roman" w:hAnsi="Times New Roman" w:cs="Times New Roman"/>
                <w:b/>
                <w:bCs/>
                <w:sz w:val="26"/>
                <w:szCs w:val="26"/>
              </w:rPr>
              <w:t>4</w:t>
            </w:r>
          </w:p>
        </w:tc>
        <w:tc>
          <w:tcPr>
            <w:tcW w:w="2066" w:type="dxa"/>
            <w:vAlign w:val="center"/>
          </w:tcPr>
          <w:p w14:paraId="09E1A58F" w14:textId="7975F069" w:rsidR="00897A44" w:rsidRDefault="00897A44" w:rsidP="00533E45">
            <w:pPr>
              <w:rPr>
                <w:rFonts w:ascii="Times New Roman" w:hAnsi="Times New Roman" w:cs="Times New Roman"/>
                <w:b/>
                <w:bCs/>
                <w:sz w:val="26"/>
                <w:szCs w:val="26"/>
                <w:lang w:val="vi-VN"/>
              </w:rPr>
            </w:pPr>
            <w:r w:rsidRPr="00071CBA">
              <w:rPr>
                <w:rFonts w:ascii="Times New Roman" w:hAnsi="Times New Roman" w:cs="Times New Roman"/>
                <w:sz w:val="26"/>
                <w:szCs w:val="26"/>
              </w:rPr>
              <w:t>Tổng tài sản</w:t>
            </w:r>
          </w:p>
        </w:tc>
        <w:tc>
          <w:tcPr>
            <w:tcW w:w="920" w:type="dxa"/>
            <w:vAlign w:val="center"/>
          </w:tcPr>
          <w:p w14:paraId="30991FC3" w14:textId="03398DFB" w:rsidR="00897A44" w:rsidRDefault="00897A44" w:rsidP="00533E45">
            <w:pPr>
              <w:jc w:val="center"/>
              <w:rPr>
                <w:rFonts w:ascii="Times New Roman" w:hAnsi="Times New Roman" w:cs="Times New Roman"/>
                <w:b/>
                <w:bCs/>
                <w:sz w:val="26"/>
                <w:szCs w:val="26"/>
                <w:lang w:val="vi-VN"/>
              </w:rPr>
            </w:pPr>
            <w:r w:rsidRPr="00942548">
              <w:rPr>
                <w:rFonts w:ascii="Times New Roman" w:hAnsi="Times New Roman" w:cs="Times New Roman"/>
                <w:sz w:val="26"/>
                <w:szCs w:val="26"/>
              </w:rPr>
              <w:t>Tỷ đ</w:t>
            </w:r>
          </w:p>
        </w:tc>
        <w:tc>
          <w:tcPr>
            <w:tcW w:w="1091" w:type="dxa"/>
            <w:vAlign w:val="center"/>
          </w:tcPr>
          <w:p w14:paraId="7D645A3F" w14:textId="1F8E4B48"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2.126</w:t>
            </w:r>
          </w:p>
        </w:tc>
        <w:tc>
          <w:tcPr>
            <w:tcW w:w="1065" w:type="dxa"/>
            <w:vAlign w:val="center"/>
          </w:tcPr>
          <w:p w14:paraId="0DE71DFF" w14:textId="79634E43"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1.099</w:t>
            </w:r>
          </w:p>
        </w:tc>
        <w:tc>
          <w:tcPr>
            <w:tcW w:w="1065" w:type="dxa"/>
            <w:vAlign w:val="center"/>
          </w:tcPr>
          <w:p w14:paraId="767683E5" w14:textId="2CB07E01"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2.247</w:t>
            </w:r>
          </w:p>
        </w:tc>
        <w:tc>
          <w:tcPr>
            <w:tcW w:w="1065" w:type="dxa"/>
            <w:vAlign w:val="center"/>
          </w:tcPr>
          <w:p w14:paraId="3BAED43D" w14:textId="74E3A882"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3.104</w:t>
            </w:r>
          </w:p>
        </w:tc>
        <w:tc>
          <w:tcPr>
            <w:tcW w:w="1065" w:type="dxa"/>
            <w:vAlign w:val="center"/>
          </w:tcPr>
          <w:p w14:paraId="3D10FF4D" w14:textId="211F85BD"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2.627</w:t>
            </w:r>
          </w:p>
        </w:tc>
      </w:tr>
      <w:tr w:rsidR="00897A44" w14:paraId="32EC1F77" w14:textId="77777777" w:rsidTr="009C5163">
        <w:tc>
          <w:tcPr>
            <w:tcW w:w="708" w:type="dxa"/>
            <w:vAlign w:val="center"/>
          </w:tcPr>
          <w:p w14:paraId="52C23ACF" w14:textId="3264CDDA" w:rsidR="00897A44" w:rsidRPr="002C2762" w:rsidRDefault="002C2762" w:rsidP="00533E45">
            <w:pPr>
              <w:jc w:val="center"/>
              <w:rPr>
                <w:rFonts w:ascii="Times New Roman" w:hAnsi="Times New Roman" w:cs="Times New Roman"/>
                <w:b/>
                <w:bCs/>
                <w:sz w:val="26"/>
                <w:szCs w:val="26"/>
              </w:rPr>
            </w:pPr>
            <w:r>
              <w:rPr>
                <w:rFonts w:ascii="Times New Roman" w:hAnsi="Times New Roman" w:cs="Times New Roman"/>
                <w:b/>
                <w:bCs/>
                <w:sz w:val="26"/>
                <w:szCs w:val="26"/>
              </w:rPr>
              <w:t>5</w:t>
            </w:r>
          </w:p>
        </w:tc>
        <w:tc>
          <w:tcPr>
            <w:tcW w:w="2066" w:type="dxa"/>
            <w:vAlign w:val="center"/>
          </w:tcPr>
          <w:p w14:paraId="0056FE4E" w14:textId="3C94D7F8" w:rsidR="00897A44" w:rsidRDefault="00897A44" w:rsidP="00533E45">
            <w:pPr>
              <w:rPr>
                <w:rFonts w:ascii="Times New Roman" w:hAnsi="Times New Roman" w:cs="Times New Roman"/>
                <w:b/>
                <w:bCs/>
                <w:sz w:val="26"/>
                <w:szCs w:val="26"/>
                <w:lang w:val="vi-VN"/>
              </w:rPr>
            </w:pPr>
            <w:r w:rsidRPr="00071CBA">
              <w:rPr>
                <w:rFonts w:ascii="Times New Roman" w:hAnsi="Times New Roman" w:cs="Times New Roman"/>
                <w:sz w:val="26"/>
                <w:szCs w:val="26"/>
              </w:rPr>
              <w:t>Vốn chủ sở hữu</w:t>
            </w:r>
          </w:p>
        </w:tc>
        <w:tc>
          <w:tcPr>
            <w:tcW w:w="920" w:type="dxa"/>
            <w:vAlign w:val="center"/>
          </w:tcPr>
          <w:p w14:paraId="2466A76A" w14:textId="332BECAF"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Tỷ đ</w:t>
            </w:r>
          </w:p>
        </w:tc>
        <w:tc>
          <w:tcPr>
            <w:tcW w:w="1091" w:type="dxa"/>
            <w:vAlign w:val="center"/>
          </w:tcPr>
          <w:p w14:paraId="11316661" w14:textId="30EADB81"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707,486</w:t>
            </w:r>
          </w:p>
        </w:tc>
        <w:tc>
          <w:tcPr>
            <w:tcW w:w="1065" w:type="dxa"/>
            <w:vAlign w:val="center"/>
          </w:tcPr>
          <w:p w14:paraId="2F314313" w14:textId="71BE6BDB"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337,968</w:t>
            </w:r>
          </w:p>
        </w:tc>
        <w:tc>
          <w:tcPr>
            <w:tcW w:w="1065" w:type="dxa"/>
            <w:vAlign w:val="center"/>
          </w:tcPr>
          <w:p w14:paraId="0FE6ED59" w14:textId="09DEBEF0"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421,71</w:t>
            </w:r>
          </w:p>
        </w:tc>
        <w:tc>
          <w:tcPr>
            <w:tcW w:w="1065" w:type="dxa"/>
            <w:vAlign w:val="center"/>
          </w:tcPr>
          <w:p w14:paraId="292C20B6" w14:textId="5CC46814"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403,26</w:t>
            </w:r>
          </w:p>
        </w:tc>
        <w:tc>
          <w:tcPr>
            <w:tcW w:w="1065" w:type="dxa"/>
            <w:vAlign w:val="center"/>
          </w:tcPr>
          <w:p w14:paraId="1CEFB47F" w14:textId="515A70FC"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403,26</w:t>
            </w:r>
          </w:p>
        </w:tc>
      </w:tr>
      <w:tr w:rsidR="00897A44" w14:paraId="0DC2E934" w14:textId="77777777" w:rsidTr="009C5163">
        <w:tc>
          <w:tcPr>
            <w:tcW w:w="708" w:type="dxa"/>
            <w:vAlign w:val="center"/>
          </w:tcPr>
          <w:p w14:paraId="277FDBF8" w14:textId="495FEAF7" w:rsidR="00897A44" w:rsidRPr="002C2762" w:rsidRDefault="002C2762" w:rsidP="00533E45">
            <w:pPr>
              <w:jc w:val="center"/>
              <w:rPr>
                <w:rFonts w:ascii="Times New Roman" w:hAnsi="Times New Roman" w:cs="Times New Roman"/>
                <w:b/>
                <w:bCs/>
                <w:sz w:val="26"/>
                <w:szCs w:val="26"/>
              </w:rPr>
            </w:pPr>
            <w:r>
              <w:rPr>
                <w:rFonts w:ascii="Times New Roman" w:hAnsi="Times New Roman" w:cs="Times New Roman"/>
                <w:b/>
                <w:bCs/>
                <w:sz w:val="26"/>
                <w:szCs w:val="26"/>
              </w:rPr>
              <w:t>6</w:t>
            </w:r>
          </w:p>
        </w:tc>
        <w:tc>
          <w:tcPr>
            <w:tcW w:w="2066" w:type="dxa"/>
            <w:vAlign w:val="center"/>
          </w:tcPr>
          <w:p w14:paraId="6F26745C" w14:textId="71A9035A" w:rsidR="00897A44" w:rsidRDefault="00897A44" w:rsidP="00533E45">
            <w:pPr>
              <w:rPr>
                <w:rFonts w:ascii="Times New Roman" w:hAnsi="Times New Roman" w:cs="Times New Roman"/>
                <w:b/>
                <w:bCs/>
                <w:sz w:val="26"/>
                <w:szCs w:val="26"/>
                <w:lang w:val="vi-VN"/>
              </w:rPr>
            </w:pPr>
            <w:r w:rsidRPr="00071CBA">
              <w:rPr>
                <w:rFonts w:ascii="Times New Roman" w:hAnsi="Times New Roman" w:cs="Times New Roman"/>
                <w:sz w:val="26"/>
                <w:szCs w:val="26"/>
              </w:rPr>
              <w:t>Lợi nhuận trước thuế</w:t>
            </w:r>
          </w:p>
        </w:tc>
        <w:tc>
          <w:tcPr>
            <w:tcW w:w="920" w:type="dxa"/>
            <w:vAlign w:val="center"/>
          </w:tcPr>
          <w:p w14:paraId="314AE143" w14:textId="2DAF103C"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Tỷ đ</w:t>
            </w:r>
          </w:p>
        </w:tc>
        <w:tc>
          <w:tcPr>
            <w:tcW w:w="1091" w:type="dxa"/>
            <w:vAlign w:val="center"/>
          </w:tcPr>
          <w:p w14:paraId="20B09A4A" w14:textId="3CF3AF3E"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175,610</w:t>
            </w:r>
          </w:p>
        </w:tc>
        <w:tc>
          <w:tcPr>
            <w:tcW w:w="1065" w:type="dxa"/>
            <w:vAlign w:val="center"/>
          </w:tcPr>
          <w:p w14:paraId="321BBF48" w14:textId="313C92CA"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67,416</w:t>
            </w:r>
          </w:p>
        </w:tc>
        <w:tc>
          <w:tcPr>
            <w:tcW w:w="1065" w:type="dxa"/>
            <w:vAlign w:val="center"/>
          </w:tcPr>
          <w:p w14:paraId="6D86020C" w14:textId="414FB71B"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124,04</w:t>
            </w:r>
          </w:p>
        </w:tc>
        <w:tc>
          <w:tcPr>
            <w:tcW w:w="1065" w:type="dxa"/>
            <w:vAlign w:val="center"/>
          </w:tcPr>
          <w:p w14:paraId="49097ED8" w14:textId="75D9B3FC"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90,17</w:t>
            </w:r>
          </w:p>
        </w:tc>
        <w:tc>
          <w:tcPr>
            <w:tcW w:w="1065" w:type="dxa"/>
            <w:vAlign w:val="center"/>
          </w:tcPr>
          <w:p w14:paraId="0C54014F" w14:textId="15AD5EC6"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125,88</w:t>
            </w:r>
          </w:p>
        </w:tc>
      </w:tr>
      <w:tr w:rsidR="00897A44" w14:paraId="0945B295" w14:textId="77777777" w:rsidTr="009C5163">
        <w:tc>
          <w:tcPr>
            <w:tcW w:w="708" w:type="dxa"/>
            <w:vAlign w:val="center"/>
          </w:tcPr>
          <w:p w14:paraId="4522349F" w14:textId="764E18BB" w:rsidR="00897A44" w:rsidRPr="002C2762" w:rsidRDefault="002C2762" w:rsidP="00533E45">
            <w:pPr>
              <w:jc w:val="center"/>
              <w:rPr>
                <w:rFonts w:ascii="Times New Roman" w:hAnsi="Times New Roman" w:cs="Times New Roman"/>
                <w:b/>
                <w:bCs/>
                <w:sz w:val="26"/>
                <w:szCs w:val="26"/>
              </w:rPr>
            </w:pPr>
            <w:r>
              <w:rPr>
                <w:rFonts w:ascii="Times New Roman" w:hAnsi="Times New Roman" w:cs="Times New Roman"/>
                <w:b/>
                <w:bCs/>
                <w:sz w:val="26"/>
                <w:szCs w:val="26"/>
              </w:rPr>
              <w:t>7</w:t>
            </w:r>
          </w:p>
        </w:tc>
        <w:tc>
          <w:tcPr>
            <w:tcW w:w="2066" w:type="dxa"/>
            <w:vAlign w:val="center"/>
          </w:tcPr>
          <w:p w14:paraId="4C49920D" w14:textId="7BF29697" w:rsidR="00897A44" w:rsidRDefault="00897A44" w:rsidP="00533E45">
            <w:pPr>
              <w:rPr>
                <w:rFonts w:ascii="Times New Roman" w:hAnsi="Times New Roman" w:cs="Times New Roman"/>
                <w:b/>
                <w:bCs/>
                <w:sz w:val="26"/>
                <w:szCs w:val="26"/>
                <w:lang w:val="vi-VN"/>
              </w:rPr>
            </w:pPr>
            <w:r w:rsidRPr="00071CBA">
              <w:rPr>
                <w:rFonts w:ascii="Times New Roman" w:hAnsi="Times New Roman" w:cs="Times New Roman"/>
                <w:sz w:val="26"/>
                <w:szCs w:val="26"/>
              </w:rPr>
              <w:t>Lợi nhuận sau thuế</w:t>
            </w:r>
          </w:p>
        </w:tc>
        <w:tc>
          <w:tcPr>
            <w:tcW w:w="920" w:type="dxa"/>
            <w:vAlign w:val="center"/>
          </w:tcPr>
          <w:p w14:paraId="3D74D1D7" w14:textId="03D9724B"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Tỷ đ</w:t>
            </w:r>
          </w:p>
        </w:tc>
        <w:tc>
          <w:tcPr>
            <w:tcW w:w="1091" w:type="dxa"/>
            <w:vAlign w:val="center"/>
          </w:tcPr>
          <w:p w14:paraId="45A30C22" w14:textId="6B96AD05"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138,186</w:t>
            </w:r>
          </w:p>
        </w:tc>
        <w:tc>
          <w:tcPr>
            <w:tcW w:w="1065" w:type="dxa"/>
            <w:vAlign w:val="center"/>
          </w:tcPr>
          <w:p w14:paraId="1B1544D4" w14:textId="7BD82E50"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53,682</w:t>
            </w:r>
          </w:p>
        </w:tc>
        <w:tc>
          <w:tcPr>
            <w:tcW w:w="1065" w:type="dxa"/>
            <w:vAlign w:val="center"/>
          </w:tcPr>
          <w:p w14:paraId="19FE2FA4" w14:textId="2A30704F"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99,16</w:t>
            </w:r>
          </w:p>
        </w:tc>
        <w:tc>
          <w:tcPr>
            <w:tcW w:w="1065" w:type="dxa"/>
            <w:vAlign w:val="center"/>
          </w:tcPr>
          <w:p w14:paraId="47766A03" w14:textId="3BDAB9E4"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22,42</w:t>
            </w:r>
          </w:p>
        </w:tc>
        <w:tc>
          <w:tcPr>
            <w:tcW w:w="1065" w:type="dxa"/>
            <w:vAlign w:val="center"/>
          </w:tcPr>
          <w:p w14:paraId="24CDE137" w14:textId="371982A2" w:rsidR="00897A44" w:rsidRDefault="00897A44" w:rsidP="00533E45">
            <w:pPr>
              <w:jc w:val="center"/>
              <w:rPr>
                <w:rFonts w:ascii="Times New Roman" w:hAnsi="Times New Roman" w:cs="Times New Roman"/>
                <w:b/>
                <w:bCs/>
                <w:sz w:val="26"/>
                <w:szCs w:val="26"/>
                <w:lang w:val="vi-VN"/>
              </w:rPr>
            </w:pPr>
            <w:r w:rsidRPr="00071CBA">
              <w:rPr>
                <w:rFonts w:ascii="Times New Roman" w:hAnsi="Times New Roman" w:cs="Times New Roman"/>
                <w:sz w:val="26"/>
                <w:szCs w:val="26"/>
              </w:rPr>
              <w:t>104,10</w:t>
            </w:r>
          </w:p>
        </w:tc>
      </w:tr>
    </w:tbl>
    <w:p w14:paraId="1E25C2B6" w14:textId="7151261C" w:rsidR="00A63445" w:rsidRPr="00A63445" w:rsidRDefault="00A63445" w:rsidP="00A63445">
      <w:pPr>
        <w:jc w:val="right"/>
        <w:rPr>
          <w:rFonts w:ascii="Times New Roman" w:hAnsi="Times New Roman" w:cs="Times New Roman"/>
          <w:i/>
          <w:sz w:val="26"/>
          <w:szCs w:val="26"/>
          <w:lang w:val="vi-VN"/>
        </w:rPr>
      </w:pPr>
      <w:r w:rsidRPr="00A63445">
        <w:rPr>
          <w:rFonts w:ascii="Times New Roman" w:hAnsi="Times New Roman" w:cs="Times New Roman"/>
          <w:i/>
          <w:sz w:val="26"/>
          <w:szCs w:val="26"/>
          <w:lang w:val="vi-VN"/>
        </w:rPr>
        <w:t>(Nguồn: Báo cáo thường niên của</w:t>
      </w:r>
      <w:r w:rsidRPr="00A63445">
        <w:rPr>
          <w:rFonts w:ascii="Times New Roman" w:hAnsi="Times New Roman" w:cs="Times New Roman"/>
          <w:i/>
          <w:sz w:val="26"/>
          <w:szCs w:val="26"/>
        </w:rPr>
        <w:t xml:space="preserve"> các</w:t>
      </w:r>
      <w:r w:rsidRPr="00A63445">
        <w:rPr>
          <w:rFonts w:ascii="Times New Roman" w:hAnsi="Times New Roman" w:cs="Times New Roman"/>
          <w:i/>
          <w:sz w:val="26"/>
          <w:szCs w:val="26"/>
          <w:lang w:val="vi-VN"/>
        </w:rPr>
        <w:t xml:space="preserve"> C</w:t>
      </w:r>
      <w:r w:rsidRPr="00A63445">
        <w:rPr>
          <w:rFonts w:ascii="Times New Roman" w:hAnsi="Times New Roman" w:cs="Times New Roman"/>
          <w:i/>
          <w:sz w:val="26"/>
          <w:szCs w:val="26"/>
        </w:rPr>
        <w:t>ông ty năm</w:t>
      </w:r>
      <w:r w:rsidRPr="00A63445">
        <w:rPr>
          <w:rFonts w:ascii="Times New Roman" w:hAnsi="Times New Roman" w:cs="Times New Roman"/>
          <w:i/>
          <w:sz w:val="26"/>
          <w:szCs w:val="26"/>
          <w:lang w:val="vi-VN"/>
        </w:rPr>
        <w:t xml:space="preserve"> 2023)</w:t>
      </w:r>
    </w:p>
    <w:p w14:paraId="37A99E5F" w14:textId="63206292" w:rsidR="00126E2E" w:rsidRPr="00071CBA" w:rsidRDefault="00126E2E" w:rsidP="00452F88">
      <w:pPr>
        <w:spacing w:line="312" w:lineRule="auto"/>
        <w:jc w:val="both"/>
        <w:rPr>
          <w:rFonts w:ascii="Times New Roman" w:hAnsi="Times New Roman" w:cs="Times New Roman"/>
          <w:sz w:val="26"/>
          <w:szCs w:val="26"/>
          <w:lang w:val="vi-VN"/>
        </w:rPr>
      </w:pPr>
    </w:p>
    <w:p w14:paraId="012D83EC" w14:textId="747053C8" w:rsidR="00126E2E" w:rsidRPr="00071CBA" w:rsidRDefault="00126E2E" w:rsidP="00452F88">
      <w:pPr>
        <w:spacing w:line="312" w:lineRule="auto"/>
        <w:jc w:val="both"/>
        <w:rPr>
          <w:rFonts w:ascii="Times New Roman" w:hAnsi="Times New Roman" w:cs="Times New Roman"/>
          <w:sz w:val="26"/>
          <w:szCs w:val="26"/>
          <w:lang w:val="vi-VN"/>
        </w:rPr>
      </w:pPr>
      <w:r w:rsidRPr="00071CBA">
        <w:rPr>
          <w:rFonts w:ascii="Times New Roman" w:hAnsi="Times New Roman" w:cs="Times New Roman"/>
          <w:sz w:val="26"/>
          <w:szCs w:val="26"/>
          <w:lang w:val="vi-VN"/>
        </w:rPr>
        <w:t xml:space="preserve">     </w:t>
      </w:r>
      <w:r w:rsidRPr="00126E2E">
        <w:rPr>
          <w:rFonts w:ascii="Times New Roman" w:hAnsi="Times New Roman" w:cs="Times New Roman"/>
          <w:sz w:val="26"/>
          <w:szCs w:val="26"/>
          <w:lang w:val="vi-VN"/>
        </w:rPr>
        <w:t xml:space="preserve">Trong </w:t>
      </w:r>
      <w:r w:rsidR="00B31327" w:rsidRPr="00F22BA5">
        <w:rPr>
          <w:rFonts w:ascii="Times New Roman" w:hAnsi="Times New Roman" w:cs="Times New Roman"/>
          <w:sz w:val="26"/>
          <w:szCs w:val="26"/>
          <w:lang w:val="vi-VN"/>
        </w:rPr>
        <w:t>thời gian vừa qua</w:t>
      </w:r>
      <w:r w:rsidRPr="00126E2E">
        <w:rPr>
          <w:rFonts w:ascii="Times New Roman" w:hAnsi="Times New Roman" w:cs="Times New Roman"/>
          <w:sz w:val="26"/>
          <w:szCs w:val="26"/>
          <w:lang w:val="vi-VN"/>
        </w:rPr>
        <w:t>,</w:t>
      </w:r>
      <w:r w:rsidR="002C2762" w:rsidRPr="00F22BA5">
        <w:rPr>
          <w:rFonts w:ascii="Times New Roman" w:hAnsi="Times New Roman" w:cs="Times New Roman"/>
          <w:sz w:val="26"/>
          <w:szCs w:val="26"/>
          <w:lang w:val="vi-VN"/>
        </w:rPr>
        <w:t xml:space="preserve"> các</w:t>
      </w:r>
      <w:r w:rsidRPr="00126E2E">
        <w:rPr>
          <w:rFonts w:ascii="Times New Roman" w:hAnsi="Times New Roman" w:cs="Times New Roman"/>
          <w:sz w:val="26"/>
          <w:szCs w:val="26"/>
          <w:lang w:val="vi-VN"/>
        </w:rPr>
        <w:t xml:space="preserve"> CTCP </w:t>
      </w:r>
      <w:r w:rsidR="002C2762" w:rsidRPr="00F22BA5">
        <w:rPr>
          <w:rFonts w:ascii="Times New Roman" w:hAnsi="Times New Roman" w:cs="Times New Roman"/>
          <w:sz w:val="26"/>
          <w:szCs w:val="26"/>
          <w:lang w:val="vi-VN"/>
        </w:rPr>
        <w:t>thuộc TKV</w:t>
      </w:r>
      <w:r w:rsidRPr="00126E2E">
        <w:rPr>
          <w:rFonts w:ascii="Times New Roman" w:hAnsi="Times New Roman" w:cs="Times New Roman"/>
          <w:sz w:val="26"/>
          <w:szCs w:val="26"/>
          <w:lang w:val="vi-VN"/>
        </w:rPr>
        <w:t xml:space="preserve"> đã đạt được những thành tựu nổi bật trong sản xuất và kinh doanh. Tăng trưởng sản lượng, doanh thu và lợi nhuận cho thấy năng lực quản trị và hoạt động của </w:t>
      </w:r>
      <w:r w:rsidR="002C2762" w:rsidRPr="00F22BA5">
        <w:rPr>
          <w:rFonts w:ascii="Times New Roman" w:hAnsi="Times New Roman" w:cs="Times New Roman"/>
          <w:sz w:val="26"/>
          <w:szCs w:val="26"/>
          <w:lang w:val="vi-VN"/>
        </w:rPr>
        <w:t>các công ty</w:t>
      </w:r>
      <w:r w:rsidRPr="00126E2E">
        <w:rPr>
          <w:rFonts w:ascii="Times New Roman" w:hAnsi="Times New Roman" w:cs="Times New Roman"/>
          <w:sz w:val="26"/>
          <w:szCs w:val="26"/>
          <w:lang w:val="vi-VN"/>
        </w:rPr>
        <w:t xml:space="preserve"> ngày càng hiệu quả. </w:t>
      </w:r>
    </w:p>
    <w:p w14:paraId="7C7FA666" w14:textId="77777777" w:rsidR="00452F88" w:rsidRDefault="00126E2E" w:rsidP="00452F88">
      <w:pPr>
        <w:spacing w:line="312" w:lineRule="auto"/>
        <w:jc w:val="both"/>
        <w:rPr>
          <w:rFonts w:ascii="Times New Roman" w:hAnsi="Times New Roman" w:cs="Times New Roman"/>
          <w:sz w:val="26"/>
          <w:szCs w:val="26"/>
          <w:lang w:val="vi-VN"/>
        </w:rPr>
      </w:pPr>
      <w:r w:rsidRPr="00071CBA">
        <w:rPr>
          <w:rFonts w:ascii="Times New Roman" w:hAnsi="Times New Roman" w:cs="Times New Roman"/>
          <w:sz w:val="26"/>
          <w:szCs w:val="26"/>
          <w:lang w:val="vi-VN"/>
        </w:rPr>
        <w:t xml:space="preserve">     </w:t>
      </w:r>
      <w:r w:rsidR="00452F88" w:rsidRPr="00F22BA5">
        <w:rPr>
          <w:rFonts w:ascii="Times New Roman" w:hAnsi="Times New Roman" w:cs="Times New Roman"/>
          <w:sz w:val="26"/>
          <w:szCs w:val="26"/>
          <w:lang w:val="vi-VN"/>
        </w:rPr>
        <w:t>Về</w:t>
      </w:r>
      <w:r w:rsidRPr="00126E2E">
        <w:rPr>
          <w:rFonts w:ascii="Times New Roman" w:hAnsi="Times New Roman" w:cs="Times New Roman"/>
          <w:sz w:val="26"/>
          <w:szCs w:val="26"/>
          <w:lang w:val="vi-VN"/>
        </w:rPr>
        <w:t xml:space="preserve"> sản lượng than sản xuất và tiêu thụ</w:t>
      </w:r>
      <w:r w:rsidR="00B31327" w:rsidRPr="00F22BA5">
        <w:rPr>
          <w:rFonts w:ascii="Times New Roman" w:hAnsi="Times New Roman" w:cs="Times New Roman"/>
          <w:sz w:val="26"/>
          <w:szCs w:val="26"/>
          <w:lang w:val="vi-VN"/>
        </w:rPr>
        <w:t>, các công ty đều đạt kế hoạch đề ra, sản lượng sản xuất và tiêu thụ cao nhất là của CTCP than Vàng Danh – Vinacomin</w:t>
      </w:r>
      <w:r w:rsidR="00475A01" w:rsidRPr="00F22BA5">
        <w:rPr>
          <w:rFonts w:ascii="Times New Roman" w:hAnsi="Times New Roman" w:cs="Times New Roman"/>
          <w:sz w:val="26"/>
          <w:szCs w:val="26"/>
          <w:lang w:val="vi-VN"/>
        </w:rPr>
        <w:t xml:space="preserve"> đạt </w:t>
      </w:r>
      <w:r w:rsidRPr="00126E2E">
        <w:rPr>
          <w:rFonts w:ascii="Times New Roman" w:hAnsi="Times New Roman" w:cs="Times New Roman"/>
          <w:sz w:val="26"/>
          <w:szCs w:val="26"/>
          <w:lang w:val="vi-VN"/>
        </w:rPr>
        <w:t>4,015 triệu tấn</w:t>
      </w:r>
      <w:r w:rsidR="00475A01" w:rsidRPr="00F22BA5">
        <w:rPr>
          <w:rFonts w:ascii="Times New Roman" w:hAnsi="Times New Roman" w:cs="Times New Roman"/>
          <w:sz w:val="26"/>
          <w:szCs w:val="26"/>
          <w:lang w:val="vi-VN"/>
        </w:rPr>
        <w:t xml:space="preserve"> sản xuất và 3,608 triệu tấn than tiêu thụ</w:t>
      </w:r>
      <w:r w:rsidRPr="00126E2E">
        <w:rPr>
          <w:rFonts w:ascii="Times New Roman" w:hAnsi="Times New Roman" w:cs="Times New Roman"/>
          <w:sz w:val="26"/>
          <w:szCs w:val="26"/>
          <w:lang w:val="vi-VN"/>
        </w:rPr>
        <w:t xml:space="preserve"> năm 2023. </w:t>
      </w:r>
      <w:r w:rsidR="00475A01" w:rsidRPr="00F22BA5">
        <w:rPr>
          <w:rFonts w:ascii="Times New Roman" w:hAnsi="Times New Roman" w:cs="Times New Roman"/>
          <w:sz w:val="26"/>
          <w:szCs w:val="26"/>
          <w:lang w:val="vi-VN"/>
        </w:rPr>
        <w:t>Còn các đơn vị khác đều cho</w:t>
      </w:r>
      <w:r w:rsidRPr="00126E2E">
        <w:rPr>
          <w:rFonts w:ascii="Times New Roman" w:hAnsi="Times New Roman" w:cs="Times New Roman"/>
          <w:sz w:val="26"/>
          <w:szCs w:val="26"/>
          <w:lang w:val="vi-VN"/>
        </w:rPr>
        <w:t xml:space="preserve"> thấ</w:t>
      </w:r>
      <w:r w:rsidR="00475A01">
        <w:rPr>
          <w:rFonts w:ascii="Times New Roman" w:hAnsi="Times New Roman" w:cs="Times New Roman"/>
          <w:sz w:val="26"/>
          <w:szCs w:val="26"/>
          <w:lang w:val="vi-VN"/>
        </w:rPr>
        <w:t>y</w:t>
      </w:r>
      <w:r w:rsidRPr="00126E2E">
        <w:rPr>
          <w:rFonts w:ascii="Times New Roman" w:hAnsi="Times New Roman" w:cs="Times New Roman"/>
          <w:sz w:val="26"/>
          <w:szCs w:val="26"/>
          <w:lang w:val="vi-VN"/>
        </w:rPr>
        <w:t xml:space="preserve"> hoạt động khai thác và tiêu thụ than của </w:t>
      </w:r>
      <w:r w:rsidR="00475A01" w:rsidRPr="00F22BA5">
        <w:rPr>
          <w:rFonts w:ascii="Times New Roman" w:hAnsi="Times New Roman" w:cs="Times New Roman"/>
          <w:sz w:val="26"/>
          <w:szCs w:val="26"/>
          <w:lang w:val="vi-VN"/>
        </w:rPr>
        <w:t xml:space="preserve">các </w:t>
      </w:r>
      <w:r w:rsidRPr="00126E2E">
        <w:rPr>
          <w:rFonts w:ascii="Times New Roman" w:hAnsi="Times New Roman" w:cs="Times New Roman"/>
          <w:sz w:val="26"/>
          <w:szCs w:val="26"/>
          <w:lang w:val="vi-VN"/>
        </w:rPr>
        <w:t>công ty được duy trì ổn định và mở rộ</w:t>
      </w:r>
      <w:r w:rsidR="00475A01">
        <w:rPr>
          <w:rFonts w:ascii="Times New Roman" w:hAnsi="Times New Roman" w:cs="Times New Roman"/>
          <w:sz w:val="26"/>
          <w:szCs w:val="26"/>
          <w:lang w:val="vi-VN"/>
        </w:rPr>
        <w:t>n</w:t>
      </w:r>
      <w:r w:rsidR="00475A01" w:rsidRPr="00F22BA5">
        <w:rPr>
          <w:rFonts w:ascii="Times New Roman" w:hAnsi="Times New Roman" w:cs="Times New Roman"/>
          <w:sz w:val="26"/>
          <w:szCs w:val="26"/>
          <w:lang w:val="vi-VN"/>
        </w:rPr>
        <w:t>g</w:t>
      </w:r>
      <w:r w:rsidRPr="00126E2E">
        <w:rPr>
          <w:rFonts w:ascii="Times New Roman" w:hAnsi="Times New Roman" w:cs="Times New Roman"/>
          <w:sz w:val="26"/>
          <w:szCs w:val="26"/>
          <w:lang w:val="vi-VN"/>
        </w:rPr>
        <w:t xml:space="preserve">. Điều này phản ánh nỗ lực trong việc nâng cao năng lực sản xuất cũng như </w:t>
      </w:r>
      <w:r w:rsidR="007F3CCC" w:rsidRPr="00126E2E">
        <w:rPr>
          <w:rFonts w:ascii="Times New Roman" w:hAnsi="Times New Roman" w:cs="Times New Roman"/>
          <w:sz w:val="26"/>
          <w:szCs w:val="26"/>
          <w:lang w:val="vi-VN"/>
        </w:rPr>
        <w:t>kiểm soát tốt quy trình sản xuấ</w:t>
      </w:r>
      <w:r w:rsidR="007F3CCC">
        <w:rPr>
          <w:rFonts w:ascii="Times New Roman" w:hAnsi="Times New Roman" w:cs="Times New Roman"/>
          <w:sz w:val="26"/>
          <w:szCs w:val="26"/>
          <w:lang w:val="vi-VN"/>
        </w:rPr>
        <w:t xml:space="preserve">t </w:t>
      </w:r>
      <w:r w:rsidR="007F3CCC" w:rsidRPr="00126E2E">
        <w:rPr>
          <w:rFonts w:ascii="Times New Roman" w:hAnsi="Times New Roman" w:cs="Times New Roman"/>
          <w:sz w:val="26"/>
          <w:szCs w:val="26"/>
          <w:lang w:val="vi-VN"/>
        </w:rPr>
        <w:t>kinh doanh, bảo đảm cân đối cung cầu, không để tồn kho tăng cao và giữ vững thị phần tiêu thụ</w:t>
      </w:r>
      <w:r w:rsidR="007F3CCC">
        <w:rPr>
          <w:rFonts w:ascii="Times New Roman" w:hAnsi="Times New Roman" w:cs="Times New Roman"/>
          <w:sz w:val="26"/>
          <w:szCs w:val="26"/>
          <w:lang w:val="vi-VN"/>
        </w:rPr>
        <w:t xml:space="preserve"> trong ngành than.</w:t>
      </w:r>
    </w:p>
    <w:p w14:paraId="6247687F" w14:textId="4C8A9B96" w:rsidR="00126E2E" w:rsidRPr="00452F88" w:rsidRDefault="00126E2E" w:rsidP="00452F88">
      <w:pPr>
        <w:spacing w:line="312" w:lineRule="auto"/>
        <w:jc w:val="both"/>
        <w:rPr>
          <w:rFonts w:ascii="Times New Roman" w:hAnsi="Times New Roman" w:cs="Times New Roman"/>
          <w:sz w:val="26"/>
          <w:szCs w:val="26"/>
          <w:lang w:val="vi-VN"/>
        </w:rPr>
      </w:pPr>
      <w:r w:rsidRPr="00071CBA">
        <w:rPr>
          <w:rFonts w:ascii="Times New Roman" w:hAnsi="Times New Roman" w:cs="Times New Roman"/>
          <w:sz w:val="26"/>
          <w:szCs w:val="26"/>
          <w:lang w:val="vi-VN"/>
        </w:rPr>
        <w:t xml:space="preserve"> </w:t>
      </w:r>
      <w:r w:rsidR="00452F88" w:rsidRPr="00F22BA5">
        <w:rPr>
          <w:rFonts w:ascii="Times New Roman" w:hAnsi="Times New Roman" w:cs="Times New Roman"/>
          <w:sz w:val="26"/>
          <w:szCs w:val="26"/>
          <w:lang w:val="vi-VN"/>
        </w:rPr>
        <w:t>Doanh</w:t>
      </w:r>
      <w:r w:rsidRPr="00126E2E">
        <w:rPr>
          <w:rFonts w:ascii="Times New Roman" w:hAnsi="Times New Roman" w:cs="Times New Roman"/>
          <w:sz w:val="26"/>
          <w:szCs w:val="26"/>
          <w:lang w:val="vi-VN"/>
        </w:rPr>
        <w:t xml:space="preserve"> thu thuần của </w:t>
      </w:r>
      <w:r w:rsidR="00475A01" w:rsidRPr="00F22BA5">
        <w:rPr>
          <w:rFonts w:ascii="Times New Roman" w:hAnsi="Times New Roman" w:cs="Times New Roman"/>
          <w:sz w:val="26"/>
          <w:szCs w:val="26"/>
          <w:lang w:val="vi-VN"/>
        </w:rPr>
        <w:t>các CTCP</w:t>
      </w:r>
      <w:r w:rsidRPr="00126E2E">
        <w:rPr>
          <w:rFonts w:ascii="Times New Roman" w:hAnsi="Times New Roman" w:cs="Times New Roman"/>
          <w:sz w:val="26"/>
          <w:szCs w:val="26"/>
          <w:lang w:val="vi-VN"/>
        </w:rPr>
        <w:t xml:space="preserve"> cũng ghi nhận mức tăng trưởng tích cực. </w:t>
      </w:r>
      <w:r w:rsidR="00475A01" w:rsidRPr="00F22BA5">
        <w:rPr>
          <w:rFonts w:ascii="Times New Roman" w:hAnsi="Times New Roman" w:cs="Times New Roman"/>
          <w:sz w:val="26"/>
          <w:szCs w:val="26"/>
          <w:lang w:val="vi-VN"/>
        </w:rPr>
        <w:t xml:space="preserve">Doanh thu bình quân của các đơn vị đạt khoảng 3.979,8 tỷ đồng. </w:t>
      </w:r>
      <w:r w:rsidRPr="00126E2E">
        <w:rPr>
          <w:rFonts w:ascii="Times New Roman" w:hAnsi="Times New Roman" w:cs="Times New Roman"/>
          <w:sz w:val="26"/>
          <w:szCs w:val="26"/>
          <w:lang w:val="vi-VN"/>
        </w:rPr>
        <w:t xml:space="preserve">Sự gia tăng doanh thu cho thấy hiệu quả của hoạt động </w:t>
      </w:r>
      <w:r w:rsidR="00475A01" w:rsidRPr="00F22BA5">
        <w:rPr>
          <w:rFonts w:ascii="Times New Roman" w:hAnsi="Times New Roman" w:cs="Times New Roman"/>
          <w:sz w:val="26"/>
          <w:szCs w:val="26"/>
          <w:lang w:val="vi-VN"/>
        </w:rPr>
        <w:t>tiêu thụ than theo yêu cầu của Tập đoàn. Trong đó đơn vị có doanh thu cao nhất là CTCP than Vàng Danh – Vinacomin, tiếp sau đó là CTCP than Hà Tu-Vinacomin và CTCP than Núi Béo – Vinacomin.</w:t>
      </w:r>
    </w:p>
    <w:p w14:paraId="7710C557" w14:textId="4DA83EFE" w:rsidR="00475A01" w:rsidRPr="00F22BA5" w:rsidRDefault="00475A01" w:rsidP="00452F88">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Về quy mô tài sản, vốn chủ sở hữu của các CTCP ở bảng trên cho thấy các đơn vị đều có quy mô</w:t>
      </w:r>
      <w:r w:rsidR="009B6EBB" w:rsidRPr="00F22BA5">
        <w:rPr>
          <w:rFonts w:ascii="Times New Roman" w:hAnsi="Times New Roman" w:cs="Times New Roman"/>
          <w:sz w:val="26"/>
          <w:szCs w:val="26"/>
          <w:lang w:val="vi-VN"/>
        </w:rPr>
        <w:t xml:space="preserve"> tài sản và vốn chủ sở hữu tương đối lớn, đáp ứng được nhu cầu mở rộng sản xuất kinh doanh cho hoạt động khai thác than trong thời gian tới.</w:t>
      </w:r>
      <w:r w:rsidR="007F3CCC" w:rsidRPr="007F3CCC">
        <w:rPr>
          <w:rFonts w:ascii="Times New Roman" w:hAnsi="Times New Roman" w:cs="Times New Roman"/>
          <w:sz w:val="26"/>
          <w:szCs w:val="26"/>
          <w:lang w:val="vi-VN"/>
        </w:rPr>
        <w:t xml:space="preserve"> </w:t>
      </w:r>
      <w:r w:rsidR="007F3CCC" w:rsidRPr="00126E2E">
        <w:rPr>
          <w:rFonts w:ascii="Times New Roman" w:hAnsi="Times New Roman" w:cs="Times New Roman"/>
          <w:sz w:val="26"/>
          <w:szCs w:val="26"/>
          <w:lang w:val="vi-VN"/>
        </w:rPr>
        <w:t xml:space="preserve">Đây là </w:t>
      </w:r>
      <w:r w:rsidR="007F3CCC" w:rsidRPr="00126E2E">
        <w:rPr>
          <w:rFonts w:ascii="Times New Roman" w:hAnsi="Times New Roman" w:cs="Times New Roman"/>
          <w:sz w:val="26"/>
          <w:szCs w:val="26"/>
          <w:lang w:val="vi-VN"/>
        </w:rPr>
        <w:lastRenderedPageBreak/>
        <w:t xml:space="preserve">tín hiệu tích cực, cho thấy </w:t>
      </w:r>
      <w:r w:rsidR="007F3CCC" w:rsidRPr="00F22BA5">
        <w:rPr>
          <w:rFonts w:ascii="Times New Roman" w:hAnsi="Times New Roman" w:cs="Times New Roman"/>
          <w:sz w:val="26"/>
          <w:szCs w:val="26"/>
          <w:lang w:val="vi-VN"/>
        </w:rPr>
        <w:t xml:space="preserve">các </w:t>
      </w:r>
      <w:r w:rsidR="007F3CCC" w:rsidRPr="00126E2E">
        <w:rPr>
          <w:rFonts w:ascii="Times New Roman" w:hAnsi="Times New Roman" w:cs="Times New Roman"/>
          <w:sz w:val="26"/>
          <w:szCs w:val="26"/>
          <w:lang w:val="vi-VN"/>
        </w:rPr>
        <w:t xml:space="preserve">công ty có khả năng tích lũy vốn tốt nhờ hoạt động kinh doanh </w:t>
      </w:r>
      <w:r w:rsidR="007F3CCC" w:rsidRPr="00F22BA5">
        <w:rPr>
          <w:rFonts w:ascii="Times New Roman" w:hAnsi="Times New Roman" w:cs="Times New Roman"/>
          <w:sz w:val="26"/>
          <w:szCs w:val="26"/>
          <w:lang w:val="vi-VN"/>
        </w:rPr>
        <w:t>có hiệu quả</w:t>
      </w:r>
      <w:r w:rsidR="007F3CCC" w:rsidRPr="00126E2E">
        <w:rPr>
          <w:rFonts w:ascii="Times New Roman" w:hAnsi="Times New Roman" w:cs="Times New Roman"/>
          <w:sz w:val="26"/>
          <w:szCs w:val="26"/>
          <w:lang w:val="vi-VN"/>
        </w:rPr>
        <w:t xml:space="preserve">, góp phần nâng cao tính tự chủ tài chính </w:t>
      </w:r>
      <w:r w:rsidR="007F3CCC" w:rsidRPr="00F22BA5">
        <w:rPr>
          <w:rFonts w:ascii="Times New Roman" w:hAnsi="Times New Roman" w:cs="Times New Roman"/>
          <w:sz w:val="26"/>
          <w:szCs w:val="26"/>
          <w:lang w:val="vi-VN"/>
        </w:rPr>
        <w:t>của các đơn vị</w:t>
      </w:r>
      <w:r w:rsidR="007F3CCC" w:rsidRPr="00126E2E">
        <w:rPr>
          <w:rFonts w:ascii="Times New Roman" w:hAnsi="Times New Roman" w:cs="Times New Roman"/>
          <w:sz w:val="26"/>
          <w:szCs w:val="26"/>
          <w:lang w:val="vi-VN"/>
        </w:rPr>
        <w:t>.</w:t>
      </w:r>
    </w:p>
    <w:p w14:paraId="21EF2BC5" w14:textId="359FFD6E" w:rsidR="002868E3" w:rsidRDefault="009B6EBB" w:rsidP="00452F88">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  </w:t>
      </w:r>
      <w:r w:rsidRPr="00F22BA5">
        <w:rPr>
          <w:rFonts w:ascii="Times New Roman" w:hAnsi="Times New Roman" w:cs="Times New Roman"/>
          <w:sz w:val="26"/>
          <w:szCs w:val="26"/>
          <w:lang w:val="vi-VN"/>
        </w:rPr>
        <w:t>V</w:t>
      </w:r>
      <w:r w:rsidR="00126E2E" w:rsidRPr="00126E2E">
        <w:rPr>
          <w:rFonts w:ascii="Times New Roman" w:hAnsi="Times New Roman" w:cs="Times New Roman"/>
          <w:sz w:val="26"/>
          <w:szCs w:val="26"/>
          <w:lang w:val="vi-VN"/>
        </w:rPr>
        <w:t xml:space="preserve">ề hiệu quả kinh doanh, lợi nhuận trước thuế và </w:t>
      </w:r>
      <w:r w:rsidRPr="00F22BA5">
        <w:rPr>
          <w:rFonts w:ascii="Times New Roman" w:hAnsi="Times New Roman" w:cs="Times New Roman"/>
          <w:sz w:val="26"/>
          <w:szCs w:val="26"/>
          <w:lang w:val="vi-VN"/>
        </w:rPr>
        <w:t xml:space="preserve">lợi nhuận </w:t>
      </w:r>
      <w:r w:rsidR="00126E2E" w:rsidRPr="00126E2E">
        <w:rPr>
          <w:rFonts w:ascii="Times New Roman" w:hAnsi="Times New Roman" w:cs="Times New Roman"/>
          <w:sz w:val="26"/>
          <w:szCs w:val="26"/>
          <w:lang w:val="vi-VN"/>
        </w:rPr>
        <w:t>sau thuế</w:t>
      </w:r>
      <w:r w:rsidRPr="00F22BA5">
        <w:rPr>
          <w:rFonts w:ascii="Times New Roman" w:hAnsi="Times New Roman" w:cs="Times New Roman"/>
          <w:sz w:val="26"/>
          <w:szCs w:val="26"/>
          <w:lang w:val="vi-VN"/>
        </w:rPr>
        <w:t xml:space="preserve"> của các đơn vị </w:t>
      </w:r>
      <w:r w:rsidR="00126E2E" w:rsidRPr="00126E2E">
        <w:rPr>
          <w:rFonts w:ascii="Times New Roman" w:hAnsi="Times New Roman" w:cs="Times New Roman"/>
          <w:sz w:val="26"/>
          <w:szCs w:val="26"/>
          <w:lang w:val="vi-VN"/>
        </w:rPr>
        <w:t xml:space="preserve"> đều tăng trưởng </w:t>
      </w:r>
      <w:r w:rsidR="007F3CCC" w:rsidRPr="00F22BA5">
        <w:rPr>
          <w:rFonts w:ascii="Times New Roman" w:hAnsi="Times New Roman" w:cs="Times New Roman"/>
          <w:sz w:val="26"/>
          <w:szCs w:val="26"/>
          <w:lang w:val="vi-VN"/>
        </w:rPr>
        <w:t xml:space="preserve">dương </w:t>
      </w:r>
      <w:r w:rsidR="00126E2E" w:rsidRPr="00126E2E">
        <w:rPr>
          <w:rFonts w:ascii="Times New Roman" w:hAnsi="Times New Roman" w:cs="Times New Roman"/>
          <w:sz w:val="26"/>
          <w:szCs w:val="26"/>
          <w:lang w:val="vi-VN"/>
        </w:rPr>
        <w:t xml:space="preserve">trong </w:t>
      </w:r>
      <w:r w:rsidRPr="00F22BA5">
        <w:rPr>
          <w:rFonts w:ascii="Times New Roman" w:hAnsi="Times New Roman" w:cs="Times New Roman"/>
          <w:sz w:val="26"/>
          <w:szCs w:val="26"/>
          <w:lang w:val="vi-VN"/>
        </w:rPr>
        <w:t>năm 2023.</w:t>
      </w:r>
      <w:r w:rsidR="00126E2E" w:rsidRPr="00126E2E">
        <w:rPr>
          <w:rFonts w:ascii="Times New Roman" w:hAnsi="Times New Roman" w:cs="Times New Roman"/>
          <w:sz w:val="26"/>
          <w:szCs w:val="26"/>
          <w:lang w:val="vi-VN"/>
        </w:rPr>
        <w:t xml:space="preserve"> Lợi nhuận trước thuế</w:t>
      </w:r>
      <w:r w:rsidR="007F3CCC" w:rsidRPr="00F22BA5">
        <w:rPr>
          <w:rFonts w:ascii="Times New Roman" w:hAnsi="Times New Roman" w:cs="Times New Roman"/>
          <w:sz w:val="26"/>
          <w:szCs w:val="26"/>
          <w:lang w:val="vi-VN"/>
        </w:rPr>
        <w:t xml:space="preserve"> và lợi nhuận sau thuế cao nhất là của CTCP than Vàng Danh – Vinacomin (175,61 tỷ đồng và 138,186 tỷ đồng); bên cạnh đó các đơn vị có lợi nhuận cao như: CTCP than Núi Béo- Vinacomin, CTCP than Hà Lầm – Vinacomin).</w:t>
      </w:r>
      <w:r w:rsidR="00126E2E" w:rsidRPr="00126E2E">
        <w:rPr>
          <w:rFonts w:ascii="Times New Roman" w:hAnsi="Times New Roman" w:cs="Times New Roman"/>
          <w:sz w:val="26"/>
          <w:szCs w:val="26"/>
          <w:lang w:val="vi-VN"/>
        </w:rPr>
        <w:t xml:space="preserve"> </w:t>
      </w:r>
      <w:r w:rsidR="007F3CCC" w:rsidRPr="00F22BA5">
        <w:rPr>
          <w:rFonts w:ascii="Times New Roman" w:hAnsi="Times New Roman" w:cs="Times New Roman"/>
          <w:sz w:val="26"/>
          <w:szCs w:val="26"/>
          <w:lang w:val="vi-VN"/>
        </w:rPr>
        <w:t xml:space="preserve">Việc gia tăng lợi nhuận đã </w:t>
      </w:r>
      <w:r w:rsidR="00126E2E" w:rsidRPr="00126E2E">
        <w:rPr>
          <w:rFonts w:ascii="Times New Roman" w:hAnsi="Times New Roman" w:cs="Times New Roman"/>
          <w:sz w:val="26"/>
          <w:szCs w:val="26"/>
          <w:lang w:val="vi-VN"/>
        </w:rPr>
        <w:t xml:space="preserve">phản ánh rõ nét sự cải thiện trong hiệu quả hoạt động sản xuất kinh doanh của </w:t>
      </w:r>
      <w:r w:rsidR="007F3CCC" w:rsidRPr="00F22BA5">
        <w:rPr>
          <w:rFonts w:ascii="Times New Roman" w:hAnsi="Times New Roman" w:cs="Times New Roman"/>
          <w:sz w:val="26"/>
          <w:szCs w:val="26"/>
          <w:lang w:val="vi-VN"/>
        </w:rPr>
        <w:t>các đơn vị.</w:t>
      </w:r>
    </w:p>
    <w:p w14:paraId="33997F4D" w14:textId="12C81C37" w:rsidR="00126E2E" w:rsidRPr="00126E2E" w:rsidRDefault="00126E2E" w:rsidP="005B0517">
      <w:pPr>
        <w:pStyle w:val="Heading2"/>
        <w:rPr>
          <w:lang w:val="vi-VN"/>
        </w:rPr>
      </w:pPr>
      <w:bookmarkStart w:id="159" w:name="_Toc198709981"/>
      <w:r w:rsidRPr="00126E2E">
        <w:rPr>
          <w:lang w:val="vi-VN"/>
        </w:rPr>
        <w:t>2.3. Thực trạng an toàn tài chính các CTCP niêm yết thuộc TKV</w:t>
      </w:r>
      <w:bookmarkEnd w:id="159"/>
    </w:p>
    <w:p w14:paraId="57225371" w14:textId="4BC33A26" w:rsidR="00DA4446" w:rsidRPr="00B564BE" w:rsidRDefault="00DA4446" w:rsidP="005B0517">
      <w:pPr>
        <w:pStyle w:val="Heading3"/>
        <w:rPr>
          <w:lang w:val="vi-VN"/>
        </w:rPr>
      </w:pPr>
      <w:bookmarkStart w:id="160" w:name="_Toc198709982"/>
      <w:bookmarkStart w:id="161" w:name="_Toc197781172"/>
      <w:bookmarkStart w:id="162" w:name="_Toc197781455"/>
      <w:r w:rsidRPr="00B564BE">
        <w:rPr>
          <w:lang w:val="vi-VN"/>
        </w:rPr>
        <w:t>2.3.1. Khả năng thanh toán của các công ty</w:t>
      </w:r>
      <w:bookmarkEnd w:id="160"/>
    </w:p>
    <w:bookmarkEnd w:id="161"/>
    <w:bookmarkEnd w:id="162"/>
    <w:p w14:paraId="44B7E1C8" w14:textId="07D4B1C3" w:rsidR="00F22BA5" w:rsidRPr="00F22BA5" w:rsidRDefault="00F22BA5" w:rsidP="00F22BA5">
      <w:pPr>
        <w:spacing w:line="312" w:lineRule="auto"/>
        <w:jc w:val="both"/>
        <w:rPr>
          <w:rFonts w:ascii="Times New Roman" w:hAnsi="Times New Roman" w:cs="Times New Roman"/>
          <w:i/>
          <w:iCs/>
          <w:sz w:val="26"/>
          <w:szCs w:val="26"/>
          <w:lang w:val="vi-VN"/>
        </w:rPr>
      </w:pPr>
      <w:r>
        <w:rPr>
          <w:rFonts w:ascii="Times New Roman" w:hAnsi="Times New Roman" w:cs="Times New Roman"/>
          <w:sz w:val="26"/>
          <w:szCs w:val="26"/>
          <w:lang w:val="vi-VN"/>
        </w:rPr>
        <w:t xml:space="preserve">        + </w:t>
      </w:r>
      <w:r>
        <w:rPr>
          <w:rFonts w:ascii="Times New Roman" w:hAnsi="Times New Roman" w:cs="Times New Roman"/>
          <w:i/>
          <w:iCs/>
          <w:sz w:val="26"/>
          <w:szCs w:val="26"/>
          <w:lang w:val="vi-VN"/>
        </w:rPr>
        <w:t>Hệ số thanh toán hiện thời (ngắn hạn)</w:t>
      </w:r>
    </w:p>
    <w:p w14:paraId="445D32BE" w14:textId="6AD4179E" w:rsidR="00126E2E" w:rsidRPr="00126E2E" w:rsidRDefault="00126E2E" w:rsidP="00126E2E">
      <w:pPr>
        <w:spacing w:line="312" w:lineRule="auto"/>
        <w:ind w:firstLine="720"/>
        <w:jc w:val="both"/>
        <w:rPr>
          <w:rFonts w:ascii="Times New Roman" w:hAnsi="Times New Roman" w:cs="Times New Roman"/>
          <w:sz w:val="26"/>
          <w:szCs w:val="26"/>
          <w:lang w:val="vi-VN"/>
        </w:rPr>
      </w:pPr>
      <w:r w:rsidRPr="00126E2E">
        <w:rPr>
          <w:rFonts w:ascii="Times New Roman" w:hAnsi="Times New Roman" w:cs="Times New Roman"/>
          <w:sz w:val="26"/>
          <w:szCs w:val="26"/>
          <w:lang w:val="vi-VN"/>
        </w:rPr>
        <w:t xml:space="preserve">Doanh nghiệp cần tính hệ số thanh toán hiện </w:t>
      </w:r>
      <w:r w:rsidR="00F22BA5">
        <w:rPr>
          <w:rFonts w:ascii="Times New Roman" w:hAnsi="Times New Roman" w:cs="Times New Roman"/>
          <w:sz w:val="26"/>
          <w:szCs w:val="26"/>
          <w:lang w:val="vi-VN"/>
        </w:rPr>
        <w:t>thời</w:t>
      </w:r>
      <w:r w:rsidRPr="00126E2E">
        <w:rPr>
          <w:rFonts w:ascii="Times New Roman" w:hAnsi="Times New Roman" w:cs="Times New Roman"/>
          <w:sz w:val="26"/>
          <w:szCs w:val="26"/>
          <w:lang w:val="vi-VN"/>
        </w:rPr>
        <w:t xml:space="preserve"> để đánh giá khả năng thanh toán nợ ngắn hạn, đảm bảo hoạt động tài chính ổn định và minh bạch. Việc này không chỉ giúp nhà đầu tư, cổ đông và cơ quan quản lý yên tâm về năng lực tài chính của doanh nghiệp, mà còn đáp ứng yêu cầu công bố thông tin theo quy định đối với doanh nghiệp niêm yết, đặc biệt trong ngành công nghiệp khai khoáng vốn tiềm ẩn nhiều rủi ro tài chính.</w:t>
      </w:r>
    </w:p>
    <w:p w14:paraId="1BD117CD" w14:textId="49973DF7" w:rsidR="00126E2E" w:rsidRPr="00126E2E" w:rsidRDefault="00126E2E" w:rsidP="0002299B">
      <w:pPr>
        <w:spacing w:line="312" w:lineRule="auto"/>
        <w:jc w:val="center"/>
        <w:rPr>
          <w:rFonts w:ascii="Times New Roman" w:hAnsi="Times New Roman" w:cs="Times New Roman"/>
          <w:b/>
          <w:sz w:val="26"/>
          <w:szCs w:val="26"/>
          <w:lang w:val="vi-VN"/>
        </w:rPr>
      </w:pPr>
      <w:r w:rsidRPr="00126E2E">
        <w:rPr>
          <w:rFonts w:ascii="Times New Roman" w:hAnsi="Times New Roman" w:cs="Times New Roman"/>
          <w:b/>
          <w:sz w:val="26"/>
          <w:szCs w:val="26"/>
          <w:lang w:val="vi-VN"/>
        </w:rPr>
        <w:t xml:space="preserve">Bảng </w:t>
      </w:r>
      <w:r w:rsidR="0031049D" w:rsidRPr="00F22BA5">
        <w:rPr>
          <w:rFonts w:ascii="Times New Roman" w:hAnsi="Times New Roman" w:cs="Times New Roman"/>
          <w:b/>
          <w:sz w:val="26"/>
          <w:szCs w:val="26"/>
          <w:lang w:val="vi-VN"/>
        </w:rPr>
        <w:t>2.</w:t>
      </w:r>
      <w:r w:rsidR="00621F59" w:rsidRPr="00F22BA5">
        <w:rPr>
          <w:rFonts w:ascii="Times New Roman" w:hAnsi="Times New Roman" w:cs="Times New Roman"/>
          <w:b/>
          <w:sz w:val="26"/>
          <w:szCs w:val="26"/>
          <w:lang w:val="vi-VN"/>
        </w:rPr>
        <w:t>3</w:t>
      </w:r>
      <w:r w:rsidRPr="00126E2E">
        <w:rPr>
          <w:rFonts w:ascii="Times New Roman" w:hAnsi="Times New Roman" w:cs="Times New Roman"/>
          <w:b/>
          <w:sz w:val="26"/>
          <w:szCs w:val="26"/>
          <w:lang w:val="vi-VN"/>
        </w:rPr>
        <w:t>. Hệ số khả năng thanh toán hiện thời của các CTCP niêm yết thuộc TKV</w:t>
      </w:r>
      <w:r w:rsidR="0002299B">
        <w:rPr>
          <w:rFonts w:ascii="Times New Roman" w:hAnsi="Times New Roman" w:cs="Times New Roman"/>
          <w:b/>
          <w:sz w:val="26"/>
          <w:szCs w:val="26"/>
          <w:lang w:val="vi-VN"/>
        </w:rPr>
        <w:t xml:space="preserve"> giai đoạn 2019 – 2023</w:t>
      </w:r>
    </w:p>
    <w:tbl>
      <w:tblPr>
        <w:tblStyle w:val="TableGrid"/>
        <w:tblW w:w="8931" w:type="dxa"/>
        <w:tblInd w:w="-5" w:type="dxa"/>
        <w:tblLook w:val="04A0" w:firstRow="1" w:lastRow="0" w:firstColumn="1" w:lastColumn="0" w:noHBand="0" w:noVBand="1"/>
      </w:tblPr>
      <w:tblGrid>
        <w:gridCol w:w="633"/>
        <w:gridCol w:w="1352"/>
        <w:gridCol w:w="1276"/>
        <w:gridCol w:w="1134"/>
        <w:gridCol w:w="1275"/>
        <w:gridCol w:w="993"/>
        <w:gridCol w:w="1134"/>
        <w:gridCol w:w="1134"/>
      </w:tblGrid>
      <w:tr w:rsidR="0002299B" w:rsidRPr="0002299B" w14:paraId="183A95F8" w14:textId="77777777" w:rsidTr="0031049D">
        <w:trPr>
          <w:trHeight w:val="330"/>
        </w:trPr>
        <w:tc>
          <w:tcPr>
            <w:tcW w:w="633" w:type="dxa"/>
            <w:tcBorders>
              <w:top w:val="single" w:sz="4" w:space="0" w:color="auto"/>
              <w:left w:val="single" w:sz="4" w:space="0" w:color="auto"/>
              <w:bottom w:val="single" w:sz="4" w:space="0" w:color="auto"/>
              <w:right w:val="single" w:sz="4" w:space="0" w:color="auto"/>
            </w:tcBorders>
            <w:vAlign w:val="center"/>
          </w:tcPr>
          <w:p w14:paraId="3F8AC4A0" w14:textId="77777777" w:rsidR="00126E2E" w:rsidRPr="009268DD" w:rsidRDefault="00126E2E" w:rsidP="00126E2E">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TT</w:t>
            </w:r>
          </w:p>
        </w:tc>
        <w:tc>
          <w:tcPr>
            <w:tcW w:w="1352" w:type="dxa"/>
            <w:tcBorders>
              <w:top w:val="single" w:sz="4" w:space="0" w:color="auto"/>
              <w:left w:val="single" w:sz="4" w:space="0" w:color="auto"/>
              <w:bottom w:val="single" w:sz="4" w:space="0" w:color="auto"/>
              <w:right w:val="single" w:sz="4" w:space="0" w:color="auto"/>
            </w:tcBorders>
            <w:vAlign w:val="center"/>
            <w:hideMark/>
          </w:tcPr>
          <w:p w14:paraId="49A60DF5" w14:textId="66AC7DF1" w:rsidR="00126E2E" w:rsidRPr="00EC6124" w:rsidRDefault="0031049D" w:rsidP="00126E2E">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Công ty</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272560F"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2019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5C400F"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2020</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9126BA6"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2021</w:t>
            </w:r>
          </w:p>
        </w:tc>
        <w:tc>
          <w:tcPr>
            <w:tcW w:w="993" w:type="dxa"/>
            <w:tcBorders>
              <w:top w:val="single" w:sz="4" w:space="0" w:color="auto"/>
              <w:left w:val="single" w:sz="4" w:space="0" w:color="auto"/>
              <w:bottom w:val="single" w:sz="4" w:space="0" w:color="auto"/>
              <w:right w:val="single" w:sz="4" w:space="0" w:color="auto"/>
            </w:tcBorders>
            <w:vAlign w:val="center"/>
            <w:hideMark/>
          </w:tcPr>
          <w:p w14:paraId="42B894F3"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E36F95B"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2023</w:t>
            </w:r>
          </w:p>
        </w:tc>
        <w:tc>
          <w:tcPr>
            <w:tcW w:w="1134" w:type="dxa"/>
            <w:tcBorders>
              <w:top w:val="single" w:sz="4" w:space="0" w:color="auto"/>
              <w:left w:val="single" w:sz="4" w:space="0" w:color="auto"/>
              <w:bottom w:val="single" w:sz="4" w:space="0" w:color="auto"/>
              <w:right w:val="single" w:sz="4" w:space="0" w:color="auto"/>
            </w:tcBorders>
            <w:vAlign w:val="center"/>
          </w:tcPr>
          <w:p w14:paraId="5E08F20C" w14:textId="3CB54427" w:rsidR="00126E2E" w:rsidRPr="0002299B" w:rsidRDefault="00126E2E" w:rsidP="00126E2E">
            <w:pPr>
              <w:spacing w:line="312" w:lineRule="auto"/>
              <w:jc w:val="center"/>
              <w:rPr>
                <w:rFonts w:ascii="Times New Roman" w:hAnsi="Times New Roman" w:cs="Times New Roman"/>
                <w:b/>
                <w:bCs/>
                <w:sz w:val="26"/>
                <w:szCs w:val="26"/>
              </w:rPr>
            </w:pPr>
            <w:r w:rsidRPr="0002299B">
              <w:rPr>
                <w:rFonts w:ascii="Times New Roman" w:hAnsi="Times New Roman" w:cs="Times New Roman"/>
                <w:b/>
                <w:bCs/>
                <w:sz w:val="26"/>
                <w:szCs w:val="26"/>
              </w:rPr>
              <w:t>Bình quân</w:t>
            </w:r>
          </w:p>
        </w:tc>
      </w:tr>
      <w:tr w:rsidR="00126E2E" w:rsidRPr="00EC6124" w14:paraId="44E2862F" w14:textId="77777777" w:rsidTr="0031049D">
        <w:trPr>
          <w:trHeight w:val="356"/>
        </w:trPr>
        <w:tc>
          <w:tcPr>
            <w:tcW w:w="633" w:type="dxa"/>
            <w:tcBorders>
              <w:top w:val="single" w:sz="4" w:space="0" w:color="auto"/>
              <w:left w:val="single" w:sz="4" w:space="0" w:color="auto"/>
              <w:bottom w:val="single" w:sz="4" w:space="0" w:color="auto"/>
              <w:right w:val="single" w:sz="4" w:space="0" w:color="auto"/>
            </w:tcBorders>
            <w:vAlign w:val="center"/>
          </w:tcPr>
          <w:p w14:paraId="1A981C3E" w14:textId="77777777" w:rsidR="00126E2E" w:rsidRPr="009268DD" w:rsidRDefault="00126E2E" w:rsidP="00126E2E">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1</w:t>
            </w:r>
          </w:p>
        </w:tc>
        <w:tc>
          <w:tcPr>
            <w:tcW w:w="1352" w:type="dxa"/>
            <w:tcBorders>
              <w:top w:val="single" w:sz="4" w:space="0" w:color="auto"/>
              <w:left w:val="single" w:sz="4" w:space="0" w:color="auto"/>
              <w:bottom w:val="single" w:sz="4" w:space="0" w:color="auto"/>
              <w:right w:val="single" w:sz="4" w:space="0" w:color="auto"/>
            </w:tcBorders>
            <w:vAlign w:val="center"/>
            <w:hideMark/>
          </w:tcPr>
          <w:p w14:paraId="5880457F" w14:textId="1E593B5C" w:rsidR="00126E2E"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TVD</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BF70435"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0,63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6954BF"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0,75</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9E50805"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0,72</w:t>
            </w:r>
          </w:p>
        </w:tc>
        <w:tc>
          <w:tcPr>
            <w:tcW w:w="993" w:type="dxa"/>
            <w:tcBorders>
              <w:top w:val="single" w:sz="4" w:space="0" w:color="auto"/>
              <w:left w:val="single" w:sz="4" w:space="0" w:color="auto"/>
              <w:bottom w:val="single" w:sz="4" w:space="0" w:color="auto"/>
              <w:right w:val="single" w:sz="4" w:space="0" w:color="auto"/>
            </w:tcBorders>
            <w:vAlign w:val="center"/>
            <w:hideMark/>
          </w:tcPr>
          <w:p w14:paraId="3271591F"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1,17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74C1AB"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1,26</w:t>
            </w:r>
          </w:p>
        </w:tc>
        <w:tc>
          <w:tcPr>
            <w:tcW w:w="1134" w:type="dxa"/>
            <w:tcBorders>
              <w:top w:val="single" w:sz="4" w:space="0" w:color="auto"/>
              <w:left w:val="nil"/>
              <w:bottom w:val="single" w:sz="4" w:space="0" w:color="auto"/>
              <w:right w:val="single" w:sz="4" w:space="0" w:color="auto"/>
            </w:tcBorders>
            <w:shd w:val="clear" w:color="auto" w:fill="auto"/>
            <w:vAlign w:val="center"/>
          </w:tcPr>
          <w:p w14:paraId="37369AEF" w14:textId="77777777" w:rsidR="00126E2E" w:rsidRPr="00126E2E" w:rsidRDefault="00126E2E" w:rsidP="00126E2E">
            <w:pPr>
              <w:spacing w:line="312" w:lineRule="auto"/>
              <w:jc w:val="center"/>
              <w:rPr>
                <w:rFonts w:ascii="Times New Roman" w:hAnsi="Times New Roman" w:cs="Times New Roman"/>
                <w:sz w:val="28"/>
                <w:szCs w:val="28"/>
              </w:rPr>
            </w:pPr>
            <w:r w:rsidRPr="00126E2E">
              <w:rPr>
                <w:rFonts w:ascii="Times New Roman" w:hAnsi="Times New Roman" w:cs="Times New Roman"/>
                <w:color w:val="000000"/>
                <w:sz w:val="28"/>
                <w:szCs w:val="28"/>
              </w:rPr>
              <w:t>0,91</w:t>
            </w:r>
          </w:p>
        </w:tc>
      </w:tr>
      <w:tr w:rsidR="00126E2E" w:rsidRPr="00EC6124" w14:paraId="73A4FC6D" w14:textId="77777777" w:rsidTr="0031049D">
        <w:trPr>
          <w:trHeight w:val="330"/>
        </w:trPr>
        <w:tc>
          <w:tcPr>
            <w:tcW w:w="633" w:type="dxa"/>
            <w:tcBorders>
              <w:top w:val="single" w:sz="4" w:space="0" w:color="auto"/>
              <w:left w:val="single" w:sz="4" w:space="0" w:color="auto"/>
              <w:bottom w:val="single" w:sz="4" w:space="0" w:color="auto"/>
              <w:right w:val="single" w:sz="4" w:space="0" w:color="auto"/>
            </w:tcBorders>
            <w:vAlign w:val="center"/>
          </w:tcPr>
          <w:p w14:paraId="41429E3A" w14:textId="77777777" w:rsidR="00126E2E" w:rsidRPr="009268DD" w:rsidRDefault="00126E2E" w:rsidP="00126E2E">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2</w:t>
            </w:r>
          </w:p>
        </w:tc>
        <w:tc>
          <w:tcPr>
            <w:tcW w:w="1352" w:type="dxa"/>
            <w:tcBorders>
              <w:top w:val="single" w:sz="4" w:space="0" w:color="auto"/>
              <w:left w:val="single" w:sz="4" w:space="0" w:color="auto"/>
              <w:bottom w:val="single" w:sz="4" w:space="0" w:color="auto"/>
              <w:right w:val="single" w:sz="4" w:space="0" w:color="auto"/>
            </w:tcBorders>
            <w:vAlign w:val="center"/>
            <w:hideMark/>
          </w:tcPr>
          <w:p w14:paraId="33BCF927" w14:textId="18AF7A9B" w:rsidR="00126E2E"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MDC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3AF1E16" w14:textId="77777777" w:rsidR="00126E2E" w:rsidRPr="00BE7F5C" w:rsidRDefault="00126E2E" w:rsidP="00126E2E">
            <w:pPr>
              <w:spacing w:line="312" w:lineRule="auto"/>
              <w:jc w:val="center"/>
              <w:rPr>
                <w:rFonts w:ascii="Times New Roman" w:hAnsi="Times New Roman" w:cs="Times New Roman"/>
                <w:b/>
                <w:bCs/>
                <w:sz w:val="26"/>
                <w:szCs w:val="26"/>
                <w:lang w:val="vi-VN"/>
              </w:rPr>
            </w:pPr>
            <w:r w:rsidRPr="00EC6124">
              <w:rPr>
                <w:rFonts w:ascii="Times New Roman" w:hAnsi="Times New Roman" w:cs="Times New Roman"/>
                <w:sz w:val="26"/>
                <w:szCs w:val="26"/>
              </w:rPr>
              <w:t>0,53</w:t>
            </w:r>
          </w:p>
        </w:tc>
        <w:tc>
          <w:tcPr>
            <w:tcW w:w="1134" w:type="dxa"/>
            <w:tcBorders>
              <w:top w:val="single" w:sz="4" w:space="0" w:color="auto"/>
              <w:left w:val="nil"/>
              <w:bottom w:val="single" w:sz="4" w:space="0" w:color="auto"/>
              <w:right w:val="single" w:sz="4" w:space="0" w:color="auto"/>
            </w:tcBorders>
            <w:vAlign w:val="center"/>
            <w:hideMark/>
          </w:tcPr>
          <w:p w14:paraId="202238CA"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0,55</w:t>
            </w:r>
          </w:p>
        </w:tc>
        <w:tc>
          <w:tcPr>
            <w:tcW w:w="1275" w:type="dxa"/>
            <w:tcBorders>
              <w:top w:val="single" w:sz="4" w:space="0" w:color="auto"/>
              <w:left w:val="nil"/>
              <w:bottom w:val="single" w:sz="4" w:space="0" w:color="auto"/>
              <w:right w:val="single" w:sz="4" w:space="0" w:color="auto"/>
            </w:tcBorders>
            <w:vAlign w:val="center"/>
            <w:hideMark/>
          </w:tcPr>
          <w:p w14:paraId="5BE96E87"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0,51</w:t>
            </w:r>
          </w:p>
        </w:tc>
        <w:tc>
          <w:tcPr>
            <w:tcW w:w="993" w:type="dxa"/>
            <w:tcBorders>
              <w:top w:val="single" w:sz="4" w:space="0" w:color="auto"/>
              <w:left w:val="nil"/>
              <w:bottom w:val="single" w:sz="4" w:space="0" w:color="auto"/>
              <w:right w:val="single" w:sz="4" w:space="0" w:color="auto"/>
            </w:tcBorders>
            <w:vAlign w:val="center"/>
            <w:hideMark/>
          </w:tcPr>
          <w:p w14:paraId="25422662"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0,88</w:t>
            </w:r>
          </w:p>
        </w:tc>
        <w:tc>
          <w:tcPr>
            <w:tcW w:w="1134" w:type="dxa"/>
            <w:tcBorders>
              <w:top w:val="single" w:sz="4" w:space="0" w:color="auto"/>
              <w:left w:val="nil"/>
              <w:bottom w:val="single" w:sz="4" w:space="0" w:color="auto"/>
              <w:right w:val="single" w:sz="4" w:space="0" w:color="auto"/>
            </w:tcBorders>
            <w:vAlign w:val="center"/>
            <w:hideMark/>
          </w:tcPr>
          <w:p w14:paraId="75C7424F"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0,68</w:t>
            </w:r>
          </w:p>
        </w:tc>
        <w:tc>
          <w:tcPr>
            <w:tcW w:w="1134" w:type="dxa"/>
            <w:tcBorders>
              <w:top w:val="single" w:sz="4" w:space="0" w:color="auto"/>
              <w:left w:val="nil"/>
              <w:bottom w:val="single" w:sz="4" w:space="0" w:color="auto"/>
              <w:right w:val="single" w:sz="4" w:space="0" w:color="auto"/>
            </w:tcBorders>
            <w:shd w:val="clear" w:color="auto" w:fill="auto"/>
            <w:vAlign w:val="center"/>
          </w:tcPr>
          <w:p w14:paraId="7847C030" w14:textId="77777777" w:rsidR="00126E2E" w:rsidRPr="00126E2E" w:rsidRDefault="00126E2E" w:rsidP="00126E2E">
            <w:pPr>
              <w:spacing w:line="312" w:lineRule="auto"/>
              <w:jc w:val="center"/>
              <w:rPr>
                <w:rFonts w:ascii="Times New Roman" w:hAnsi="Times New Roman" w:cs="Times New Roman"/>
                <w:sz w:val="28"/>
                <w:szCs w:val="28"/>
              </w:rPr>
            </w:pPr>
            <w:r w:rsidRPr="00126E2E">
              <w:rPr>
                <w:rFonts w:ascii="Times New Roman" w:hAnsi="Times New Roman" w:cs="Times New Roman"/>
                <w:color w:val="000000"/>
                <w:sz w:val="28"/>
                <w:szCs w:val="28"/>
              </w:rPr>
              <w:t>0,63</w:t>
            </w:r>
          </w:p>
        </w:tc>
      </w:tr>
      <w:tr w:rsidR="00126E2E" w:rsidRPr="00EC6124" w14:paraId="5CA26F27" w14:textId="77777777" w:rsidTr="0031049D">
        <w:trPr>
          <w:trHeight w:val="380"/>
        </w:trPr>
        <w:tc>
          <w:tcPr>
            <w:tcW w:w="633" w:type="dxa"/>
            <w:tcBorders>
              <w:top w:val="single" w:sz="4" w:space="0" w:color="auto"/>
              <w:left w:val="single" w:sz="4" w:space="0" w:color="auto"/>
              <w:bottom w:val="single" w:sz="4" w:space="0" w:color="auto"/>
              <w:right w:val="single" w:sz="4" w:space="0" w:color="auto"/>
            </w:tcBorders>
            <w:vAlign w:val="center"/>
          </w:tcPr>
          <w:p w14:paraId="1B74DFB4" w14:textId="77777777" w:rsidR="00126E2E" w:rsidRPr="009268DD" w:rsidRDefault="00126E2E" w:rsidP="00126E2E">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3</w:t>
            </w:r>
          </w:p>
        </w:tc>
        <w:tc>
          <w:tcPr>
            <w:tcW w:w="1352" w:type="dxa"/>
            <w:tcBorders>
              <w:top w:val="single" w:sz="4" w:space="0" w:color="auto"/>
              <w:left w:val="single" w:sz="4" w:space="0" w:color="auto"/>
              <w:bottom w:val="single" w:sz="4" w:space="0" w:color="auto"/>
              <w:right w:val="single" w:sz="4" w:space="0" w:color="auto"/>
            </w:tcBorders>
            <w:vAlign w:val="center"/>
            <w:hideMark/>
          </w:tcPr>
          <w:p w14:paraId="6DB6CAD7" w14:textId="188A5055" w:rsidR="00126E2E"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HLC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8907AC4" w14:textId="77777777" w:rsidR="00126E2E" w:rsidRPr="00EC6124" w:rsidRDefault="00126E2E" w:rsidP="00126E2E">
            <w:pPr>
              <w:spacing w:line="312" w:lineRule="auto"/>
              <w:jc w:val="center"/>
              <w:rPr>
                <w:rFonts w:ascii="Cambria Math" w:hAnsi="Cambria Math" w:cs="Times New Roman"/>
                <w:sz w:val="26"/>
                <w:szCs w:val="26"/>
                <w:oMath/>
              </w:rPr>
            </w:pPr>
            <w:r w:rsidRPr="00EC6124">
              <w:rPr>
                <w:rFonts w:ascii="Times New Roman" w:hAnsi="Times New Roman" w:cs="Times New Roman"/>
                <w:sz w:val="26"/>
                <w:szCs w:val="26"/>
              </w:rPr>
              <w:t>0,25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C270F7" w14:textId="77777777" w:rsidR="00126E2E" w:rsidRPr="00EC6124" w:rsidRDefault="00126E2E" w:rsidP="00126E2E">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0,91</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374A3AD"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0,70</w:t>
            </w:r>
          </w:p>
        </w:tc>
        <w:tc>
          <w:tcPr>
            <w:tcW w:w="993" w:type="dxa"/>
            <w:tcBorders>
              <w:top w:val="single" w:sz="4" w:space="0" w:color="auto"/>
              <w:left w:val="single" w:sz="4" w:space="0" w:color="auto"/>
              <w:bottom w:val="single" w:sz="4" w:space="0" w:color="auto"/>
              <w:right w:val="single" w:sz="4" w:space="0" w:color="auto"/>
            </w:tcBorders>
            <w:vAlign w:val="center"/>
            <w:hideMark/>
          </w:tcPr>
          <w:p w14:paraId="1CB7E5B6"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5F443FE"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0,96</w:t>
            </w:r>
          </w:p>
        </w:tc>
        <w:tc>
          <w:tcPr>
            <w:tcW w:w="1134" w:type="dxa"/>
            <w:tcBorders>
              <w:top w:val="single" w:sz="4" w:space="0" w:color="auto"/>
              <w:left w:val="nil"/>
              <w:bottom w:val="single" w:sz="4" w:space="0" w:color="auto"/>
              <w:right w:val="single" w:sz="4" w:space="0" w:color="auto"/>
            </w:tcBorders>
            <w:shd w:val="clear" w:color="auto" w:fill="auto"/>
            <w:vAlign w:val="center"/>
          </w:tcPr>
          <w:p w14:paraId="16E14F0D" w14:textId="77777777" w:rsidR="00126E2E" w:rsidRPr="00126E2E" w:rsidRDefault="00126E2E" w:rsidP="00126E2E">
            <w:pPr>
              <w:spacing w:line="312" w:lineRule="auto"/>
              <w:jc w:val="center"/>
              <w:rPr>
                <w:rFonts w:ascii="Times New Roman" w:hAnsi="Times New Roman" w:cs="Times New Roman"/>
                <w:sz w:val="28"/>
                <w:szCs w:val="28"/>
              </w:rPr>
            </w:pPr>
            <w:r w:rsidRPr="00126E2E">
              <w:rPr>
                <w:rFonts w:ascii="Times New Roman" w:hAnsi="Times New Roman" w:cs="Times New Roman"/>
                <w:color w:val="000000"/>
                <w:sz w:val="28"/>
                <w:szCs w:val="28"/>
              </w:rPr>
              <w:t>0,69</w:t>
            </w:r>
          </w:p>
        </w:tc>
      </w:tr>
      <w:tr w:rsidR="00126E2E" w:rsidRPr="00EC6124" w14:paraId="6F5F11BE" w14:textId="77777777" w:rsidTr="0031049D">
        <w:trPr>
          <w:trHeight w:val="330"/>
        </w:trPr>
        <w:tc>
          <w:tcPr>
            <w:tcW w:w="633" w:type="dxa"/>
            <w:tcBorders>
              <w:top w:val="single" w:sz="4" w:space="0" w:color="auto"/>
              <w:left w:val="single" w:sz="4" w:space="0" w:color="auto"/>
              <w:bottom w:val="single" w:sz="4" w:space="0" w:color="auto"/>
              <w:right w:val="single" w:sz="4" w:space="0" w:color="auto"/>
            </w:tcBorders>
            <w:vAlign w:val="center"/>
          </w:tcPr>
          <w:p w14:paraId="5E8F054E" w14:textId="77777777" w:rsidR="00126E2E" w:rsidRPr="009268DD" w:rsidRDefault="00126E2E" w:rsidP="00126E2E">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4</w:t>
            </w:r>
          </w:p>
        </w:tc>
        <w:tc>
          <w:tcPr>
            <w:tcW w:w="1352" w:type="dxa"/>
            <w:tcBorders>
              <w:top w:val="single" w:sz="4" w:space="0" w:color="auto"/>
              <w:left w:val="single" w:sz="4" w:space="0" w:color="auto"/>
              <w:bottom w:val="single" w:sz="4" w:space="0" w:color="auto"/>
              <w:right w:val="single" w:sz="4" w:space="0" w:color="auto"/>
            </w:tcBorders>
            <w:vAlign w:val="center"/>
            <w:hideMark/>
          </w:tcPr>
          <w:p w14:paraId="2FCB6EE2" w14:textId="0FA9CE87" w:rsidR="00126E2E"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THT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A699D02"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B92574"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1,24</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9DE90CE"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0,81</w:t>
            </w:r>
          </w:p>
        </w:tc>
        <w:tc>
          <w:tcPr>
            <w:tcW w:w="993" w:type="dxa"/>
            <w:tcBorders>
              <w:top w:val="single" w:sz="4" w:space="0" w:color="auto"/>
              <w:left w:val="single" w:sz="4" w:space="0" w:color="auto"/>
              <w:bottom w:val="single" w:sz="4" w:space="0" w:color="auto"/>
              <w:right w:val="single" w:sz="4" w:space="0" w:color="auto"/>
            </w:tcBorders>
            <w:vAlign w:val="center"/>
            <w:hideMark/>
          </w:tcPr>
          <w:p w14:paraId="7A661B7B"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39260F"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0,72</w:t>
            </w:r>
          </w:p>
        </w:tc>
        <w:tc>
          <w:tcPr>
            <w:tcW w:w="1134" w:type="dxa"/>
            <w:tcBorders>
              <w:top w:val="single" w:sz="4" w:space="0" w:color="auto"/>
              <w:left w:val="nil"/>
              <w:bottom w:val="single" w:sz="4" w:space="0" w:color="auto"/>
              <w:right w:val="single" w:sz="4" w:space="0" w:color="auto"/>
            </w:tcBorders>
            <w:shd w:val="clear" w:color="auto" w:fill="auto"/>
            <w:vAlign w:val="center"/>
          </w:tcPr>
          <w:p w14:paraId="3D75E856" w14:textId="77777777" w:rsidR="00126E2E" w:rsidRPr="00126E2E" w:rsidRDefault="00126E2E" w:rsidP="00126E2E">
            <w:pPr>
              <w:spacing w:line="312" w:lineRule="auto"/>
              <w:jc w:val="center"/>
              <w:rPr>
                <w:rFonts w:ascii="Times New Roman" w:hAnsi="Times New Roman" w:cs="Times New Roman"/>
                <w:sz w:val="28"/>
                <w:szCs w:val="28"/>
              </w:rPr>
            </w:pPr>
            <w:r w:rsidRPr="00126E2E">
              <w:rPr>
                <w:rFonts w:ascii="Times New Roman" w:hAnsi="Times New Roman" w:cs="Times New Roman"/>
                <w:color w:val="000000"/>
                <w:sz w:val="28"/>
                <w:szCs w:val="28"/>
              </w:rPr>
              <w:t>0,90</w:t>
            </w:r>
          </w:p>
        </w:tc>
      </w:tr>
      <w:tr w:rsidR="00126E2E" w:rsidRPr="00EC6124" w14:paraId="37257703" w14:textId="77777777" w:rsidTr="0031049D">
        <w:trPr>
          <w:trHeight w:val="330"/>
        </w:trPr>
        <w:tc>
          <w:tcPr>
            <w:tcW w:w="633" w:type="dxa"/>
            <w:tcBorders>
              <w:top w:val="single" w:sz="4" w:space="0" w:color="auto"/>
              <w:left w:val="single" w:sz="4" w:space="0" w:color="auto"/>
              <w:bottom w:val="single" w:sz="4" w:space="0" w:color="auto"/>
              <w:right w:val="single" w:sz="4" w:space="0" w:color="auto"/>
            </w:tcBorders>
            <w:vAlign w:val="center"/>
          </w:tcPr>
          <w:p w14:paraId="2D389272" w14:textId="77777777" w:rsidR="00126E2E" w:rsidRPr="009268DD" w:rsidRDefault="00126E2E" w:rsidP="00126E2E">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5</w:t>
            </w:r>
          </w:p>
        </w:tc>
        <w:tc>
          <w:tcPr>
            <w:tcW w:w="1352" w:type="dxa"/>
            <w:tcBorders>
              <w:top w:val="single" w:sz="4" w:space="0" w:color="auto"/>
              <w:left w:val="single" w:sz="4" w:space="0" w:color="auto"/>
              <w:bottom w:val="single" w:sz="4" w:space="0" w:color="auto"/>
              <w:right w:val="single" w:sz="4" w:space="0" w:color="auto"/>
            </w:tcBorders>
            <w:vAlign w:val="center"/>
            <w:hideMark/>
          </w:tcPr>
          <w:p w14:paraId="6E56F2F5" w14:textId="26D5AB39" w:rsidR="00126E2E"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NBC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8B38F27"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0,62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B877F3E"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0,64</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8295094"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0,52</w:t>
            </w:r>
          </w:p>
        </w:tc>
        <w:tc>
          <w:tcPr>
            <w:tcW w:w="993" w:type="dxa"/>
            <w:tcBorders>
              <w:top w:val="single" w:sz="4" w:space="0" w:color="auto"/>
              <w:left w:val="single" w:sz="4" w:space="0" w:color="auto"/>
              <w:bottom w:val="single" w:sz="4" w:space="0" w:color="auto"/>
              <w:right w:val="single" w:sz="4" w:space="0" w:color="auto"/>
            </w:tcBorders>
            <w:vAlign w:val="center"/>
            <w:hideMark/>
          </w:tcPr>
          <w:p w14:paraId="44051C8D"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0,60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251E73" w14:textId="77777777" w:rsidR="00126E2E" w:rsidRPr="00EC6124" w:rsidRDefault="00126E2E" w:rsidP="00126E2E">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0,51</w:t>
            </w:r>
          </w:p>
        </w:tc>
        <w:tc>
          <w:tcPr>
            <w:tcW w:w="1134" w:type="dxa"/>
            <w:tcBorders>
              <w:top w:val="single" w:sz="4" w:space="0" w:color="auto"/>
              <w:left w:val="nil"/>
              <w:bottom w:val="single" w:sz="4" w:space="0" w:color="auto"/>
              <w:right w:val="single" w:sz="4" w:space="0" w:color="auto"/>
            </w:tcBorders>
            <w:shd w:val="clear" w:color="auto" w:fill="auto"/>
            <w:vAlign w:val="center"/>
          </w:tcPr>
          <w:p w14:paraId="120DD15C" w14:textId="77777777" w:rsidR="00126E2E" w:rsidRPr="00126E2E" w:rsidRDefault="00126E2E" w:rsidP="00126E2E">
            <w:pPr>
              <w:spacing w:line="312" w:lineRule="auto"/>
              <w:jc w:val="center"/>
              <w:rPr>
                <w:rFonts w:ascii="Times New Roman" w:hAnsi="Times New Roman" w:cs="Times New Roman"/>
                <w:sz w:val="28"/>
                <w:szCs w:val="28"/>
              </w:rPr>
            </w:pPr>
            <w:r w:rsidRPr="00126E2E">
              <w:rPr>
                <w:rFonts w:ascii="Times New Roman" w:hAnsi="Times New Roman" w:cs="Times New Roman"/>
                <w:color w:val="000000"/>
                <w:sz w:val="28"/>
                <w:szCs w:val="28"/>
              </w:rPr>
              <w:t>0,58</w:t>
            </w:r>
          </w:p>
        </w:tc>
      </w:tr>
    </w:tbl>
    <w:p w14:paraId="50530C34" w14:textId="325F2A77" w:rsidR="007320CF" w:rsidRPr="007320CF" w:rsidRDefault="0031049D" w:rsidP="00533E45">
      <w:pPr>
        <w:spacing w:after="160" w:line="278" w:lineRule="auto"/>
        <w:jc w:val="right"/>
        <w:rPr>
          <w:rFonts w:ascii="Times New Roman" w:hAnsi="Times New Roman" w:cs="Times New Roman"/>
          <w:bCs/>
          <w:i/>
          <w:sz w:val="26"/>
          <w:szCs w:val="26"/>
          <w:lang w:val="vi-VN"/>
        </w:rPr>
      </w:pPr>
      <w:r w:rsidRPr="0031049D">
        <w:rPr>
          <w:rFonts w:ascii="Times New Roman" w:hAnsi="Times New Roman" w:cs="Times New Roman"/>
          <w:bCs/>
          <w:i/>
          <w:sz w:val="26"/>
          <w:szCs w:val="26"/>
        </w:rPr>
        <w:t>(Nguồn: Tổng hợp từ BCTC các công ty giai đoạn 2019-2023)</w:t>
      </w:r>
    </w:p>
    <w:p w14:paraId="77E1FC50" w14:textId="51F182F6" w:rsidR="00126E2E" w:rsidRPr="003331B9" w:rsidRDefault="00B77808" w:rsidP="00126E2E">
      <w:pPr>
        <w:spacing w:after="160" w:line="278" w:lineRule="auto"/>
        <w:rPr>
          <w:rFonts w:ascii="Times New Roman" w:hAnsi="Times New Roman" w:cs="Times New Roman"/>
          <w:bCs/>
          <w:sz w:val="26"/>
          <w:szCs w:val="26"/>
          <w:lang w:val="vi-VN"/>
        </w:rPr>
      </w:pPr>
      <w:r>
        <w:rPr>
          <w:rFonts w:ascii="Times New Roman" w:hAnsi="Times New Roman" w:cs="Times New Roman"/>
          <w:b/>
          <w:noProof/>
          <w:color w:val="FF0000"/>
          <w:sz w:val="26"/>
          <w:szCs w:val="26"/>
          <w:lang w:eastAsia="en-US"/>
        </w:rPr>
        <w:lastRenderedPageBreak/>
        <w:drawing>
          <wp:inline distT="0" distB="0" distL="0" distR="0" wp14:anchorId="51CAAB4A" wp14:editId="4EFFB828">
            <wp:extent cx="5760720" cy="2964180"/>
            <wp:effectExtent l="0" t="0" r="11430" b="7620"/>
            <wp:docPr id="127964349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01F272D4" w14:textId="3F216DA8" w:rsidR="0002299B" w:rsidRPr="00F22BA5" w:rsidRDefault="0002299B" w:rsidP="00913F0A">
      <w:pPr>
        <w:spacing w:line="312" w:lineRule="auto"/>
        <w:ind w:firstLine="720"/>
        <w:jc w:val="both"/>
        <w:rPr>
          <w:rFonts w:ascii="Times New Roman" w:hAnsi="Times New Roman" w:cs="Times New Roman"/>
          <w:i/>
          <w:iCs/>
          <w:sz w:val="26"/>
          <w:szCs w:val="26"/>
          <w:lang w:val="vi-VN"/>
        </w:rPr>
      </w:pPr>
      <w:r w:rsidRPr="00913F0A">
        <w:rPr>
          <w:rFonts w:ascii="Times New Roman" w:hAnsi="Times New Roman" w:cs="Times New Roman"/>
          <w:iCs/>
          <w:sz w:val="26"/>
          <w:szCs w:val="26"/>
          <w:lang w:val="vi-VN"/>
        </w:rPr>
        <w:t>Giai đoạ</w:t>
      </w:r>
      <w:r w:rsidR="0014204A" w:rsidRPr="00913F0A">
        <w:rPr>
          <w:rFonts w:ascii="Times New Roman" w:hAnsi="Times New Roman" w:cs="Times New Roman"/>
          <w:iCs/>
          <w:sz w:val="26"/>
          <w:szCs w:val="26"/>
          <w:lang w:val="vi-VN"/>
        </w:rPr>
        <w:t>n 2019-20</w:t>
      </w:r>
      <w:r w:rsidR="0014204A" w:rsidRPr="00F22BA5">
        <w:rPr>
          <w:rFonts w:ascii="Times New Roman" w:hAnsi="Times New Roman" w:cs="Times New Roman"/>
          <w:iCs/>
          <w:sz w:val="26"/>
          <w:szCs w:val="26"/>
          <w:lang w:val="vi-VN"/>
        </w:rPr>
        <w:t xml:space="preserve">23: Hệ số thanh toán hiện hành của các công nhìn chung có sự biến động khá lớn. CTCP than Vàng Danh ghi nhận sự tăng lên từ 0,63 lên 1,26 và bình quân là 0,91. Đây cũng là đơn vị có hệ số khả năng thanh toán hiện hành lớn nhất trong số các CTCP nêu trên. Điều này cho thấy CTCP than Vàng Danh là đơn vị có khả năng thanh toán ngắn hạn khá tốt. Đứng sau đó là Công ty CP than Hà Tu có hệ số thanh toán hiện hành bình quân là 0,9. Mặc dù năm 2023, Hệ số khả năng thanh toán hiện hành của Công ty chỉ đạt 0,72 và có xu hướng giảm dần. Cho thấy đơn vị gặp khó khăn trong thanh toán ngắn hạn. Các đơn vị còn lại như CTCP than Mông Dương, CTCP than Hà Lầm, CTCP than Núi Béo có hệ số trung bình </w:t>
      </w:r>
      <w:r w:rsidR="00913F0A" w:rsidRPr="00F22BA5">
        <w:rPr>
          <w:rFonts w:ascii="Times New Roman" w:hAnsi="Times New Roman" w:cs="Times New Roman"/>
          <w:iCs/>
          <w:sz w:val="26"/>
          <w:szCs w:val="26"/>
          <w:lang w:val="vi-VN"/>
        </w:rPr>
        <w:t xml:space="preserve">trong giai đoạn 2019-2023 </w:t>
      </w:r>
      <w:r w:rsidR="0014204A" w:rsidRPr="00F22BA5">
        <w:rPr>
          <w:rFonts w:ascii="Times New Roman" w:hAnsi="Times New Roman" w:cs="Times New Roman"/>
          <w:iCs/>
          <w:sz w:val="26"/>
          <w:szCs w:val="26"/>
          <w:lang w:val="vi-VN"/>
        </w:rPr>
        <w:t xml:space="preserve">giao động từ 0,58 đến </w:t>
      </w:r>
      <w:r w:rsidR="00913F0A" w:rsidRPr="00F22BA5">
        <w:rPr>
          <w:rFonts w:ascii="Times New Roman" w:hAnsi="Times New Roman" w:cs="Times New Roman"/>
          <w:iCs/>
          <w:sz w:val="26"/>
          <w:szCs w:val="26"/>
          <w:lang w:val="vi-VN"/>
        </w:rPr>
        <w:t xml:space="preserve">0,69 cho thấy đây là những đơn vị có khả năng thanh toán ngắn hạn thấp. Điều này cho thấy việc thanh toán các khoản nợ bằng tài sản ngắn hạn của các đơn vị gặp nhiều có khăn, có nguy cơ ảnh hưởng tới an toàn tài chính của các doanh nghiệp này. Nhìn chung các công ty đều có sự cải thiện nhỏ hệ số khả năng thanh toán ngắn hạn. Tuy nhiên, </w:t>
      </w:r>
      <w:r w:rsidRPr="00913F0A">
        <w:rPr>
          <w:rFonts w:ascii="Times New Roman" w:hAnsi="Times New Roman" w:cs="Times New Roman"/>
          <w:sz w:val="26"/>
          <w:szCs w:val="26"/>
          <w:lang w:val="vi-VN"/>
        </w:rPr>
        <w:t>các công ty này vẫn chưa đạt mức hệ số lý tưởng (1), cho thấy vẫn còn tồn tại rủi ro thanh toán nợ ngắn hạn.</w:t>
      </w:r>
      <w:r w:rsidR="00913F0A" w:rsidRPr="00F22BA5">
        <w:rPr>
          <w:rFonts w:ascii="Times New Roman" w:hAnsi="Times New Roman" w:cs="Times New Roman"/>
          <w:iCs/>
          <w:sz w:val="26"/>
          <w:szCs w:val="26"/>
          <w:lang w:val="vi-VN"/>
        </w:rPr>
        <w:t xml:space="preserve"> Một số</w:t>
      </w:r>
      <w:r w:rsidR="00344FD4" w:rsidRPr="00F22BA5">
        <w:rPr>
          <w:rFonts w:ascii="Times New Roman" w:hAnsi="Times New Roman" w:cs="Times New Roman"/>
          <w:iCs/>
          <w:sz w:val="26"/>
          <w:szCs w:val="26"/>
          <w:lang w:val="vi-VN"/>
        </w:rPr>
        <w:t xml:space="preserve"> </w:t>
      </w:r>
      <w:r w:rsidR="00913F0A" w:rsidRPr="00F22BA5">
        <w:rPr>
          <w:rFonts w:ascii="Times New Roman" w:hAnsi="Times New Roman" w:cs="Times New Roman"/>
          <w:iCs/>
          <w:sz w:val="26"/>
          <w:szCs w:val="26"/>
          <w:lang w:val="vi-VN"/>
        </w:rPr>
        <w:t xml:space="preserve">đơn vị phải </w:t>
      </w:r>
      <w:r w:rsidRPr="00913F0A">
        <w:rPr>
          <w:rFonts w:ascii="Times New Roman" w:hAnsi="Times New Roman" w:cs="Times New Roman"/>
          <w:sz w:val="26"/>
          <w:szCs w:val="26"/>
          <w:lang w:val="vi-VN"/>
        </w:rPr>
        <w:t>đối</w:t>
      </w:r>
      <w:r w:rsidRPr="0002299B">
        <w:rPr>
          <w:rFonts w:ascii="Times New Roman" w:hAnsi="Times New Roman" w:cs="Times New Roman"/>
          <w:sz w:val="26"/>
          <w:szCs w:val="26"/>
          <w:lang w:val="vi-VN"/>
        </w:rPr>
        <w:t xml:space="preserve"> mặt với khó khăn trong </w:t>
      </w:r>
      <w:r w:rsidR="00913F0A" w:rsidRPr="00F22BA5">
        <w:rPr>
          <w:rFonts w:ascii="Times New Roman" w:hAnsi="Times New Roman" w:cs="Times New Roman"/>
          <w:sz w:val="26"/>
          <w:szCs w:val="26"/>
          <w:lang w:val="vi-VN"/>
        </w:rPr>
        <w:t xml:space="preserve">thanh toán </w:t>
      </w:r>
      <w:r w:rsidRPr="0002299B">
        <w:rPr>
          <w:rFonts w:ascii="Times New Roman" w:hAnsi="Times New Roman" w:cs="Times New Roman"/>
          <w:sz w:val="26"/>
          <w:szCs w:val="26"/>
          <w:lang w:val="vi-VN"/>
        </w:rPr>
        <w:t xml:space="preserve">nợ ngắn hạn, </w:t>
      </w:r>
      <w:r w:rsidR="00344FD4" w:rsidRPr="00F22BA5">
        <w:rPr>
          <w:rFonts w:ascii="Times New Roman" w:hAnsi="Times New Roman" w:cs="Times New Roman"/>
          <w:sz w:val="26"/>
          <w:szCs w:val="26"/>
          <w:lang w:val="vi-VN"/>
        </w:rPr>
        <w:t>đây cũng là thực tế của các đơn vị ngành than thường có khoản nợ ngắn hạn rất cao, trong khi lượng tài sản ngắn hạn nhỏ nên dẫn tới tình trạng này.</w:t>
      </w:r>
    </w:p>
    <w:p w14:paraId="19968B23" w14:textId="0F98A741" w:rsidR="0002299B" w:rsidRPr="00F22BA5" w:rsidRDefault="00913F0A" w:rsidP="00913F0A">
      <w:pPr>
        <w:spacing w:line="312" w:lineRule="auto"/>
        <w:jc w:val="both"/>
        <w:rPr>
          <w:rFonts w:ascii="Times New Roman" w:hAnsi="Times New Roman" w:cs="Times New Roman"/>
          <w:sz w:val="26"/>
          <w:szCs w:val="26"/>
          <w:lang w:val="vi-VN"/>
        </w:rPr>
      </w:pPr>
      <w:r w:rsidRPr="00F22BA5">
        <w:rPr>
          <w:rFonts w:ascii="Times New Roman" w:hAnsi="Times New Roman" w:cs="Times New Roman"/>
          <w:bCs/>
          <w:i/>
          <w:iCs/>
          <w:sz w:val="26"/>
          <w:szCs w:val="26"/>
          <w:lang w:val="vi-VN"/>
        </w:rPr>
        <w:t xml:space="preserve">Như vậy, </w:t>
      </w:r>
      <w:r w:rsidR="0002299B" w:rsidRPr="00AF3D5D">
        <w:rPr>
          <w:rFonts w:ascii="Times New Roman" w:hAnsi="Times New Roman" w:cs="Times New Roman"/>
          <w:sz w:val="26"/>
          <w:szCs w:val="26"/>
          <w:lang w:val="vi-VN"/>
        </w:rPr>
        <w:t>Hệ số thanh toán hiện hành là thước đo cốt lõi phản ánh khả năng thanh khoản ngắn hạn và hiệu quả quản trị vốn lưu động</w:t>
      </w:r>
      <w:r w:rsidRPr="00F22BA5">
        <w:rPr>
          <w:rFonts w:ascii="Times New Roman" w:hAnsi="Times New Roman" w:cs="Times New Roman"/>
          <w:sz w:val="26"/>
          <w:szCs w:val="26"/>
          <w:lang w:val="vi-VN"/>
        </w:rPr>
        <w:t xml:space="preserve"> của doanh nghiệp</w:t>
      </w:r>
      <w:r w:rsidR="0002299B" w:rsidRPr="00AF3D5D">
        <w:rPr>
          <w:rFonts w:ascii="Times New Roman" w:hAnsi="Times New Roman" w:cs="Times New Roman"/>
          <w:sz w:val="26"/>
          <w:szCs w:val="26"/>
          <w:lang w:val="vi-VN"/>
        </w:rPr>
        <w:t>. Nhìn một cách tổng thể, có thể chia nhóm doanh nghiệp thành ba xu hướng: nhóm cải thiện mạnh và bền vững (Than Vàng Danh), nhóm hồi phục nhưng chưa ổn định (Than Hà Lầm), và nhóm suy giảm hoặc thiếu ổn đị</w:t>
      </w:r>
      <w:r>
        <w:rPr>
          <w:rFonts w:ascii="Times New Roman" w:hAnsi="Times New Roman" w:cs="Times New Roman"/>
          <w:sz w:val="26"/>
          <w:szCs w:val="26"/>
          <w:lang w:val="vi-VN"/>
        </w:rPr>
        <w:t>nh (Hà Tu, Mông Dương, Núi Béo)</w:t>
      </w:r>
      <w:r w:rsidR="0002299B" w:rsidRPr="00AF3D5D">
        <w:rPr>
          <w:rFonts w:ascii="Times New Roman" w:hAnsi="Times New Roman" w:cs="Times New Roman"/>
          <w:sz w:val="26"/>
          <w:szCs w:val="26"/>
          <w:lang w:val="vi-VN"/>
        </w:rPr>
        <w:t xml:space="preserve">. </w:t>
      </w:r>
      <w:r w:rsidR="0002299B" w:rsidRPr="00AF3D5D">
        <w:rPr>
          <w:rFonts w:ascii="Times New Roman" w:hAnsi="Times New Roman" w:cs="Times New Roman"/>
          <w:sz w:val="26"/>
          <w:szCs w:val="26"/>
          <w:lang w:val="vi-VN"/>
        </w:rPr>
        <w:lastRenderedPageBreak/>
        <w:t xml:space="preserve">Việc duy trì hệ số này ở mức an toàn không chỉ giúp doanh nghiệp ổn định tài chính mà còn nâng cao năng lực </w:t>
      </w:r>
      <w:r w:rsidRPr="00F22BA5">
        <w:rPr>
          <w:rFonts w:ascii="Times New Roman" w:hAnsi="Times New Roman" w:cs="Times New Roman"/>
          <w:sz w:val="26"/>
          <w:szCs w:val="26"/>
          <w:lang w:val="vi-VN"/>
        </w:rPr>
        <w:t>quản lý tài sản ngắn hạn và nợ ngắn hạn của doanh nghiệp</w:t>
      </w:r>
      <w:r w:rsidR="0002299B" w:rsidRPr="00AF3D5D">
        <w:rPr>
          <w:rFonts w:ascii="Times New Roman" w:hAnsi="Times New Roman" w:cs="Times New Roman"/>
          <w:sz w:val="26"/>
          <w:szCs w:val="26"/>
          <w:lang w:val="vi-VN"/>
        </w:rPr>
        <w:t xml:space="preserve"> và cũng là yếu tố </w:t>
      </w:r>
      <w:r w:rsidR="00222BEF" w:rsidRPr="00F22BA5">
        <w:rPr>
          <w:rFonts w:ascii="Times New Roman" w:hAnsi="Times New Roman" w:cs="Times New Roman"/>
          <w:sz w:val="26"/>
          <w:szCs w:val="26"/>
          <w:lang w:val="vi-VN"/>
        </w:rPr>
        <w:t>đảm bảo</w:t>
      </w:r>
      <w:r w:rsidR="0002299B" w:rsidRPr="00AF3D5D">
        <w:rPr>
          <w:rFonts w:ascii="Times New Roman" w:hAnsi="Times New Roman" w:cs="Times New Roman"/>
          <w:sz w:val="26"/>
          <w:szCs w:val="26"/>
          <w:lang w:val="vi-VN"/>
        </w:rPr>
        <w:t xml:space="preserve"> cho sự phát triển bền vững của các doanh nghiệp </w:t>
      </w:r>
      <w:r w:rsidR="00222BEF" w:rsidRPr="00F22BA5">
        <w:rPr>
          <w:rFonts w:ascii="Times New Roman" w:hAnsi="Times New Roman" w:cs="Times New Roman"/>
          <w:sz w:val="26"/>
          <w:szCs w:val="26"/>
          <w:lang w:val="vi-VN"/>
        </w:rPr>
        <w:t>trong tương lai.</w:t>
      </w:r>
    </w:p>
    <w:p w14:paraId="083427B0" w14:textId="35B67BC8" w:rsidR="0002299B" w:rsidRPr="0002299B" w:rsidRDefault="00DA4446" w:rsidP="008A5BBD">
      <w:pPr>
        <w:pStyle w:val="p3"/>
      </w:pPr>
      <w:bookmarkStart w:id="163" w:name="_Toc197781174"/>
      <w:bookmarkStart w:id="164" w:name="_Toc197781457"/>
      <w:bookmarkStart w:id="165" w:name="_Toc198281668"/>
      <w:bookmarkStart w:id="166" w:name="_Toc198284453"/>
      <w:bookmarkStart w:id="167" w:name="_Toc198284831"/>
      <w:bookmarkStart w:id="168" w:name="_Toc198709983"/>
      <w:r w:rsidRPr="00F22BA5">
        <w:t>+</w:t>
      </w:r>
      <w:r w:rsidR="0002299B" w:rsidRPr="0002299B">
        <w:t xml:space="preserve"> Hệ số </w:t>
      </w:r>
      <w:r w:rsidR="00423C0C">
        <w:t xml:space="preserve">khả năng </w:t>
      </w:r>
      <w:r w:rsidR="0002299B" w:rsidRPr="0002299B">
        <w:t>thanh toán nhanh</w:t>
      </w:r>
      <w:bookmarkEnd w:id="163"/>
      <w:bookmarkEnd w:id="164"/>
      <w:bookmarkEnd w:id="165"/>
      <w:bookmarkEnd w:id="166"/>
      <w:bookmarkEnd w:id="167"/>
      <w:bookmarkEnd w:id="168"/>
    </w:p>
    <w:p w14:paraId="77EC7A5E" w14:textId="004E70EA" w:rsidR="007320CF" w:rsidRPr="009C5163" w:rsidRDefault="0002299B" w:rsidP="009C5163">
      <w:pPr>
        <w:spacing w:line="312" w:lineRule="auto"/>
        <w:ind w:firstLine="720"/>
        <w:jc w:val="both"/>
        <w:rPr>
          <w:rFonts w:ascii="Times New Roman" w:hAnsi="Times New Roman" w:cs="Times New Roman"/>
          <w:sz w:val="26"/>
          <w:szCs w:val="26"/>
        </w:rPr>
      </w:pPr>
      <w:r w:rsidRPr="0002299B">
        <w:rPr>
          <w:rFonts w:ascii="Times New Roman" w:hAnsi="Times New Roman" w:cs="Times New Roman"/>
          <w:sz w:val="26"/>
          <w:szCs w:val="26"/>
          <w:lang w:val="vi-VN"/>
        </w:rPr>
        <w:t>Doanh nghiệp cần tính hệ số thanh toán nhanh để phản ánh chính xác khả năng thanh toán ngay các khoản nợ ngắn hạn bằng tài sản dễ chuyển đổi như tiền và các khoản phải thu, không bao gồm hàng tồn kho. Do đặc thù ngành khai khoáng thường có lượng tồn kho lớn, hệ số này giúp đánh giá năng lực tài chính thực tế và mức độ an toàn trong ngắn hạn</w:t>
      </w:r>
      <w:r w:rsidR="00344FD4" w:rsidRPr="00F22BA5">
        <w:rPr>
          <w:rFonts w:ascii="Times New Roman" w:hAnsi="Times New Roman" w:cs="Times New Roman"/>
          <w:sz w:val="26"/>
          <w:szCs w:val="26"/>
          <w:lang w:val="vi-VN"/>
        </w:rPr>
        <w:t xml:space="preserve"> </w:t>
      </w:r>
      <w:r w:rsidR="00344FD4" w:rsidRPr="00111E4D">
        <w:rPr>
          <w:rFonts w:ascii="Times New Roman" w:hAnsi="Times New Roman" w:cs="Times New Roman"/>
          <w:sz w:val="26"/>
          <w:szCs w:val="26"/>
          <w:lang w:val="vi-VN"/>
        </w:rPr>
        <w:t>bằng những tài sản ngắn hạn nhanh chóng chuyển đổi thành tiền</w:t>
      </w:r>
      <w:r w:rsidRPr="00111E4D">
        <w:rPr>
          <w:rFonts w:ascii="Times New Roman" w:hAnsi="Times New Roman" w:cs="Times New Roman"/>
          <w:sz w:val="26"/>
          <w:szCs w:val="26"/>
          <w:lang w:val="vi-VN"/>
        </w:rPr>
        <w:t>.</w:t>
      </w:r>
    </w:p>
    <w:p w14:paraId="0B2BEE22" w14:textId="0E233672" w:rsidR="0002299B" w:rsidRDefault="0002299B" w:rsidP="0002299B">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Bả</w:t>
      </w:r>
      <w:r w:rsidR="00621F59">
        <w:rPr>
          <w:rFonts w:ascii="Times New Roman" w:hAnsi="Times New Roman" w:cs="Times New Roman"/>
          <w:b/>
          <w:sz w:val="26"/>
          <w:szCs w:val="26"/>
          <w:lang w:val="vi-VN"/>
        </w:rPr>
        <w:t xml:space="preserve">ng </w:t>
      </w:r>
      <w:r w:rsidR="00621F59" w:rsidRPr="00F22BA5">
        <w:rPr>
          <w:rFonts w:ascii="Times New Roman" w:hAnsi="Times New Roman" w:cs="Times New Roman"/>
          <w:b/>
          <w:sz w:val="26"/>
          <w:szCs w:val="26"/>
          <w:lang w:val="vi-VN"/>
        </w:rPr>
        <w:t>2.4</w:t>
      </w:r>
      <w:r w:rsidRPr="0002299B">
        <w:rPr>
          <w:rFonts w:ascii="Times New Roman" w:hAnsi="Times New Roman" w:cs="Times New Roman"/>
          <w:b/>
          <w:sz w:val="26"/>
          <w:szCs w:val="26"/>
          <w:lang w:val="vi-VN"/>
        </w:rPr>
        <w:t xml:space="preserve">. Hệ số khả năng thanh toán nhanh của các CTCP niêm yết </w:t>
      </w:r>
    </w:p>
    <w:p w14:paraId="4DE17C92" w14:textId="5D267F62" w:rsidR="0002299B" w:rsidRDefault="0002299B" w:rsidP="0002299B">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thuộc TKV</w:t>
      </w:r>
      <w:r>
        <w:rPr>
          <w:rFonts w:ascii="Times New Roman" w:hAnsi="Times New Roman" w:cs="Times New Roman"/>
          <w:b/>
          <w:sz w:val="26"/>
          <w:szCs w:val="26"/>
          <w:lang w:val="vi-VN"/>
        </w:rPr>
        <w:t xml:space="preserve"> giai đoạn 2019 – 2023</w:t>
      </w:r>
    </w:p>
    <w:tbl>
      <w:tblPr>
        <w:tblStyle w:val="TableGrid"/>
        <w:tblW w:w="7824" w:type="dxa"/>
        <w:tblInd w:w="818" w:type="dxa"/>
        <w:tblLayout w:type="fixed"/>
        <w:tblLook w:val="04A0" w:firstRow="1" w:lastRow="0" w:firstColumn="1" w:lastColumn="0" w:noHBand="0" w:noVBand="1"/>
      </w:tblPr>
      <w:tblGrid>
        <w:gridCol w:w="709"/>
        <w:gridCol w:w="1162"/>
        <w:gridCol w:w="850"/>
        <w:gridCol w:w="823"/>
        <w:gridCol w:w="850"/>
        <w:gridCol w:w="992"/>
        <w:gridCol w:w="993"/>
        <w:gridCol w:w="1445"/>
      </w:tblGrid>
      <w:tr w:rsidR="004E1831" w:rsidRPr="00EC6124" w14:paraId="50FCCF23" w14:textId="77777777" w:rsidTr="00111E4D">
        <w:trPr>
          <w:trHeight w:val="286"/>
        </w:trPr>
        <w:tc>
          <w:tcPr>
            <w:tcW w:w="709" w:type="dxa"/>
            <w:tcBorders>
              <w:top w:val="single" w:sz="4" w:space="0" w:color="auto"/>
              <w:left w:val="single" w:sz="4" w:space="0" w:color="auto"/>
              <w:bottom w:val="single" w:sz="4" w:space="0" w:color="auto"/>
              <w:right w:val="single" w:sz="4" w:space="0" w:color="auto"/>
            </w:tcBorders>
            <w:vAlign w:val="center"/>
          </w:tcPr>
          <w:p w14:paraId="5CA6AFCE" w14:textId="333DEC96" w:rsidR="004E1831" w:rsidRPr="004E1831" w:rsidRDefault="004E1831" w:rsidP="004E1831">
            <w:pPr>
              <w:spacing w:line="312" w:lineRule="auto"/>
              <w:jc w:val="center"/>
              <w:rPr>
                <w:rFonts w:ascii="Times New Roman" w:hAnsi="Times New Roman" w:cs="Times New Roman"/>
                <w:b/>
                <w:bCs/>
                <w:sz w:val="26"/>
                <w:szCs w:val="26"/>
                <w:lang w:val="vi-VN"/>
              </w:rPr>
            </w:pPr>
            <w:r>
              <w:rPr>
                <w:rFonts w:ascii="Times New Roman" w:hAnsi="Times New Roman" w:cs="Times New Roman"/>
                <w:b/>
                <w:bCs/>
                <w:sz w:val="26"/>
                <w:szCs w:val="26"/>
              </w:rPr>
              <w:t>TT</w:t>
            </w:r>
          </w:p>
        </w:tc>
        <w:tc>
          <w:tcPr>
            <w:tcW w:w="1162" w:type="dxa"/>
            <w:tcBorders>
              <w:top w:val="single" w:sz="4" w:space="0" w:color="auto"/>
              <w:left w:val="single" w:sz="4" w:space="0" w:color="auto"/>
              <w:bottom w:val="single" w:sz="4" w:space="0" w:color="auto"/>
              <w:right w:val="single" w:sz="4" w:space="0" w:color="auto"/>
            </w:tcBorders>
            <w:vAlign w:val="center"/>
            <w:hideMark/>
          </w:tcPr>
          <w:p w14:paraId="18A7E381" w14:textId="7C94BD03" w:rsidR="004E1831" w:rsidRPr="00EC6124" w:rsidRDefault="0031049D" w:rsidP="004E1831">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Công ty</w:t>
            </w:r>
          </w:p>
        </w:tc>
        <w:tc>
          <w:tcPr>
            <w:tcW w:w="850" w:type="dxa"/>
            <w:tcBorders>
              <w:top w:val="single" w:sz="4" w:space="0" w:color="auto"/>
              <w:left w:val="single" w:sz="4" w:space="0" w:color="auto"/>
              <w:bottom w:val="single" w:sz="4" w:space="0" w:color="auto"/>
              <w:right w:val="single" w:sz="4" w:space="0" w:color="auto"/>
            </w:tcBorders>
            <w:vAlign w:val="center"/>
            <w:hideMark/>
          </w:tcPr>
          <w:p w14:paraId="7BCF8B53" w14:textId="77777777" w:rsidR="004E1831" w:rsidRPr="00EC6124" w:rsidRDefault="004E1831" w:rsidP="004E1831">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2019</w:t>
            </w:r>
          </w:p>
        </w:tc>
        <w:tc>
          <w:tcPr>
            <w:tcW w:w="823" w:type="dxa"/>
            <w:tcBorders>
              <w:top w:val="single" w:sz="4" w:space="0" w:color="auto"/>
              <w:left w:val="single" w:sz="4" w:space="0" w:color="auto"/>
              <w:bottom w:val="single" w:sz="4" w:space="0" w:color="auto"/>
              <w:right w:val="single" w:sz="4" w:space="0" w:color="auto"/>
            </w:tcBorders>
            <w:vAlign w:val="center"/>
            <w:hideMark/>
          </w:tcPr>
          <w:p w14:paraId="6420E995" w14:textId="77777777" w:rsidR="004E1831" w:rsidRPr="00EC6124" w:rsidRDefault="004E1831" w:rsidP="004E1831">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2020</w:t>
            </w:r>
          </w:p>
        </w:tc>
        <w:tc>
          <w:tcPr>
            <w:tcW w:w="850" w:type="dxa"/>
            <w:tcBorders>
              <w:top w:val="single" w:sz="4" w:space="0" w:color="auto"/>
              <w:left w:val="single" w:sz="4" w:space="0" w:color="auto"/>
              <w:bottom w:val="single" w:sz="4" w:space="0" w:color="auto"/>
              <w:right w:val="single" w:sz="4" w:space="0" w:color="auto"/>
            </w:tcBorders>
            <w:vAlign w:val="center"/>
            <w:hideMark/>
          </w:tcPr>
          <w:p w14:paraId="5DADF1D6" w14:textId="77777777" w:rsidR="004E1831" w:rsidRPr="00EC6124" w:rsidRDefault="004E1831" w:rsidP="004E1831">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2021</w:t>
            </w:r>
          </w:p>
        </w:tc>
        <w:tc>
          <w:tcPr>
            <w:tcW w:w="992" w:type="dxa"/>
            <w:tcBorders>
              <w:top w:val="single" w:sz="4" w:space="0" w:color="auto"/>
              <w:left w:val="single" w:sz="4" w:space="0" w:color="auto"/>
              <w:bottom w:val="single" w:sz="4" w:space="0" w:color="auto"/>
              <w:right w:val="single" w:sz="4" w:space="0" w:color="auto"/>
            </w:tcBorders>
            <w:vAlign w:val="center"/>
            <w:hideMark/>
          </w:tcPr>
          <w:p w14:paraId="7523907B" w14:textId="77777777" w:rsidR="004E1831" w:rsidRPr="00EC6124" w:rsidRDefault="004E1831" w:rsidP="004E1831">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2022</w:t>
            </w:r>
          </w:p>
        </w:tc>
        <w:tc>
          <w:tcPr>
            <w:tcW w:w="993" w:type="dxa"/>
            <w:tcBorders>
              <w:top w:val="single" w:sz="4" w:space="0" w:color="auto"/>
              <w:left w:val="single" w:sz="4" w:space="0" w:color="auto"/>
              <w:bottom w:val="single" w:sz="4" w:space="0" w:color="auto"/>
              <w:right w:val="single" w:sz="4" w:space="0" w:color="auto"/>
            </w:tcBorders>
            <w:vAlign w:val="center"/>
            <w:hideMark/>
          </w:tcPr>
          <w:p w14:paraId="706AB48B" w14:textId="77777777" w:rsidR="004E1831" w:rsidRPr="00EC6124" w:rsidRDefault="004E1831" w:rsidP="004E1831">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2023</w:t>
            </w:r>
          </w:p>
        </w:tc>
        <w:tc>
          <w:tcPr>
            <w:tcW w:w="1445" w:type="dxa"/>
            <w:tcBorders>
              <w:top w:val="single" w:sz="4" w:space="0" w:color="auto"/>
              <w:left w:val="single" w:sz="4" w:space="0" w:color="auto"/>
              <w:bottom w:val="single" w:sz="4" w:space="0" w:color="auto"/>
              <w:right w:val="single" w:sz="4" w:space="0" w:color="auto"/>
            </w:tcBorders>
            <w:vAlign w:val="center"/>
          </w:tcPr>
          <w:p w14:paraId="489D2E0F" w14:textId="77777777" w:rsidR="004E1831" w:rsidRPr="000519EB" w:rsidRDefault="004E1831" w:rsidP="004E1831">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Bình quân</w:t>
            </w:r>
          </w:p>
        </w:tc>
      </w:tr>
      <w:tr w:rsidR="003331B9" w:rsidRPr="00EC6124" w14:paraId="01EFC65F" w14:textId="77777777" w:rsidTr="00111E4D">
        <w:trPr>
          <w:trHeight w:val="308"/>
        </w:trPr>
        <w:tc>
          <w:tcPr>
            <w:tcW w:w="709" w:type="dxa"/>
            <w:tcBorders>
              <w:top w:val="single" w:sz="4" w:space="0" w:color="auto"/>
              <w:left w:val="single" w:sz="4" w:space="0" w:color="auto"/>
              <w:bottom w:val="single" w:sz="4" w:space="0" w:color="auto"/>
              <w:right w:val="single" w:sz="4" w:space="0" w:color="auto"/>
            </w:tcBorders>
            <w:vAlign w:val="center"/>
          </w:tcPr>
          <w:p w14:paraId="59CF1676" w14:textId="69B1E735"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1</w:t>
            </w:r>
          </w:p>
        </w:tc>
        <w:tc>
          <w:tcPr>
            <w:tcW w:w="1162" w:type="dxa"/>
            <w:tcBorders>
              <w:top w:val="single" w:sz="4" w:space="0" w:color="auto"/>
              <w:left w:val="single" w:sz="4" w:space="0" w:color="auto"/>
              <w:bottom w:val="single" w:sz="4" w:space="0" w:color="auto"/>
              <w:right w:val="single" w:sz="4" w:space="0" w:color="auto"/>
            </w:tcBorders>
            <w:vAlign w:val="center"/>
            <w:hideMark/>
          </w:tcPr>
          <w:p w14:paraId="0DA35BD1" w14:textId="2375181D"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TVD</w:t>
            </w:r>
          </w:p>
        </w:tc>
        <w:tc>
          <w:tcPr>
            <w:tcW w:w="850" w:type="dxa"/>
            <w:tcBorders>
              <w:top w:val="single" w:sz="4" w:space="0" w:color="auto"/>
              <w:left w:val="single" w:sz="4" w:space="0" w:color="auto"/>
              <w:bottom w:val="single" w:sz="4" w:space="0" w:color="auto"/>
              <w:right w:val="single" w:sz="4" w:space="0" w:color="auto"/>
            </w:tcBorders>
            <w:vAlign w:val="center"/>
            <w:hideMark/>
          </w:tcPr>
          <w:p w14:paraId="4F061C32"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0,45</w:t>
            </w:r>
          </w:p>
        </w:tc>
        <w:tc>
          <w:tcPr>
            <w:tcW w:w="823" w:type="dxa"/>
            <w:tcBorders>
              <w:top w:val="single" w:sz="4" w:space="0" w:color="auto"/>
              <w:left w:val="single" w:sz="4" w:space="0" w:color="auto"/>
              <w:bottom w:val="single" w:sz="4" w:space="0" w:color="auto"/>
              <w:right w:val="single" w:sz="4" w:space="0" w:color="auto"/>
            </w:tcBorders>
            <w:vAlign w:val="center"/>
            <w:hideMark/>
          </w:tcPr>
          <w:p w14:paraId="387477A4"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0,42</w:t>
            </w:r>
          </w:p>
        </w:tc>
        <w:tc>
          <w:tcPr>
            <w:tcW w:w="850" w:type="dxa"/>
            <w:tcBorders>
              <w:top w:val="single" w:sz="4" w:space="0" w:color="auto"/>
              <w:left w:val="single" w:sz="4" w:space="0" w:color="auto"/>
              <w:bottom w:val="single" w:sz="4" w:space="0" w:color="auto"/>
              <w:right w:val="single" w:sz="4" w:space="0" w:color="auto"/>
            </w:tcBorders>
            <w:vAlign w:val="center"/>
            <w:hideMark/>
          </w:tcPr>
          <w:p w14:paraId="671EA15F"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0,35</w:t>
            </w:r>
          </w:p>
        </w:tc>
        <w:tc>
          <w:tcPr>
            <w:tcW w:w="992" w:type="dxa"/>
            <w:tcBorders>
              <w:top w:val="single" w:sz="4" w:space="0" w:color="auto"/>
              <w:left w:val="single" w:sz="4" w:space="0" w:color="auto"/>
              <w:bottom w:val="single" w:sz="4" w:space="0" w:color="auto"/>
              <w:right w:val="single" w:sz="4" w:space="0" w:color="auto"/>
            </w:tcBorders>
            <w:vAlign w:val="center"/>
            <w:hideMark/>
          </w:tcPr>
          <w:p w14:paraId="1D21AEB4"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0,91</w:t>
            </w:r>
          </w:p>
        </w:tc>
        <w:tc>
          <w:tcPr>
            <w:tcW w:w="993" w:type="dxa"/>
            <w:tcBorders>
              <w:top w:val="single" w:sz="4" w:space="0" w:color="auto"/>
              <w:left w:val="single" w:sz="4" w:space="0" w:color="auto"/>
              <w:bottom w:val="single" w:sz="4" w:space="0" w:color="auto"/>
              <w:right w:val="single" w:sz="4" w:space="0" w:color="auto"/>
            </w:tcBorders>
            <w:vAlign w:val="center"/>
            <w:hideMark/>
          </w:tcPr>
          <w:p w14:paraId="3037E62A" w14:textId="77777777" w:rsidR="003331B9" w:rsidRPr="00BE7F5C" w:rsidRDefault="003331B9" w:rsidP="003331B9">
            <w:pPr>
              <w:spacing w:line="312" w:lineRule="auto"/>
              <w:jc w:val="center"/>
              <w:rPr>
                <w:rFonts w:ascii="Times New Roman" w:hAnsi="Times New Roman" w:cs="Times New Roman"/>
                <w:sz w:val="26"/>
                <w:szCs w:val="26"/>
                <w:lang w:val="vi-VN"/>
              </w:rPr>
            </w:pPr>
            <w:r w:rsidRPr="00EC6124">
              <w:rPr>
                <w:rFonts w:ascii="Times New Roman" w:hAnsi="Times New Roman" w:cs="Times New Roman"/>
                <w:sz w:val="26"/>
                <w:szCs w:val="26"/>
              </w:rPr>
              <w:t>1,01</w:t>
            </w:r>
          </w:p>
        </w:tc>
        <w:tc>
          <w:tcPr>
            <w:tcW w:w="1445" w:type="dxa"/>
            <w:tcBorders>
              <w:top w:val="single" w:sz="4" w:space="0" w:color="auto"/>
              <w:left w:val="nil"/>
              <w:bottom w:val="single" w:sz="4" w:space="0" w:color="auto"/>
              <w:right w:val="single" w:sz="4" w:space="0" w:color="auto"/>
            </w:tcBorders>
            <w:shd w:val="clear" w:color="auto" w:fill="auto"/>
            <w:vAlign w:val="center"/>
          </w:tcPr>
          <w:p w14:paraId="6B85AAA1" w14:textId="77777777" w:rsidR="003331B9" w:rsidRPr="00382A55" w:rsidRDefault="003331B9" w:rsidP="003331B9">
            <w:pPr>
              <w:spacing w:line="312" w:lineRule="auto"/>
              <w:jc w:val="center"/>
              <w:rPr>
                <w:rFonts w:ascii="Times New Roman" w:hAnsi="Times New Roman" w:cs="Times New Roman"/>
                <w:sz w:val="26"/>
                <w:szCs w:val="26"/>
                <w:lang w:val="vi-VN"/>
              </w:rPr>
            </w:pPr>
            <w:r w:rsidRPr="00382A55">
              <w:rPr>
                <w:rFonts w:ascii="Times New Roman" w:hAnsi="Times New Roman" w:cs="Times New Roman"/>
                <w:color w:val="000000"/>
                <w:sz w:val="26"/>
                <w:szCs w:val="26"/>
              </w:rPr>
              <w:t>0,53</w:t>
            </w:r>
          </w:p>
        </w:tc>
      </w:tr>
      <w:tr w:rsidR="003331B9" w:rsidRPr="00EC6124" w14:paraId="73899790" w14:textId="77777777" w:rsidTr="00111E4D">
        <w:trPr>
          <w:trHeight w:val="286"/>
        </w:trPr>
        <w:tc>
          <w:tcPr>
            <w:tcW w:w="709" w:type="dxa"/>
            <w:tcBorders>
              <w:top w:val="single" w:sz="4" w:space="0" w:color="auto"/>
              <w:left w:val="single" w:sz="4" w:space="0" w:color="auto"/>
              <w:bottom w:val="single" w:sz="4" w:space="0" w:color="auto"/>
              <w:right w:val="single" w:sz="4" w:space="0" w:color="auto"/>
            </w:tcBorders>
            <w:vAlign w:val="center"/>
          </w:tcPr>
          <w:p w14:paraId="516A9237" w14:textId="7B4162E9"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2</w:t>
            </w:r>
          </w:p>
        </w:tc>
        <w:tc>
          <w:tcPr>
            <w:tcW w:w="1162" w:type="dxa"/>
            <w:tcBorders>
              <w:top w:val="single" w:sz="4" w:space="0" w:color="auto"/>
              <w:left w:val="single" w:sz="4" w:space="0" w:color="auto"/>
              <w:bottom w:val="single" w:sz="4" w:space="0" w:color="auto"/>
              <w:right w:val="single" w:sz="4" w:space="0" w:color="auto"/>
            </w:tcBorders>
            <w:vAlign w:val="center"/>
            <w:hideMark/>
          </w:tcPr>
          <w:p w14:paraId="6699E2EE" w14:textId="2DE74823"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MDC</w:t>
            </w:r>
          </w:p>
        </w:tc>
        <w:tc>
          <w:tcPr>
            <w:tcW w:w="850" w:type="dxa"/>
            <w:tcBorders>
              <w:top w:val="single" w:sz="4" w:space="0" w:color="auto"/>
              <w:left w:val="single" w:sz="4" w:space="0" w:color="auto"/>
              <w:bottom w:val="single" w:sz="4" w:space="0" w:color="auto"/>
              <w:right w:val="single" w:sz="4" w:space="0" w:color="auto"/>
            </w:tcBorders>
            <w:vAlign w:val="center"/>
            <w:hideMark/>
          </w:tcPr>
          <w:p w14:paraId="38A3BC0D"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0,45</w:t>
            </w:r>
          </w:p>
        </w:tc>
        <w:tc>
          <w:tcPr>
            <w:tcW w:w="823" w:type="dxa"/>
            <w:tcBorders>
              <w:top w:val="single" w:sz="4" w:space="0" w:color="auto"/>
              <w:left w:val="nil"/>
              <w:bottom w:val="single" w:sz="4" w:space="0" w:color="auto"/>
              <w:right w:val="single" w:sz="4" w:space="0" w:color="auto"/>
            </w:tcBorders>
            <w:vAlign w:val="center"/>
            <w:hideMark/>
          </w:tcPr>
          <w:p w14:paraId="7C72054D"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0,51</w:t>
            </w:r>
          </w:p>
        </w:tc>
        <w:tc>
          <w:tcPr>
            <w:tcW w:w="850" w:type="dxa"/>
            <w:tcBorders>
              <w:top w:val="single" w:sz="4" w:space="0" w:color="auto"/>
              <w:left w:val="nil"/>
              <w:bottom w:val="single" w:sz="4" w:space="0" w:color="auto"/>
              <w:right w:val="single" w:sz="4" w:space="0" w:color="auto"/>
            </w:tcBorders>
            <w:vAlign w:val="center"/>
            <w:hideMark/>
          </w:tcPr>
          <w:p w14:paraId="3D425F39"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0,46</w:t>
            </w:r>
          </w:p>
        </w:tc>
        <w:tc>
          <w:tcPr>
            <w:tcW w:w="992" w:type="dxa"/>
            <w:tcBorders>
              <w:top w:val="single" w:sz="4" w:space="0" w:color="auto"/>
              <w:left w:val="nil"/>
              <w:bottom w:val="single" w:sz="4" w:space="0" w:color="auto"/>
              <w:right w:val="single" w:sz="4" w:space="0" w:color="auto"/>
            </w:tcBorders>
            <w:vAlign w:val="center"/>
            <w:hideMark/>
          </w:tcPr>
          <w:p w14:paraId="364BD81D"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0,80</w:t>
            </w:r>
          </w:p>
        </w:tc>
        <w:tc>
          <w:tcPr>
            <w:tcW w:w="993" w:type="dxa"/>
            <w:tcBorders>
              <w:top w:val="single" w:sz="4" w:space="0" w:color="auto"/>
              <w:left w:val="nil"/>
              <w:bottom w:val="single" w:sz="4" w:space="0" w:color="auto"/>
              <w:right w:val="single" w:sz="4" w:space="0" w:color="auto"/>
            </w:tcBorders>
            <w:vAlign w:val="center"/>
            <w:hideMark/>
          </w:tcPr>
          <w:p w14:paraId="16AE922D"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0,60</w:t>
            </w:r>
          </w:p>
        </w:tc>
        <w:tc>
          <w:tcPr>
            <w:tcW w:w="1445" w:type="dxa"/>
            <w:tcBorders>
              <w:top w:val="single" w:sz="4" w:space="0" w:color="auto"/>
              <w:left w:val="nil"/>
              <w:bottom w:val="single" w:sz="4" w:space="0" w:color="auto"/>
              <w:right w:val="single" w:sz="4" w:space="0" w:color="auto"/>
            </w:tcBorders>
            <w:shd w:val="clear" w:color="auto" w:fill="auto"/>
            <w:vAlign w:val="center"/>
          </w:tcPr>
          <w:p w14:paraId="422A8052"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0,56</w:t>
            </w:r>
          </w:p>
        </w:tc>
      </w:tr>
      <w:tr w:rsidR="003331B9" w:rsidRPr="00EC6124" w14:paraId="70F8A496" w14:textId="77777777" w:rsidTr="00111E4D">
        <w:trPr>
          <w:trHeight w:val="329"/>
        </w:trPr>
        <w:tc>
          <w:tcPr>
            <w:tcW w:w="709" w:type="dxa"/>
            <w:tcBorders>
              <w:top w:val="single" w:sz="4" w:space="0" w:color="auto"/>
              <w:left w:val="single" w:sz="4" w:space="0" w:color="auto"/>
              <w:bottom w:val="single" w:sz="4" w:space="0" w:color="auto"/>
              <w:right w:val="single" w:sz="4" w:space="0" w:color="auto"/>
            </w:tcBorders>
            <w:vAlign w:val="center"/>
          </w:tcPr>
          <w:p w14:paraId="1F98DA37" w14:textId="5CD61D21"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3</w:t>
            </w:r>
          </w:p>
        </w:tc>
        <w:tc>
          <w:tcPr>
            <w:tcW w:w="1162" w:type="dxa"/>
            <w:tcBorders>
              <w:top w:val="single" w:sz="4" w:space="0" w:color="auto"/>
              <w:left w:val="single" w:sz="4" w:space="0" w:color="auto"/>
              <w:bottom w:val="single" w:sz="4" w:space="0" w:color="auto"/>
              <w:right w:val="single" w:sz="4" w:space="0" w:color="auto"/>
            </w:tcBorders>
            <w:vAlign w:val="center"/>
            <w:hideMark/>
          </w:tcPr>
          <w:p w14:paraId="00885DFC" w14:textId="20B433E7"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HLC</w:t>
            </w:r>
          </w:p>
        </w:tc>
        <w:tc>
          <w:tcPr>
            <w:tcW w:w="850" w:type="dxa"/>
            <w:tcBorders>
              <w:top w:val="single" w:sz="4" w:space="0" w:color="auto"/>
              <w:left w:val="single" w:sz="4" w:space="0" w:color="auto"/>
              <w:bottom w:val="single" w:sz="4" w:space="0" w:color="auto"/>
              <w:right w:val="single" w:sz="4" w:space="0" w:color="auto"/>
            </w:tcBorders>
            <w:vAlign w:val="center"/>
            <w:hideMark/>
          </w:tcPr>
          <w:p w14:paraId="0A8A4AF7"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0,06</w:t>
            </w:r>
          </w:p>
        </w:tc>
        <w:tc>
          <w:tcPr>
            <w:tcW w:w="823" w:type="dxa"/>
            <w:tcBorders>
              <w:top w:val="single" w:sz="4" w:space="0" w:color="auto"/>
              <w:left w:val="single" w:sz="4" w:space="0" w:color="auto"/>
              <w:bottom w:val="single" w:sz="4" w:space="0" w:color="auto"/>
              <w:right w:val="single" w:sz="4" w:space="0" w:color="auto"/>
            </w:tcBorders>
            <w:vAlign w:val="center"/>
            <w:hideMark/>
          </w:tcPr>
          <w:p w14:paraId="766AA4F8"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0,50</w:t>
            </w:r>
          </w:p>
        </w:tc>
        <w:tc>
          <w:tcPr>
            <w:tcW w:w="850" w:type="dxa"/>
            <w:tcBorders>
              <w:top w:val="single" w:sz="4" w:space="0" w:color="auto"/>
              <w:left w:val="single" w:sz="4" w:space="0" w:color="auto"/>
              <w:bottom w:val="single" w:sz="4" w:space="0" w:color="auto"/>
              <w:right w:val="single" w:sz="4" w:space="0" w:color="auto"/>
            </w:tcBorders>
            <w:vAlign w:val="center"/>
            <w:hideMark/>
          </w:tcPr>
          <w:p w14:paraId="7447AF1F"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0,38</w:t>
            </w:r>
          </w:p>
        </w:tc>
        <w:tc>
          <w:tcPr>
            <w:tcW w:w="992" w:type="dxa"/>
            <w:tcBorders>
              <w:top w:val="single" w:sz="4" w:space="0" w:color="auto"/>
              <w:left w:val="single" w:sz="4" w:space="0" w:color="auto"/>
              <w:bottom w:val="single" w:sz="4" w:space="0" w:color="auto"/>
              <w:right w:val="single" w:sz="4" w:space="0" w:color="auto"/>
            </w:tcBorders>
            <w:vAlign w:val="center"/>
            <w:hideMark/>
          </w:tcPr>
          <w:p w14:paraId="7D162594"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0,60</w:t>
            </w:r>
          </w:p>
        </w:tc>
        <w:tc>
          <w:tcPr>
            <w:tcW w:w="993" w:type="dxa"/>
            <w:tcBorders>
              <w:top w:val="single" w:sz="4" w:space="0" w:color="auto"/>
              <w:left w:val="single" w:sz="4" w:space="0" w:color="auto"/>
              <w:bottom w:val="single" w:sz="4" w:space="0" w:color="auto"/>
              <w:right w:val="single" w:sz="4" w:space="0" w:color="auto"/>
            </w:tcBorders>
            <w:vAlign w:val="center"/>
            <w:hideMark/>
          </w:tcPr>
          <w:p w14:paraId="55AC9F91"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0,82</w:t>
            </w:r>
          </w:p>
        </w:tc>
        <w:tc>
          <w:tcPr>
            <w:tcW w:w="1445" w:type="dxa"/>
            <w:tcBorders>
              <w:top w:val="single" w:sz="4" w:space="0" w:color="auto"/>
              <w:left w:val="nil"/>
              <w:bottom w:val="single" w:sz="4" w:space="0" w:color="auto"/>
              <w:right w:val="single" w:sz="4" w:space="0" w:color="auto"/>
            </w:tcBorders>
            <w:shd w:val="clear" w:color="auto" w:fill="auto"/>
            <w:vAlign w:val="center"/>
          </w:tcPr>
          <w:p w14:paraId="5A7260CE"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0,47</w:t>
            </w:r>
          </w:p>
        </w:tc>
      </w:tr>
      <w:tr w:rsidR="003331B9" w:rsidRPr="00EC6124" w14:paraId="5F213B3C" w14:textId="77777777" w:rsidTr="00111E4D">
        <w:trPr>
          <w:trHeight w:val="59"/>
        </w:trPr>
        <w:tc>
          <w:tcPr>
            <w:tcW w:w="709" w:type="dxa"/>
            <w:tcBorders>
              <w:top w:val="single" w:sz="4" w:space="0" w:color="auto"/>
              <w:left w:val="single" w:sz="4" w:space="0" w:color="auto"/>
              <w:bottom w:val="single" w:sz="4" w:space="0" w:color="auto"/>
              <w:right w:val="single" w:sz="4" w:space="0" w:color="auto"/>
            </w:tcBorders>
            <w:vAlign w:val="center"/>
          </w:tcPr>
          <w:p w14:paraId="602C665C" w14:textId="4D42EEBE"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4</w:t>
            </w:r>
          </w:p>
        </w:tc>
        <w:tc>
          <w:tcPr>
            <w:tcW w:w="1162" w:type="dxa"/>
            <w:tcBorders>
              <w:top w:val="single" w:sz="4" w:space="0" w:color="auto"/>
              <w:left w:val="single" w:sz="4" w:space="0" w:color="auto"/>
              <w:bottom w:val="single" w:sz="4" w:space="0" w:color="auto"/>
              <w:right w:val="single" w:sz="4" w:space="0" w:color="auto"/>
            </w:tcBorders>
            <w:vAlign w:val="center"/>
            <w:hideMark/>
          </w:tcPr>
          <w:p w14:paraId="0DCF01F6" w14:textId="4621E49B"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THT</w:t>
            </w:r>
          </w:p>
        </w:tc>
        <w:tc>
          <w:tcPr>
            <w:tcW w:w="850" w:type="dxa"/>
            <w:tcBorders>
              <w:top w:val="single" w:sz="4" w:space="0" w:color="auto"/>
              <w:left w:val="single" w:sz="4" w:space="0" w:color="auto"/>
              <w:bottom w:val="single" w:sz="4" w:space="0" w:color="auto"/>
              <w:right w:val="single" w:sz="4" w:space="0" w:color="auto"/>
            </w:tcBorders>
            <w:vAlign w:val="center"/>
          </w:tcPr>
          <w:p w14:paraId="598AEA65"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0,43</w:t>
            </w:r>
          </w:p>
        </w:tc>
        <w:tc>
          <w:tcPr>
            <w:tcW w:w="823" w:type="dxa"/>
            <w:tcBorders>
              <w:top w:val="single" w:sz="4" w:space="0" w:color="auto"/>
              <w:left w:val="single" w:sz="4" w:space="0" w:color="auto"/>
              <w:bottom w:val="single" w:sz="4" w:space="0" w:color="auto"/>
              <w:right w:val="single" w:sz="4" w:space="0" w:color="auto"/>
            </w:tcBorders>
            <w:vAlign w:val="center"/>
          </w:tcPr>
          <w:p w14:paraId="414F0F17"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0,75</w:t>
            </w:r>
          </w:p>
        </w:tc>
        <w:tc>
          <w:tcPr>
            <w:tcW w:w="850" w:type="dxa"/>
            <w:tcBorders>
              <w:top w:val="single" w:sz="4" w:space="0" w:color="auto"/>
              <w:left w:val="single" w:sz="4" w:space="0" w:color="auto"/>
              <w:bottom w:val="single" w:sz="4" w:space="0" w:color="auto"/>
              <w:right w:val="single" w:sz="4" w:space="0" w:color="auto"/>
            </w:tcBorders>
            <w:vAlign w:val="center"/>
          </w:tcPr>
          <w:p w14:paraId="1102BC80"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0,32</w:t>
            </w:r>
          </w:p>
        </w:tc>
        <w:tc>
          <w:tcPr>
            <w:tcW w:w="992" w:type="dxa"/>
            <w:tcBorders>
              <w:top w:val="single" w:sz="4" w:space="0" w:color="auto"/>
              <w:left w:val="single" w:sz="4" w:space="0" w:color="auto"/>
              <w:bottom w:val="single" w:sz="4" w:space="0" w:color="auto"/>
              <w:right w:val="single" w:sz="4" w:space="0" w:color="auto"/>
            </w:tcBorders>
            <w:vAlign w:val="center"/>
          </w:tcPr>
          <w:p w14:paraId="3106377E"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0,46</w:t>
            </w:r>
          </w:p>
        </w:tc>
        <w:tc>
          <w:tcPr>
            <w:tcW w:w="993" w:type="dxa"/>
            <w:tcBorders>
              <w:top w:val="single" w:sz="4" w:space="0" w:color="auto"/>
              <w:left w:val="single" w:sz="4" w:space="0" w:color="auto"/>
              <w:bottom w:val="single" w:sz="4" w:space="0" w:color="auto"/>
              <w:right w:val="single" w:sz="4" w:space="0" w:color="auto"/>
            </w:tcBorders>
            <w:vAlign w:val="center"/>
          </w:tcPr>
          <w:p w14:paraId="568BB111"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0,38</w:t>
            </w:r>
          </w:p>
        </w:tc>
        <w:tc>
          <w:tcPr>
            <w:tcW w:w="1445" w:type="dxa"/>
            <w:tcBorders>
              <w:top w:val="single" w:sz="4" w:space="0" w:color="auto"/>
              <w:left w:val="nil"/>
              <w:bottom w:val="single" w:sz="4" w:space="0" w:color="auto"/>
              <w:right w:val="single" w:sz="4" w:space="0" w:color="auto"/>
            </w:tcBorders>
            <w:shd w:val="clear" w:color="auto" w:fill="auto"/>
            <w:vAlign w:val="center"/>
          </w:tcPr>
          <w:p w14:paraId="4814C047"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0,47</w:t>
            </w:r>
          </w:p>
        </w:tc>
      </w:tr>
      <w:tr w:rsidR="003331B9" w:rsidRPr="00EC6124" w14:paraId="4DA87DC7" w14:textId="77777777" w:rsidTr="00111E4D">
        <w:trPr>
          <w:trHeight w:val="286"/>
        </w:trPr>
        <w:tc>
          <w:tcPr>
            <w:tcW w:w="709" w:type="dxa"/>
            <w:tcBorders>
              <w:top w:val="single" w:sz="4" w:space="0" w:color="auto"/>
              <w:left w:val="single" w:sz="4" w:space="0" w:color="auto"/>
              <w:bottom w:val="single" w:sz="4" w:space="0" w:color="auto"/>
              <w:right w:val="single" w:sz="4" w:space="0" w:color="auto"/>
            </w:tcBorders>
            <w:vAlign w:val="center"/>
          </w:tcPr>
          <w:p w14:paraId="4D92F854" w14:textId="3D200F64"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5</w:t>
            </w:r>
          </w:p>
        </w:tc>
        <w:tc>
          <w:tcPr>
            <w:tcW w:w="1162" w:type="dxa"/>
            <w:tcBorders>
              <w:top w:val="single" w:sz="4" w:space="0" w:color="auto"/>
              <w:left w:val="single" w:sz="4" w:space="0" w:color="auto"/>
              <w:bottom w:val="single" w:sz="4" w:space="0" w:color="auto"/>
              <w:right w:val="single" w:sz="4" w:space="0" w:color="auto"/>
            </w:tcBorders>
            <w:vAlign w:val="center"/>
            <w:hideMark/>
          </w:tcPr>
          <w:p w14:paraId="18EA45AA" w14:textId="017529BE"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NBC</w:t>
            </w:r>
          </w:p>
        </w:tc>
        <w:tc>
          <w:tcPr>
            <w:tcW w:w="850" w:type="dxa"/>
            <w:tcBorders>
              <w:top w:val="single" w:sz="4" w:space="0" w:color="auto"/>
              <w:left w:val="single" w:sz="4" w:space="0" w:color="auto"/>
              <w:bottom w:val="single" w:sz="4" w:space="0" w:color="auto"/>
              <w:right w:val="single" w:sz="4" w:space="0" w:color="auto"/>
            </w:tcBorders>
            <w:vAlign w:val="center"/>
          </w:tcPr>
          <w:p w14:paraId="6E7F4E91"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0,05</w:t>
            </w:r>
          </w:p>
        </w:tc>
        <w:tc>
          <w:tcPr>
            <w:tcW w:w="823" w:type="dxa"/>
            <w:tcBorders>
              <w:top w:val="single" w:sz="4" w:space="0" w:color="auto"/>
              <w:left w:val="single" w:sz="4" w:space="0" w:color="auto"/>
              <w:bottom w:val="single" w:sz="4" w:space="0" w:color="auto"/>
              <w:right w:val="single" w:sz="4" w:space="0" w:color="auto"/>
            </w:tcBorders>
            <w:vAlign w:val="center"/>
          </w:tcPr>
          <w:p w14:paraId="24F5F947"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0,11</w:t>
            </w:r>
          </w:p>
        </w:tc>
        <w:tc>
          <w:tcPr>
            <w:tcW w:w="850" w:type="dxa"/>
            <w:tcBorders>
              <w:top w:val="single" w:sz="4" w:space="0" w:color="auto"/>
              <w:left w:val="single" w:sz="4" w:space="0" w:color="auto"/>
              <w:bottom w:val="single" w:sz="4" w:space="0" w:color="auto"/>
              <w:right w:val="single" w:sz="4" w:space="0" w:color="auto"/>
            </w:tcBorders>
            <w:vAlign w:val="center"/>
          </w:tcPr>
          <w:p w14:paraId="0B68E227"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0,13</w:t>
            </w:r>
          </w:p>
        </w:tc>
        <w:tc>
          <w:tcPr>
            <w:tcW w:w="992" w:type="dxa"/>
            <w:tcBorders>
              <w:top w:val="single" w:sz="4" w:space="0" w:color="auto"/>
              <w:left w:val="single" w:sz="4" w:space="0" w:color="auto"/>
              <w:bottom w:val="single" w:sz="4" w:space="0" w:color="auto"/>
              <w:right w:val="single" w:sz="4" w:space="0" w:color="auto"/>
            </w:tcBorders>
            <w:vAlign w:val="center"/>
          </w:tcPr>
          <w:p w14:paraId="51B89EF9"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0,50</w:t>
            </w:r>
          </w:p>
        </w:tc>
        <w:tc>
          <w:tcPr>
            <w:tcW w:w="993" w:type="dxa"/>
            <w:tcBorders>
              <w:top w:val="single" w:sz="4" w:space="0" w:color="auto"/>
              <w:left w:val="single" w:sz="4" w:space="0" w:color="auto"/>
              <w:bottom w:val="single" w:sz="4" w:space="0" w:color="auto"/>
              <w:right w:val="single" w:sz="4" w:space="0" w:color="auto"/>
            </w:tcBorders>
            <w:vAlign w:val="center"/>
          </w:tcPr>
          <w:p w14:paraId="32B7A820"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0,47</w:t>
            </w:r>
          </w:p>
        </w:tc>
        <w:tc>
          <w:tcPr>
            <w:tcW w:w="1445" w:type="dxa"/>
            <w:tcBorders>
              <w:top w:val="single" w:sz="4" w:space="0" w:color="auto"/>
              <w:left w:val="single" w:sz="4" w:space="0" w:color="auto"/>
              <w:bottom w:val="single" w:sz="4" w:space="0" w:color="auto"/>
              <w:right w:val="single" w:sz="4" w:space="0" w:color="auto"/>
            </w:tcBorders>
            <w:vAlign w:val="center"/>
          </w:tcPr>
          <w:p w14:paraId="4AB99C28" w14:textId="77777777" w:rsidR="003331B9" w:rsidRPr="00382A55" w:rsidRDefault="003331B9" w:rsidP="003331B9">
            <w:pPr>
              <w:spacing w:line="312" w:lineRule="auto"/>
              <w:jc w:val="center"/>
              <w:rPr>
                <w:rFonts w:ascii="Times New Roman" w:hAnsi="Times New Roman" w:cs="Times New Roman"/>
                <w:sz w:val="26"/>
                <w:szCs w:val="26"/>
                <w:lang w:val="vi-VN"/>
              </w:rPr>
            </w:pPr>
            <w:r w:rsidRPr="00382A55">
              <w:rPr>
                <w:rFonts w:ascii="Times New Roman" w:hAnsi="Times New Roman" w:cs="Times New Roman"/>
                <w:sz w:val="26"/>
                <w:szCs w:val="26"/>
              </w:rPr>
              <w:t>0</w:t>
            </w:r>
            <w:r w:rsidRPr="00382A55">
              <w:rPr>
                <w:rFonts w:ascii="Times New Roman" w:hAnsi="Times New Roman" w:cs="Times New Roman"/>
                <w:sz w:val="26"/>
                <w:szCs w:val="26"/>
                <w:lang w:val="vi-VN"/>
              </w:rPr>
              <w:t>,25</w:t>
            </w:r>
          </w:p>
        </w:tc>
      </w:tr>
    </w:tbl>
    <w:p w14:paraId="08607171" w14:textId="77777777" w:rsidR="0031049D" w:rsidRPr="0031049D" w:rsidRDefault="0031049D" w:rsidP="0031049D">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55B30C29" w14:textId="77777777" w:rsidR="0002299B" w:rsidRDefault="0002299B" w:rsidP="0002299B">
      <w:pPr>
        <w:spacing w:line="312" w:lineRule="auto"/>
        <w:ind w:firstLine="720"/>
        <w:jc w:val="both"/>
        <w:rPr>
          <w:rFonts w:ascii="Times New Roman" w:hAnsi="Times New Roman" w:cs="Times New Roman"/>
          <w:b/>
          <w:sz w:val="26"/>
          <w:szCs w:val="26"/>
          <w:lang w:val="vi-VN"/>
        </w:rPr>
      </w:pPr>
    </w:p>
    <w:p w14:paraId="67985716" w14:textId="29F78549" w:rsidR="004E1831" w:rsidRPr="0002299B" w:rsidRDefault="004E1831" w:rsidP="00111E4D">
      <w:pPr>
        <w:spacing w:line="312" w:lineRule="auto"/>
        <w:jc w:val="both"/>
        <w:rPr>
          <w:rFonts w:ascii="Times New Roman" w:hAnsi="Times New Roman" w:cs="Times New Roman"/>
          <w:b/>
          <w:sz w:val="26"/>
          <w:szCs w:val="26"/>
          <w:lang w:val="vi-VN"/>
        </w:rPr>
      </w:pPr>
      <w:r>
        <w:rPr>
          <w:rFonts w:ascii="Times New Roman" w:hAnsi="Times New Roman" w:cs="Times New Roman"/>
          <w:b/>
          <w:bCs/>
          <w:i/>
          <w:iCs/>
          <w:noProof/>
          <w:sz w:val="26"/>
          <w:szCs w:val="26"/>
          <w:lang w:eastAsia="en-US"/>
        </w:rPr>
        <w:drawing>
          <wp:inline distT="0" distB="0" distL="0" distR="0" wp14:anchorId="7DA73CA5" wp14:editId="7DF669E1">
            <wp:extent cx="5646420" cy="2994660"/>
            <wp:effectExtent l="0" t="0" r="11430" b="15240"/>
            <wp:docPr id="61215135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7474670" w14:textId="77777777" w:rsidR="00746D80" w:rsidRDefault="00746D80" w:rsidP="00344FD4">
      <w:pPr>
        <w:spacing w:line="312" w:lineRule="auto"/>
        <w:jc w:val="both"/>
        <w:rPr>
          <w:rFonts w:ascii="Times New Roman" w:hAnsi="Times New Roman" w:cs="Times New Roman"/>
          <w:i/>
          <w:iCs/>
          <w:sz w:val="26"/>
          <w:szCs w:val="26"/>
          <w:lang w:val="vi-VN"/>
        </w:rPr>
      </w:pPr>
    </w:p>
    <w:p w14:paraId="76E95456" w14:textId="7BB9928D" w:rsidR="004E1831" w:rsidRPr="00F22BA5" w:rsidRDefault="00746D80" w:rsidP="00746D80">
      <w:pPr>
        <w:spacing w:line="312" w:lineRule="auto"/>
        <w:jc w:val="both"/>
        <w:rPr>
          <w:rFonts w:ascii="Times New Roman" w:hAnsi="Times New Roman" w:cs="Times New Roman"/>
          <w:i/>
          <w:iCs/>
          <w:color w:val="FF0000"/>
          <w:sz w:val="26"/>
          <w:szCs w:val="26"/>
          <w:lang w:val="vi-VN"/>
        </w:rPr>
      </w:pPr>
      <w:r w:rsidRPr="00423C0C">
        <w:rPr>
          <w:rFonts w:ascii="Times New Roman" w:hAnsi="Times New Roman" w:cs="Times New Roman"/>
          <w:sz w:val="26"/>
          <w:szCs w:val="26"/>
          <w:lang w:val="vi-VN"/>
        </w:rPr>
        <w:lastRenderedPageBreak/>
        <w:t xml:space="preserve">Trong giai đoạn 2019-2023, thì từ </w:t>
      </w:r>
      <w:r w:rsidR="004E1831" w:rsidRPr="00423C0C">
        <w:rPr>
          <w:rFonts w:ascii="Times New Roman" w:hAnsi="Times New Roman" w:cs="Times New Roman"/>
          <w:sz w:val="26"/>
          <w:szCs w:val="26"/>
          <w:lang w:val="vi-VN"/>
        </w:rPr>
        <w:t>2019</w:t>
      </w:r>
      <w:r w:rsidR="004A1CD3" w:rsidRPr="00423C0C">
        <w:rPr>
          <w:rFonts w:ascii="Times New Roman" w:hAnsi="Times New Roman" w:cs="Times New Roman"/>
          <w:sz w:val="26"/>
          <w:szCs w:val="26"/>
          <w:lang w:val="vi-VN"/>
        </w:rPr>
        <w:t>-</w:t>
      </w:r>
      <w:r w:rsidR="004E1831" w:rsidRPr="00423C0C">
        <w:rPr>
          <w:rFonts w:ascii="Times New Roman" w:hAnsi="Times New Roman" w:cs="Times New Roman"/>
          <w:sz w:val="26"/>
          <w:szCs w:val="26"/>
          <w:lang w:val="vi-VN"/>
        </w:rPr>
        <w:t>2020:</w:t>
      </w:r>
      <w:r w:rsidR="004E1831" w:rsidRPr="004E1831">
        <w:rPr>
          <w:rFonts w:ascii="Times New Roman" w:hAnsi="Times New Roman" w:cs="Times New Roman"/>
          <w:sz w:val="26"/>
          <w:szCs w:val="26"/>
          <w:lang w:val="vi-VN"/>
        </w:rPr>
        <w:t xml:space="preserve"> Than Vàng Danh, Mông Dương và Hà Tu là ba công ty dẫn đầu về khả năng thanh toán nhanh. Trong khi đó, Hà Lầm và Núi Béo có hệ số cực kỳ thấp, phản ánh mức độ rủi ro cao trong thanh khoản</w:t>
      </w:r>
      <w:r w:rsidR="004E1831" w:rsidRPr="00F22BA5">
        <w:rPr>
          <w:rFonts w:ascii="Times New Roman" w:hAnsi="Times New Roman" w:cs="Times New Roman"/>
          <w:sz w:val="26"/>
          <w:szCs w:val="26"/>
          <w:lang w:val="vi-VN"/>
        </w:rPr>
        <w:t>.</w:t>
      </w:r>
      <w:r w:rsidRPr="00F22BA5">
        <w:rPr>
          <w:rFonts w:ascii="Times New Roman" w:hAnsi="Times New Roman" w:cs="Times New Roman"/>
          <w:i/>
          <w:iCs/>
          <w:sz w:val="26"/>
          <w:szCs w:val="26"/>
          <w:lang w:val="vi-VN"/>
        </w:rPr>
        <w:t xml:space="preserve"> </w:t>
      </w:r>
      <w:r w:rsidRPr="00423C0C">
        <w:rPr>
          <w:rFonts w:ascii="Times New Roman" w:hAnsi="Times New Roman" w:cs="Times New Roman"/>
          <w:sz w:val="26"/>
          <w:szCs w:val="26"/>
          <w:lang w:val="vi-VN"/>
        </w:rPr>
        <w:t>Từ</w:t>
      </w:r>
      <w:r w:rsidR="004E1831" w:rsidRPr="00423C0C">
        <w:rPr>
          <w:rFonts w:ascii="Times New Roman" w:hAnsi="Times New Roman" w:cs="Times New Roman"/>
          <w:sz w:val="26"/>
          <w:szCs w:val="26"/>
          <w:lang w:val="vi-VN"/>
        </w:rPr>
        <w:t xml:space="preserve"> 2021</w:t>
      </w:r>
      <w:r w:rsidRPr="00423C0C">
        <w:rPr>
          <w:rFonts w:ascii="Times New Roman" w:hAnsi="Times New Roman" w:cs="Times New Roman"/>
          <w:sz w:val="26"/>
          <w:szCs w:val="26"/>
          <w:lang w:val="vi-VN"/>
        </w:rPr>
        <w:t>-2023, CTCP than</w:t>
      </w:r>
      <w:r w:rsidR="004E1831" w:rsidRPr="00423C0C">
        <w:rPr>
          <w:rFonts w:ascii="Times New Roman" w:hAnsi="Times New Roman" w:cs="Times New Roman"/>
          <w:sz w:val="26"/>
          <w:szCs w:val="26"/>
          <w:lang w:val="vi-VN"/>
        </w:rPr>
        <w:t xml:space="preserve"> V</w:t>
      </w:r>
      <w:r w:rsidR="004E1831" w:rsidRPr="004E1831">
        <w:rPr>
          <w:rFonts w:ascii="Times New Roman" w:hAnsi="Times New Roman" w:cs="Times New Roman"/>
          <w:sz w:val="26"/>
          <w:szCs w:val="26"/>
          <w:lang w:val="vi-VN"/>
        </w:rPr>
        <w:t xml:space="preserve">àng Danh vươn lên mạnh mẽ và trở thành công ty duy nhất đạt mức an toàn (≥1,0) vào </w:t>
      </w:r>
      <w:r w:rsidR="004E1831">
        <w:rPr>
          <w:rFonts w:ascii="Times New Roman" w:hAnsi="Times New Roman" w:cs="Times New Roman"/>
          <w:sz w:val="26"/>
          <w:szCs w:val="26"/>
          <w:lang w:val="vi-VN"/>
        </w:rPr>
        <w:t xml:space="preserve">cuối </w:t>
      </w:r>
      <w:r w:rsidR="004E1831" w:rsidRPr="004E1831">
        <w:rPr>
          <w:rFonts w:ascii="Times New Roman" w:hAnsi="Times New Roman" w:cs="Times New Roman"/>
          <w:sz w:val="26"/>
          <w:szCs w:val="26"/>
          <w:lang w:val="vi-VN"/>
        </w:rPr>
        <w:t>năm 2023. Than Hà Lầm cũng tăng đáng kể</w:t>
      </w:r>
      <w:r w:rsidRPr="00F22BA5">
        <w:rPr>
          <w:rFonts w:ascii="Times New Roman" w:hAnsi="Times New Roman" w:cs="Times New Roman"/>
          <w:sz w:val="26"/>
          <w:szCs w:val="26"/>
          <w:lang w:val="vi-VN"/>
        </w:rPr>
        <w:t xml:space="preserve"> ( đạt 0,82 vào cuối năm 2023)</w:t>
      </w:r>
      <w:r w:rsidR="004E1831" w:rsidRPr="004E1831">
        <w:rPr>
          <w:rFonts w:ascii="Times New Roman" w:hAnsi="Times New Roman" w:cs="Times New Roman"/>
          <w:sz w:val="26"/>
          <w:szCs w:val="26"/>
          <w:lang w:val="vi-VN"/>
        </w:rPr>
        <w:t xml:space="preserve"> và tiệm cận ngưỡng an toàn, trong khi các công ty còn lại hoặc</w:t>
      </w:r>
      <w:r w:rsidRPr="00F22BA5">
        <w:rPr>
          <w:rFonts w:ascii="Times New Roman" w:hAnsi="Times New Roman" w:cs="Times New Roman"/>
          <w:sz w:val="26"/>
          <w:szCs w:val="26"/>
          <w:lang w:val="vi-VN"/>
        </w:rPr>
        <w:t xml:space="preserve"> có xu hướng </w:t>
      </w:r>
      <w:r>
        <w:rPr>
          <w:rFonts w:ascii="Times New Roman" w:hAnsi="Times New Roman" w:cs="Times New Roman"/>
          <w:sz w:val="26"/>
          <w:szCs w:val="26"/>
          <w:lang w:val="vi-VN"/>
        </w:rPr>
        <w:t xml:space="preserve"> </w:t>
      </w:r>
      <w:r w:rsidR="004E1831" w:rsidRPr="004E1831">
        <w:rPr>
          <w:rFonts w:ascii="Times New Roman" w:hAnsi="Times New Roman" w:cs="Times New Roman"/>
          <w:sz w:val="26"/>
          <w:szCs w:val="26"/>
          <w:lang w:val="vi-VN"/>
        </w:rPr>
        <w:t xml:space="preserve"> giảm (</w:t>
      </w:r>
      <w:r w:rsidRPr="00F22BA5">
        <w:rPr>
          <w:rFonts w:ascii="Times New Roman" w:hAnsi="Times New Roman" w:cs="Times New Roman"/>
          <w:sz w:val="26"/>
          <w:szCs w:val="26"/>
          <w:lang w:val="vi-VN"/>
        </w:rPr>
        <w:t xml:space="preserve">CTCP than </w:t>
      </w:r>
      <w:r w:rsidR="004E1831" w:rsidRPr="004E1831">
        <w:rPr>
          <w:rFonts w:ascii="Times New Roman" w:hAnsi="Times New Roman" w:cs="Times New Roman"/>
          <w:sz w:val="26"/>
          <w:szCs w:val="26"/>
          <w:lang w:val="vi-VN"/>
        </w:rPr>
        <w:t xml:space="preserve">Hà Tu, </w:t>
      </w:r>
      <w:r w:rsidRPr="00F22BA5">
        <w:rPr>
          <w:rFonts w:ascii="Times New Roman" w:hAnsi="Times New Roman" w:cs="Times New Roman"/>
          <w:sz w:val="26"/>
          <w:szCs w:val="26"/>
          <w:lang w:val="vi-VN"/>
        </w:rPr>
        <w:t xml:space="preserve">CTCP than </w:t>
      </w:r>
      <w:r w:rsidR="004E1831" w:rsidRPr="004E1831">
        <w:rPr>
          <w:rFonts w:ascii="Times New Roman" w:hAnsi="Times New Roman" w:cs="Times New Roman"/>
          <w:sz w:val="26"/>
          <w:szCs w:val="26"/>
          <w:lang w:val="vi-VN"/>
        </w:rPr>
        <w:t>Mông Dương) hoặc vẫn duy trì ở mức chưa an toàn (</w:t>
      </w:r>
      <w:r w:rsidRPr="00F22BA5">
        <w:rPr>
          <w:rFonts w:ascii="Times New Roman" w:hAnsi="Times New Roman" w:cs="Times New Roman"/>
          <w:sz w:val="26"/>
          <w:szCs w:val="26"/>
          <w:lang w:val="vi-VN"/>
        </w:rPr>
        <w:t xml:space="preserve">CTCP than </w:t>
      </w:r>
      <w:r w:rsidR="004E1831" w:rsidRPr="004E1831">
        <w:rPr>
          <w:rFonts w:ascii="Times New Roman" w:hAnsi="Times New Roman" w:cs="Times New Roman"/>
          <w:sz w:val="26"/>
          <w:szCs w:val="26"/>
          <w:lang w:val="vi-VN"/>
        </w:rPr>
        <w:t>Núi Béo).</w:t>
      </w:r>
      <w:r w:rsidR="003F5AA7" w:rsidRPr="00F22BA5">
        <w:rPr>
          <w:rFonts w:ascii="Times New Roman" w:hAnsi="Times New Roman" w:cs="Times New Roman"/>
          <w:sz w:val="26"/>
          <w:szCs w:val="26"/>
          <w:lang w:val="vi-VN"/>
        </w:rPr>
        <w:t xml:space="preserve"> Qua bảng số liệu cho thấy về cơ bản các đơn vị đều có khả năng thanh toán bình quân từ 0,47-0,53, điều này cho thấy khả năng thanh toán nhanh của các công ty đạt gần ngưỡng bình thường và tốt (0,5-1). Duy chỉ có CTCP than Núi Béo là đơn vị có khả năng thanh toán nhanh khá thấp. Với đặc thù sản xuất kinh doanh than nên các đơn vị thường có lượng hàng tồn kho khá lớn, nên sau khi loại trừ ảnh hưởng của hàng tồn kho tới khả năng thanh toán của doanh nghiệp thì có thể thấy các đơn vị có khả năng đảm bảo thanh toán nhanh các khoản nợ ngắn hạn bằng các tài sản nhanh chóng chuyển đổi thành tiền như tiền và tương đương tiền, đầu tư tài chính ngắn hạn và phải thu khách hàng.</w:t>
      </w:r>
    </w:p>
    <w:p w14:paraId="786DF7B7" w14:textId="2993BE12" w:rsidR="004E1831" w:rsidRPr="005F4105" w:rsidRDefault="004E1831" w:rsidP="005F4105">
      <w:pPr>
        <w:spacing w:line="312" w:lineRule="auto"/>
        <w:ind w:firstLine="720"/>
        <w:jc w:val="both"/>
        <w:rPr>
          <w:rFonts w:ascii="Times New Roman" w:hAnsi="Times New Roman" w:cs="Times New Roman"/>
          <w:b/>
          <w:bCs/>
          <w:i/>
          <w:iCs/>
          <w:sz w:val="26"/>
          <w:szCs w:val="26"/>
          <w:lang w:val="vi-VN"/>
        </w:rPr>
      </w:pPr>
      <w:r w:rsidRPr="004E1831">
        <w:rPr>
          <w:rFonts w:ascii="Times New Roman" w:hAnsi="Times New Roman" w:cs="Times New Roman"/>
          <w:sz w:val="26"/>
          <w:szCs w:val="26"/>
          <w:lang w:val="vi-VN"/>
        </w:rPr>
        <w:t>Như vậy ta thấy các công ty xu hướng cải thiện dần về khả năng thanh toán nhanh, nhưng sự phân hóa ngày càng rõ rệt giữa các doanh nghiệp. Than Vàng Danh và Than Hà Lầm là hai điểm sáng khi đã đạt hoặc tiệm cận mức an toàn thanh khoản trong năm 2023. Ngược lại, Than Hà Tu và Than Núi Béo cho thấy dấu hiệu suy giảm hoặc chưa cải thiện đáng kể, là tín hiệu cần theo dõi kỹ về rủi ro thanh khoản</w:t>
      </w:r>
      <w:r w:rsidR="005F4105" w:rsidRPr="00F22BA5">
        <w:rPr>
          <w:rFonts w:ascii="Times New Roman" w:hAnsi="Times New Roman" w:cs="Times New Roman"/>
          <w:sz w:val="26"/>
          <w:szCs w:val="26"/>
          <w:lang w:val="vi-VN"/>
        </w:rPr>
        <w:t xml:space="preserve"> trong ngắn hạn</w:t>
      </w:r>
      <w:r w:rsidRPr="004E1831">
        <w:rPr>
          <w:rFonts w:ascii="Times New Roman" w:hAnsi="Times New Roman" w:cs="Times New Roman"/>
          <w:sz w:val="26"/>
          <w:szCs w:val="26"/>
          <w:lang w:val="vi-VN"/>
        </w:rPr>
        <w:t>. Đặc biệt, Than Núi Béo dù có cải thiện nhưng vẫn dưới ngưỡng an toàn, cho thấy mức độ rủi ro tài chính ngắn hạn còn hiện hữu.</w:t>
      </w:r>
    </w:p>
    <w:p w14:paraId="50EC308B" w14:textId="1515CA3F" w:rsidR="00781A1C" w:rsidRPr="00781A1C" w:rsidRDefault="00DA4446" w:rsidP="008A5BBD">
      <w:pPr>
        <w:pStyle w:val="p3"/>
      </w:pPr>
      <w:bookmarkStart w:id="169" w:name="_Toc197781173"/>
      <w:bookmarkStart w:id="170" w:name="_Toc197781456"/>
      <w:bookmarkStart w:id="171" w:name="_Toc198281669"/>
      <w:bookmarkStart w:id="172" w:name="_Toc198284454"/>
      <w:bookmarkStart w:id="173" w:name="_Toc198284832"/>
      <w:bookmarkStart w:id="174" w:name="_Toc198709984"/>
      <w:r w:rsidRPr="00F22BA5">
        <w:t>+</w:t>
      </w:r>
      <w:r w:rsidR="00781A1C" w:rsidRPr="00781A1C">
        <w:t xml:space="preserve"> Hệ số</w:t>
      </w:r>
      <w:r w:rsidR="00423C0C">
        <w:t xml:space="preserve"> khả năng</w:t>
      </w:r>
      <w:r w:rsidR="00781A1C" w:rsidRPr="00781A1C">
        <w:t xml:space="preserve"> thanh toán tức thời</w:t>
      </w:r>
      <w:bookmarkEnd w:id="169"/>
      <w:bookmarkEnd w:id="170"/>
      <w:bookmarkEnd w:id="171"/>
      <w:bookmarkEnd w:id="172"/>
      <w:bookmarkEnd w:id="173"/>
      <w:bookmarkEnd w:id="174"/>
      <w:r w:rsidR="00781A1C" w:rsidRPr="00781A1C">
        <w:t xml:space="preserve"> </w:t>
      </w:r>
    </w:p>
    <w:p w14:paraId="100F296E" w14:textId="77777777" w:rsidR="00781A1C" w:rsidRPr="00781A1C" w:rsidRDefault="00781A1C" w:rsidP="00781A1C">
      <w:pPr>
        <w:spacing w:line="312" w:lineRule="auto"/>
        <w:ind w:firstLine="720"/>
        <w:jc w:val="both"/>
        <w:rPr>
          <w:rFonts w:ascii="Times New Roman" w:hAnsi="Times New Roman" w:cs="Times New Roman"/>
          <w:sz w:val="26"/>
          <w:szCs w:val="26"/>
          <w:lang w:val="vi-VN"/>
        </w:rPr>
      </w:pPr>
      <w:r w:rsidRPr="00781A1C">
        <w:rPr>
          <w:rFonts w:ascii="Times New Roman" w:hAnsi="Times New Roman" w:cs="Times New Roman"/>
          <w:sz w:val="26"/>
          <w:szCs w:val="26"/>
          <w:lang w:val="vi-VN"/>
        </w:rPr>
        <w:t>Doanh nghiệp cần tính hệ số thanh toán tức thời để đánh giá khả năng thanh toán các khoản nợ ngắn hạn mà không phải dựa vào hàng tồn kho, vốn có thể khó chuyển đổi thành tiền mặt nhanh chóng trong trường hợp khẩn cấp. Việc tính toán hệ số này giúp đảm bảo công ty duy trì khả năng thanh toán ổn định, đặc biệt trong ngành khai khoáng có tính chất chu kỳ và biến động cao.</w:t>
      </w:r>
    </w:p>
    <w:p w14:paraId="34259BC9" w14:textId="77777777" w:rsidR="003803F6" w:rsidRDefault="003803F6">
      <w:pPr>
        <w:spacing w:after="160" w:line="259" w:lineRule="auto"/>
        <w:rPr>
          <w:rFonts w:ascii="Times New Roman" w:hAnsi="Times New Roman" w:cs="Times New Roman"/>
          <w:b/>
          <w:sz w:val="26"/>
          <w:szCs w:val="26"/>
          <w:lang w:val="vi-VN"/>
        </w:rPr>
      </w:pPr>
      <w:r>
        <w:rPr>
          <w:rFonts w:ascii="Times New Roman" w:hAnsi="Times New Roman" w:cs="Times New Roman"/>
          <w:b/>
          <w:sz w:val="26"/>
          <w:szCs w:val="26"/>
          <w:lang w:val="vi-VN"/>
        </w:rPr>
        <w:br w:type="page"/>
      </w:r>
    </w:p>
    <w:p w14:paraId="17ED14C3" w14:textId="67AEB368" w:rsidR="00781A1C" w:rsidRDefault="00781A1C" w:rsidP="00781A1C">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lastRenderedPageBreak/>
        <w:t xml:space="preserve">Bảng </w:t>
      </w:r>
      <w:r w:rsidR="00621F59" w:rsidRPr="00F22BA5">
        <w:rPr>
          <w:rFonts w:ascii="Times New Roman" w:hAnsi="Times New Roman" w:cs="Times New Roman"/>
          <w:b/>
          <w:sz w:val="26"/>
          <w:szCs w:val="26"/>
          <w:lang w:val="vi-VN"/>
        </w:rPr>
        <w:t>2.5</w:t>
      </w:r>
      <w:r w:rsidRPr="0002299B">
        <w:rPr>
          <w:rFonts w:ascii="Times New Roman" w:hAnsi="Times New Roman" w:cs="Times New Roman"/>
          <w:b/>
          <w:sz w:val="26"/>
          <w:szCs w:val="26"/>
          <w:lang w:val="vi-VN"/>
        </w:rPr>
        <w:t xml:space="preserve">. Hệ số khả năng thanh toán </w:t>
      </w:r>
      <w:r>
        <w:rPr>
          <w:rFonts w:ascii="Times New Roman" w:hAnsi="Times New Roman" w:cs="Times New Roman"/>
          <w:b/>
          <w:sz w:val="26"/>
          <w:szCs w:val="26"/>
          <w:lang w:val="vi-VN"/>
        </w:rPr>
        <w:t>tức thời</w:t>
      </w:r>
      <w:r w:rsidRPr="0002299B">
        <w:rPr>
          <w:rFonts w:ascii="Times New Roman" w:hAnsi="Times New Roman" w:cs="Times New Roman"/>
          <w:b/>
          <w:sz w:val="26"/>
          <w:szCs w:val="26"/>
          <w:lang w:val="vi-VN"/>
        </w:rPr>
        <w:t xml:space="preserve"> của các CTCP niêm yết </w:t>
      </w:r>
    </w:p>
    <w:p w14:paraId="7D4241FF" w14:textId="77777777" w:rsidR="00781A1C" w:rsidRDefault="00781A1C" w:rsidP="00781A1C">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thuộc TKV</w:t>
      </w:r>
      <w:r>
        <w:rPr>
          <w:rFonts w:ascii="Times New Roman" w:hAnsi="Times New Roman" w:cs="Times New Roman"/>
          <w:b/>
          <w:sz w:val="26"/>
          <w:szCs w:val="26"/>
          <w:lang w:val="vi-VN"/>
        </w:rPr>
        <w:t xml:space="preserve"> giai đoạn 2019 – 2023</w:t>
      </w:r>
    </w:p>
    <w:p w14:paraId="7104E134" w14:textId="77777777" w:rsidR="00781A1C" w:rsidRPr="004E1831" w:rsidRDefault="00781A1C" w:rsidP="004E1831">
      <w:pPr>
        <w:spacing w:line="312" w:lineRule="auto"/>
        <w:ind w:firstLine="720"/>
        <w:jc w:val="both"/>
        <w:rPr>
          <w:rFonts w:ascii="Times New Roman" w:hAnsi="Times New Roman" w:cs="Times New Roman"/>
          <w:sz w:val="26"/>
          <w:szCs w:val="26"/>
          <w:lang w:val="vi-VN"/>
        </w:rPr>
      </w:pPr>
    </w:p>
    <w:tbl>
      <w:tblPr>
        <w:tblStyle w:val="TableGrid"/>
        <w:tblW w:w="9017" w:type="dxa"/>
        <w:jc w:val="center"/>
        <w:tblLook w:val="04A0" w:firstRow="1" w:lastRow="0" w:firstColumn="1" w:lastColumn="0" w:noHBand="0" w:noVBand="1"/>
      </w:tblPr>
      <w:tblGrid>
        <w:gridCol w:w="577"/>
        <w:gridCol w:w="1635"/>
        <w:gridCol w:w="1108"/>
        <w:gridCol w:w="1168"/>
        <w:gridCol w:w="1065"/>
        <w:gridCol w:w="1065"/>
        <w:gridCol w:w="910"/>
        <w:gridCol w:w="1489"/>
      </w:tblGrid>
      <w:tr w:rsidR="00781A1C" w:rsidRPr="00EC6124" w14:paraId="6474FCE1" w14:textId="77777777" w:rsidTr="00111E4D">
        <w:trPr>
          <w:trHeight w:val="289"/>
          <w:jc w:val="center"/>
        </w:trPr>
        <w:tc>
          <w:tcPr>
            <w:tcW w:w="577" w:type="dxa"/>
            <w:tcBorders>
              <w:top w:val="single" w:sz="4" w:space="0" w:color="auto"/>
              <w:left w:val="single" w:sz="4" w:space="0" w:color="auto"/>
              <w:bottom w:val="single" w:sz="4" w:space="0" w:color="auto"/>
              <w:right w:val="single" w:sz="4" w:space="0" w:color="auto"/>
            </w:tcBorders>
            <w:vAlign w:val="center"/>
          </w:tcPr>
          <w:p w14:paraId="4DF03B41" w14:textId="00E440FC" w:rsidR="00781A1C" w:rsidRPr="00EC6124" w:rsidRDefault="00781A1C" w:rsidP="000E6DD7">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TT</w:t>
            </w:r>
          </w:p>
        </w:tc>
        <w:tc>
          <w:tcPr>
            <w:tcW w:w="1635" w:type="dxa"/>
            <w:tcBorders>
              <w:top w:val="single" w:sz="4" w:space="0" w:color="auto"/>
              <w:left w:val="single" w:sz="4" w:space="0" w:color="auto"/>
              <w:bottom w:val="single" w:sz="4" w:space="0" w:color="auto"/>
              <w:right w:val="single" w:sz="4" w:space="0" w:color="auto"/>
            </w:tcBorders>
            <w:vAlign w:val="center"/>
            <w:hideMark/>
          </w:tcPr>
          <w:p w14:paraId="015FF9B9" w14:textId="23AAA979" w:rsidR="00781A1C" w:rsidRPr="00EC6124" w:rsidRDefault="0031049D" w:rsidP="000E6DD7">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Công ty</w:t>
            </w:r>
          </w:p>
        </w:tc>
        <w:tc>
          <w:tcPr>
            <w:tcW w:w="1108" w:type="dxa"/>
            <w:tcBorders>
              <w:top w:val="single" w:sz="4" w:space="0" w:color="auto"/>
              <w:left w:val="single" w:sz="4" w:space="0" w:color="auto"/>
              <w:bottom w:val="single" w:sz="4" w:space="0" w:color="auto"/>
              <w:right w:val="single" w:sz="4" w:space="0" w:color="auto"/>
            </w:tcBorders>
            <w:vAlign w:val="center"/>
            <w:hideMark/>
          </w:tcPr>
          <w:p w14:paraId="59FBE32E" w14:textId="77777777" w:rsidR="00781A1C" w:rsidRPr="00EC6124" w:rsidRDefault="00781A1C" w:rsidP="000E6DD7">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2019</w:t>
            </w:r>
          </w:p>
        </w:tc>
        <w:tc>
          <w:tcPr>
            <w:tcW w:w="1168" w:type="dxa"/>
            <w:tcBorders>
              <w:top w:val="single" w:sz="4" w:space="0" w:color="auto"/>
              <w:left w:val="single" w:sz="4" w:space="0" w:color="auto"/>
              <w:bottom w:val="single" w:sz="4" w:space="0" w:color="auto"/>
              <w:right w:val="single" w:sz="4" w:space="0" w:color="auto"/>
            </w:tcBorders>
            <w:vAlign w:val="center"/>
            <w:hideMark/>
          </w:tcPr>
          <w:p w14:paraId="2F4745A9" w14:textId="77777777" w:rsidR="00781A1C" w:rsidRPr="00EC6124" w:rsidRDefault="00781A1C" w:rsidP="000E6DD7">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2020</w:t>
            </w:r>
          </w:p>
        </w:tc>
        <w:tc>
          <w:tcPr>
            <w:tcW w:w="1065" w:type="dxa"/>
            <w:tcBorders>
              <w:top w:val="single" w:sz="4" w:space="0" w:color="auto"/>
              <w:left w:val="single" w:sz="4" w:space="0" w:color="auto"/>
              <w:bottom w:val="single" w:sz="4" w:space="0" w:color="auto"/>
              <w:right w:val="single" w:sz="4" w:space="0" w:color="auto"/>
            </w:tcBorders>
            <w:vAlign w:val="center"/>
            <w:hideMark/>
          </w:tcPr>
          <w:p w14:paraId="5C48438D" w14:textId="77777777" w:rsidR="00781A1C" w:rsidRPr="00EC6124" w:rsidRDefault="00781A1C" w:rsidP="000E6DD7">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2021</w:t>
            </w:r>
          </w:p>
        </w:tc>
        <w:tc>
          <w:tcPr>
            <w:tcW w:w="1065" w:type="dxa"/>
            <w:tcBorders>
              <w:top w:val="single" w:sz="4" w:space="0" w:color="auto"/>
              <w:left w:val="single" w:sz="4" w:space="0" w:color="auto"/>
              <w:bottom w:val="single" w:sz="4" w:space="0" w:color="auto"/>
              <w:right w:val="single" w:sz="4" w:space="0" w:color="auto"/>
            </w:tcBorders>
            <w:vAlign w:val="center"/>
            <w:hideMark/>
          </w:tcPr>
          <w:p w14:paraId="5B546C49" w14:textId="77777777" w:rsidR="00781A1C" w:rsidRPr="00EC6124" w:rsidRDefault="00781A1C" w:rsidP="000E6DD7">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2022</w:t>
            </w:r>
          </w:p>
        </w:tc>
        <w:tc>
          <w:tcPr>
            <w:tcW w:w="910" w:type="dxa"/>
            <w:tcBorders>
              <w:top w:val="single" w:sz="4" w:space="0" w:color="auto"/>
              <w:left w:val="single" w:sz="4" w:space="0" w:color="auto"/>
              <w:bottom w:val="single" w:sz="4" w:space="0" w:color="auto"/>
              <w:right w:val="single" w:sz="4" w:space="0" w:color="auto"/>
            </w:tcBorders>
            <w:vAlign w:val="center"/>
            <w:hideMark/>
          </w:tcPr>
          <w:p w14:paraId="50CB1438" w14:textId="77777777" w:rsidR="00781A1C" w:rsidRPr="00EC6124" w:rsidRDefault="00781A1C" w:rsidP="000E6DD7">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2023</w:t>
            </w:r>
          </w:p>
        </w:tc>
        <w:tc>
          <w:tcPr>
            <w:tcW w:w="1489" w:type="dxa"/>
            <w:tcBorders>
              <w:top w:val="single" w:sz="4" w:space="0" w:color="auto"/>
              <w:left w:val="single" w:sz="4" w:space="0" w:color="auto"/>
              <w:bottom w:val="single" w:sz="4" w:space="0" w:color="auto"/>
              <w:right w:val="single" w:sz="4" w:space="0" w:color="auto"/>
            </w:tcBorders>
            <w:vAlign w:val="center"/>
          </w:tcPr>
          <w:p w14:paraId="19D3912C" w14:textId="77777777" w:rsidR="00781A1C" w:rsidRPr="00ED2B91" w:rsidRDefault="00781A1C" w:rsidP="000E6DD7">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Bình quân</w:t>
            </w:r>
          </w:p>
        </w:tc>
      </w:tr>
      <w:tr w:rsidR="003331B9" w:rsidRPr="00EC6124" w14:paraId="15AD8CB6" w14:textId="77777777" w:rsidTr="00111E4D">
        <w:trPr>
          <w:trHeight w:val="313"/>
          <w:jc w:val="center"/>
        </w:trPr>
        <w:tc>
          <w:tcPr>
            <w:tcW w:w="577" w:type="dxa"/>
            <w:tcBorders>
              <w:top w:val="single" w:sz="4" w:space="0" w:color="auto"/>
              <w:left w:val="single" w:sz="4" w:space="0" w:color="auto"/>
              <w:bottom w:val="single" w:sz="4" w:space="0" w:color="auto"/>
              <w:right w:val="single" w:sz="4" w:space="0" w:color="auto"/>
            </w:tcBorders>
            <w:vAlign w:val="center"/>
          </w:tcPr>
          <w:p w14:paraId="610109C2" w14:textId="4F9DC196"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1</w:t>
            </w:r>
          </w:p>
        </w:tc>
        <w:tc>
          <w:tcPr>
            <w:tcW w:w="1635" w:type="dxa"/>
            <w:tcBorders>
              <w:top w:val="single" w:sz="4" w:space="0" w:color="auto"/>
              <w:left w:val="single" w:sz="4" w:space="0" w:color="auto"/>
              <w:bottom w:val="single" w:sz="4" w:space="0" w:color="auto"/>
              <w:right w:val="single" w:sz="4" w:space="0" w:color="auto"/>
            </w:tcBorders>
            <w:vAlign w:val="center"/>
            <w:hideMark/>
          </w:tcPr>
          <w:p w14:paraId="771630E8" w14:textId="30765F22"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TVD</w:t>
            </w:r>
          </w:p>
        </w:tc>
        <w:tc>
          <w:tcPr>
            <w:tcW w:w="1108" w:type="dxa"/>
            <w:tcBorders>
              <w:top w:val="single" w:sz="4" w:space="0" w:color="auto"/>
              <w:left w:val="single" w:sz="4" w:space="0" w:color="auto"/>
              <w:bottom w:val="single" w:sz="4" w:space="0" w:color="auto"/>
              <w:right w:val="single" w:sz="4" w:space="0" w:color="auto"/>
            </w:tcBorders>
            <w:vAlign w:val="center"/>
            <w:hideMark/>
          </w:tcPr>
          <w:p w14:paraId="295F2713"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0,011</w:t>
            </w:r>
          </w:p>
        </w:tc>
        <w:tc>
          <w:tcPr>
            <w:tcW w:w="1168" w:type="dxa"/>
            <w:tcBorders>
              <w:top w:val="single" w:sz="4" w:space="0" w:color="auto"/>
              <w:left w:val="single" w:sz="4" w:space="0" w:color="auto"/>
              <w:bottom w:val="single" w:sz="4" w:space="0" w:color="auto"/>
              <w:right w:val="single" w:sz="4" w:space="0" w:color="auto"/>
            </w:tcBorders>
            <w:vAlign w:val="center"/>
            <w:hideMark/>
          </w:tcPr>
          <w:p w14:paraId="426AC1DE"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0,010</w:t>
            </w:r>
          </w:p>
        </w:tc>
        <w:tc>
          <w:tcPr>
            <w:tcW w:w="1065" w:type="dxa"/>
            <w:tcBorders>
              <w:top w:val="single" w:sz="4" w:space="0" w:color="auto"/>
              <w:left w:val="single" w:sz="4" w:space="0" w:color="auto"/>
              <w:bottom w:val="single" w:sz="4" w:space="0" w:color="auto"/>
              <w:right w:val="single" w:sz="4" w:space="0" w:color="auto"/>
            </w:tcBorders>
            <w:vAlign w:val="center"/>
            <w:hideMark/>
          </w:tcPr>
          <w:p w14:paraId="149C43CF"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0,012</w:t>
            </w:r>
          </w:p>
        </w:tc>
        <w:tc>
          <w:tcPr>
            <w:tcW w:w="1065" w:type="dxa"/>
            <w:tcBorders>
              <w:top w:val="single" w:sz="4" w:space="0" w:color="auto"/>
              <w:left w:val="single" w:sz="4" w:space="0" w:color="auto"/>
              <w:bottom w:val="single" w:sz="4" w:space="0" w:color="auto"/>
              <w:right w:val="single" w:sz="4" w:space="0" w:color="auto"/>
            </w:tcBorders>
            <w:vAlign w:val="center"/>
            <w:hideMark/>
          </w:tcPr>
          <w:p w14:paraId="49E20DBA"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0,009</w:t>
            </w:r>
          </w:p>
        </w:tc>
        <w:tc>
          <w:tcPr>
            <w:tcW w:w="910" w:type="dxa"/>
            <w:tcBorders>
              <w:top w:val="single" w:sz="4" w:space="0" w:color="auto"/>
              <w:left w:val="single" w:sz="4" w:space="0" w:color="auto"/>
              <w:bottom w:val="single" w:sz="4" w:space="0" w:color="auto"/>
              <w:right w:val="single" w:sz="4" w:space="0" w:color="auto"/>
            </w:tcBorders>
            <w:vAlign w:val="center"/>
            <w:hideMark/>
          </w:tcPr>
          <w:p w14:paraId="003574E3"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0,055</w:t>
            </w:r>
          </w:p>
        </w:tc>
        <w:tc>
          <w:tcPr>
            <w:tcW w:w="1489" w:type="dxa"/>
            <w:tcBorders>
              <w:top w:val="nil"/>
              <w:left w:val="nil"/>
              <w:bottom w:val="single" w:sz="8" w:space="0" w:color="auto"/>
              <w:right w:val="single" w:sz="8" w:space="0" w:color="auto"/>
            </w:tcBorders>
            <w:shd w:val="clear" w:color="auto" w:fill="auto"/>
            <w:vAlign w:val="center"/>
          </w:tcPr>
          <w:p w14:paraId="1DD1D38D"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0,019</w:t>
            </w:r>
          </w:p>
        </w:tc>
      </w:tr>
      <w:tr w:rsidR="003331B9" w:rsidRPr="00EC6124" w14:paraId="04E10D58" w14:textId="77777777" w:rsidTr="00111E4D">
        <w:trPr>
          <w:trHeight w:val="289"/>
          <w:jc w:val="center"/>
        </w:trPr>
        <w:tc>
          <w:tcPr>
            <w:tcW w:w="577" w:type="dxa"/>
            <w:tcBorders>
              <w:top w:val="single" w:sz="4" w:space="0" w:color="auto"/>
              <w:left w:val="single" w:sz="4" w:space="0" w:color="auto"/>
              <w:bottom w:val="single" w:sz="4" w:space="0" w:color="auto"/>
              <w:right w:val="single" w:sz="4" w:space="0" w:color="auto"/>
            </w:tcBorders>
            <w:vAlign w:val="center"/>
          </w:tcPr>
          <w:p w14:paraId="56DC4194" w14:textId="7218809D"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2</w:t>
            </w:r>
          </w:p>
        </w:tc>
        <w:tc>
          <w:tcPr>
            <w:tcW w:w="1635" w:type="dxa"/>
            <w:tcBorders>
              <w:top w:val="single" w:sz="4" w:space="0" w:color="auto"/>
              <w:left w:val="single" w:sz="4" w:space="0" w:color="auto"/>
              <w:bottom w:val="single" w:sz="4" w:space="0" w:color="auto"/>
              <w:right w:val="single" w:sz="4" w:space="0" w:color="auto"/>
            </w:tcBorders>
            <w:vAlign w:val="center"/>
            <w:hideMark/>
          </w:tcPr>
          <w:p w14:paraId="3DFBE4BB" w14:textId="6B623870"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MDC</w:t>
            </w:r>
          </w:p>
        </w:tc>
        <w:tc>
          <w:tcPr>
            <w:tcW w:w="1108" w:type="dxa"/>
            <w:tcBorders>
              <w:top w:val="single" w:sz="4" w:space="0" w:color="auto"/>
              <w:left w:val="single" w:sz="4" w:space="0" w:color="auto"/>
              <w:bottom w:val="single" w:sz="4" w:space="0" w:color="auto"/>
              <w:right w:val="single" w:sz="4" w:space="0" w:color="auto"/>
            </w:tcBorders>
            <w:vAlign w:val="center"/>
            <w:hideMark/>
          </w:tcPr>
          <w:p w14:paraId="03829FC5"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0,007</w:t>
            </w:r>
          </w:p>
        </w:tc>
        <w:tc>
          <w:tcPr>
            <w:tcW w:w="1168" w:type="dxa"/>
            <w:tcBorders>
              <w:top w:val="single" w:sz="4" w:space="0" w:color="auto"/>
              <w:left w:val="nil"/>
              <w:bottom w:val="single" w:sz="4" w:space="0" w:color="auto"/>
              <w:right w:val="single" w:sz="4" w:space="0" w:color="auto"/>
            </w:tcBorders>
            <w:vAlign w:val="center"/>
            <w:hideMark/>
          </w:tcPr>
          <w:p w14:paraId="45380722"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0,004</w:t>
            </w:r>
          </w:p>
        </w:tc>
        <w:tc>
          <w:tcPr>
            <w:tcW w:w="1065" w:type="dxa"/>
            <w:tcBorders>
              <w:top w:val="single" w:sz="4" w:space="0" w:color="auto"/>
              <w:left w:val="nil"/>
              <w:bottom w:val="single" w:sz="4" w:space="0" w:color="auto"/>
              <w:right w:val="single" w:sz="4" w:space="0" w:color="auto"/>
            </w:tcBorders>
            <w:vAlign w:val="center"/>
            <w:hideMark/>
          </w:tcPr>
          <w:p w14:paraId="11767088"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0,007</w:t>
            </w:r>
          </w:p>
        </w:tc>
        <w:tc>
          <w:tcPr>
            <w:tcW w:w="1065" w:type="dxa"/>
            <w:tcBorders>
              <w:top w:val="single" w:sz="4" w:space="0" w:color="auto"/>
              <w:left w:val="nil"/>
              <w:bottom w:val="single" w:sz="4" w:space="0" w:color="auto"/>
              <w:right w:val="single" w:sz="4" w:space="0" w:color="auto"/>
            </w:tcBorders>
            <w:vAlign w:val="center"/>
            <w:hideMark/>
          </w:tcPr>
          <w:p w14:paraId="07C7C855"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0,005</w:t>
            </w:r>
          </w:p>
        </w:tc>
        <w:tc>
          <w:tcPr>
            <w:tcW w:w="910" w:type="dxa"/>
            <w:tcBorders>
              <w:top w:val="single" w:sz="4" w:space="0" w:color="auto"/>
              <w:left w:val="nil"/>
              <w:bottom w:val="single" w:sz="4" w:space="0" w:color="auto"/>
              <w:right w:val="single" w:sz="4" w:space="0" w:color="auto"/>
            </w:tcBorders>
            <w:vAlign w:val="center"/>
            <w:hideMark/>
          </w:tcPr>
          <w:p w14:paraId="165D1DD4"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0,005</w:t>
            </w:r>
          </w:p>
        </w:tc>
        <w:tc>
          <w:tcPr>
            <w:tcW w:w="1489" w:type="dxa"/>
            <w:tcBorders>
              <w:top w:val="nil"/>
              <w:left w:val="nil"/>
              <w:bottom w:val="single" w:sz="8" w:space="0" w:color="auto"/>
              <w:right w:val="single" w:sz="8" w:space="0" w:color="auto"/>
            </w:tcBorders>
            <w:shd w:val="clear" w:color="auto" w:fill="auto"/>
            <w:vAlign w:val="center"/>
          </w:tcPr>
          <w:p w14:paraId="0D4E034B"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0,006</w:t>
            </w:r>
          </w:p>
        </w:tc>
      </w:tr>
      <w:tr w:rsidR="003331B9" w:rsidRPr="00EC6124" w14:paraId="1E3DE1FB" w14:textId="77777777" w:rsidTr="00111E4D">
        <w:trPr>
          <w:trHeight w:val="331"/>
          <w:jc w:val="center"/>
        </w:trPr>
        <w:tc>
          <w:tcPr>
            <w:tcW w:w="577" w:type="dxa"/>
            <w:tcBorders>
              <w:top w:val="single" w:sz="4" w:space="0" w:color="auto"/>
              <w:left w:val="single" w:sz="4" w:space="0" w:color="auto"/>
              <w:bottom w:val="single" w:sz="4" w:space="0" w:color="auto"/>
              <w:right w:val="single" w:sz="4" w:space="0" w:color="auto"/>
            </w:tcBorders>
            <w:vAlign w:val="center"/>
          </w:tcPr>
          <w:p w14:paraId="7B0F7ABB" w14:textId="310B0CA2"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3</w:t>
            </w:r>
          </w:p>
        </w:tc>
        <w:tc>
          <w:tcPr>
            <w:tcW w:w="1635" w:type="dxa"/>
            <w:tcBorders>
              <w:top w:val="single" w:sz="4" w:space="0" w:color="auto"/>
              <w:left w:val="single" w:sz="4" w:space="0" w:color="auto"/>
              <w:bottom w:val="single" w:sz="4" w:space="0" w:color="auto"/>
              <w:right w:val="single" w:sz="4" w:space="0" w:color="auto"/>
            </w:tcBorders>
            <w:vAlign w:val="center"/>
            <w:hideMark/>
          </w:tcPr>
          <w:p w14:paraId="48C9AC2E" w14:textId="79CAF7BB"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HLC</w:t>
            </w:r>
          </w:p>
        </w:tc>
        <w:tc>
          <w:tcPr>
            <w:tcW w:w="1108" w:type="dxa"/>
            <w:tcBorders>
              <w:top w:val="single" w:sz="4" w:space="0" w:color="auto"/>
              <w:left w:val="single" w:sz="4" w:space="0" w:color="auto"/>
              <w:bottom w:val="single" w:sz="4" w:space="0" w:color="auto"/>
              <w:right w:val="single" w:sz="4" w:space="0" w:color="auto"/>
            </w:tcBorders>
            <w:vAlign w:val="center"/>
            <w:hideMark/>
          </w:tcPr>
          <w:p w14:paraId="7BDF37ED"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0,003</w:t>
            </w:r>
          </w:p>
        </w:tc>
        <w:tc>
          <w:tcPr>
            <w:tcW w:w="1168" w:type="dxa"/>
            <w:tcBorders>
              <w:top w:val="single" w:sz="4" w:space="0" w:color="auto"/>
              <w:left w:val="single" w:sz="4" w:space="0" w:color="auto"/>
              <w:bottom w:val="single" w:sz="4" w:space="0" w:color="auto"/>
              <w:right w:val="single" w:sz="4" w:space="0" w:color="auto"/>
            </w:tcBorders>
            <w:vAlign w:val="center"/>
            <w:hideMark/>
          </w:tcPr>
          <w:p w14:paraId="3D71696C"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0,003</w:t>
            </w:r>
          </w:p>
        </w:tc>
        <w:tc>
          <w:tcPr>
            <w:tcW w:w="1065" w:type="dxa"/>
            <w:tcBorders>
              <w:top w:val="single" w:sz="4" w:space="0" w:color="auto"/>
              <w:left w:val="single" w:sz="4" w:space="0" w:color="auto"/>
              <w:bottom w:val="single" w:sz="4" w:space="0" w:color="auto"/>
              <w:right w:val="single" w:sz="4" w:space="0" w:color="auto"/>
            </w:tcBorders>
            <w:vAlign w:val="center"/>
            <w:hideMark/>
          </w:tcPr>
          <w:p w14:paraId="42E6247C"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0,004</w:t>
            </w:r>
          </w:p>
        </w:tc>
        <w:tc>
          <w:tcPr>
            <w:tcW w:w="1065" w:type="dxa"/>
            <w:tcBorders>
              <w:top w:val="single" w:sz="4" w:space="0" w:color="auto"/>
              <w:left w:val="single" w:sz="4" w:space="0" w:color="auto"/>
              <w:bottom w:val="single" w:sz="4" w:space="0" w:color="auto"/>
              <w:right w:val="single" w:sz="4" w:space="0" w:color="auto"/>
            </w:tcBorders>
            <w:vAlign w:val="center"/>
            <w:hideMark/>
          </w:tcPr>
          <w:p w14:paraId="12127122"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0,003</w:t>
            </w:r>
          </w:p>
        </w:tc>
        <w:tc>
          <w:tcPr>
            <w:tcW w:w="910" w:type="dxa"/>
            <w:tcBorders>
              <w:top w:val="single" w:sz="4" w:space="0" w:color="auto"/>
              <w:left w:val="single" w:sz="4" w:space="0" w:color="auto"/>
              <w:bottom w:val="single" w:sz="4" w:space="0" w:color="auto"/>
              <w:right w:val="single" w:sz="4" w:space="0" w:color="auto"/>
            </w:tcBorders>
            <w:vAlign w:val="center"/>
            <w:hideMark/>
          </w:tcPr>
          <w:p w14:paraId="688ACEC9"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0,005</w:t>
            </w:r>
          </w:p>
        </w:tc>
        <w:tc>
          <w:tcPr>
            <w:tcW w:w="1489" w:type="dxa"/>
            <w:tcBorders>
              <w:top w:val="nil"/>
              <w:left w:val="nil"/>
              <w:bottom w:val="single" w:sz="8" w:space="0" w:color="auto"/>
              <w:right w:val="single" w:sz="8" w:space="0" w:color="auto"/>
            </w:tcBorders>
            <w:shd w:val="clear" w:color="auto" w:fill="auto"/>
            <w:vAlign w:val="center"/>
          </w:tcPr>
          <w:p w14:paraId="302BE005"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0,004</w:t>
            </w:r>
          </w:p>
        </w:tc>
      </w:tr>
      <w:tr w:rsidR="003331B9" w:rsidRPr="00EC6124" w14:paraId="51B32F2B" w14:textId="77777777" w:rsidTr="00111E4D">
        <w:trPr>
          <w:trHeight w:val="289"/>
          <w:jc w:val="center"/>
        </w:trPr>
        <w:tc>
          <w:tcPr>
            <w:tcW w:w="577" w:type="dxa"/>
            <w:tcBorders>
              <w:top w:val="single" w:sz="4" w:space="0" w:color="auto"/>
              <w:left w:val="single" w:sz="4" w:space="0" w:color="auto"/>
              <w:bottom w:val="single" w:sz="4" w:space="0" w:color="auto"/>
              <w:right w:val="single" w:sz="4" w:space="0" w:color="auto"/>
            </w:tcBorders>
            <w:vAlign w:val="center"/>
          </w:tcPr>
          <w:p w14:paraId="2260C51A" w14:textId="0FF07799"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4</w:t>
            </w:r>
          </w:p>
        </w:tc>
        <w:tc>
          <w:tcPr>
            <w:tcW w:w="1635" w:type="dxa"/>
            <w:tcBorders>
              <w:top w:val="single" w:sz="4" w:space="0" w:color="auto"/>
              <w:left w:val="single" w:sz="4" w:space="0" w:color="auto"/>
              <w:bottom w:val="single" w:sz="4" w:space="0" w:color="auto"/>
              <w:right w:val="single" w:sz="4" w:space="0" w:color="auto"/>
            </w:tcBorders>
            <w:vAlign w:val="center"/>
            <w:hideMark/>
          </w:tcPr>
          <w:p w14:paraId="47131C92" w14:textId="50049F5D"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THT</w:t>
            </w:r>
          </w:p>
        </w:tc>
        <w:tc>
          <w:tcPr>
            <w:tcW w:w="1108" w:type="dxa"/>
            <w:tcBorders>
              <w:top w:val="single" w:sz="4" w:space="0" w:color="auto"/>
              <w:left w:val="single" w:sz="4" w:space="0" w:color="auto"/>
              <w:bottom w:val="single" w:sz="4" w:space="0" w:color="auto"/>
              <w:right w:val="single" w:sz="4" w:space="0" w:color="auto"/>
            </w:tcBorders>
            <w:vAlign w:val="center"/>
            <w:hideMark/>
          </w:tcPr>
          <w:p w14:paraId="433BE455"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0,007</w:t>
            </w:r>
          </w:p>
        </w:tc>
        <w:tc>
          <w:tcPr>
            <w:tcW w:w="1168" w:type="dxa"/>
            <w:tcBorders>
              <w:top w:val="single" w:sz="4" w:space="0" w:color="auto"/>
              <w:left w:val="single" w:sz="4" w:space="0" w:color="auto"/>
              <w:bottom w:val="single" w:sz="4" w:space="0" w:color="auto"/>
              <w:right w:val="single" w:sz="4" w:space="0" w:color="auto"/>
            </w:tcBorders>
            <w:vAlign w:val="center"/>
            <w:hideMark/>
          </w:tcPr>
          <w:p w14:paraId="6BB35BCE"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0,01</w:t>
            </w:r>
          </w:p>
        </w:tc>
        <w:tc>
          <w:tcPr>
            <w:tcW w:w="1065" w:type="dxa"/>
            <w:tcBorders>
              <w:top w:val="single" w:sz="4" w:space="0" w:color="auto"/>
              <w:left w:val="single" w:sz="4" w:space="0" w:color="auto"/>
              <w:bottom w:val="single" w:sz="4" w:space="0" w:color="auto"/>
              <w:right w:val="single" w:sz="4" w:space="0" w:color="auto"/>
            </w:tcBorders>
            <w:vAlign w:val="center"/>
            <w:hideMark/>
          </w:tcPr>
          <w:p w14:paraId="5AD5E040"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0,008</w:t>
            </w:r>
          </w:p>
        </w:tc>
        <w:tc>
          <w:tcPr>
            <w:tcW w:w="1065" w:type="dxa"/>
            <w:tcBorders>
              <w:top w:val="single" w:sz="4" w:space="0" w:color="auto"/>
              <w:left w:val="single" w:sz="4" w:space="0" w:color="auto"/>
              <w:bottom w:val="single" w:sz="4" w:space="0" w:color="auto"/>
              <w:right w:val="single" w:sz="4" w:space="0" w:color="auto"/>
            </w:tcBorders>
            <w:vAlign w:val="center"/>
            <w:hideMark/>
          </w:tcPr>
          <w:p w14:paraId="5A08DF2D"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0,006</w:t>
            </w:r>
          </w:p>
        </w:tc>
        <w:tc>
          <w:tcPr>
            <w:tcW w:w="910" w:type="dxa"/>
            <w:tcBorders>
              <w:top w:val="single" w:sz="4" w:space="0" w:color="auto"/>
              <w:left w:val="single" w:sz="4" w:space="0" w:color="auto"/>
              <w:bottom w:val="single" w:sz="4" w:space="0" w:color="auto"/>
              <w:right w:val="single" w:sz="4" w:space="0" w:color="auto"/>
            </w:tcBorders>
            <w:vAlign w:val="center"/>
            <w:hideMark/>
          </w:tcPr>
          <w:p w14:paraId="216698B7"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0,005</w:t>
            </w:r>
          </w:p>
        </w:tc>
        <w:tc>
          <w:tcPr>
            <w:tcW w:w="1489" w:type="dxa"/>
            <w:tcBorders>
              <w:top w:val="nil"/>
              <w:left w:val="nil"/>
              <w:bottom w:val="single" w:sz="8" w:space="0" w:color="auto"/>
              <w:right w:val="single" w:sz="8" w:space="0" w:color="auto"/>
            </w:tcBorders>
            <w:shd w:val="clear" w:color="auto" w:fill="auto"/>
            <w:vAlign w:val="center"/>
          </w:tcPr>
          <w:p w14:paraId="77FD7660"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0,007</w:t>
            </w:r>
          </w:p>
        </w:tc>
      </w:tr>
      <w:tr w:rsidR="003331B9" w:rsidRPr="00EC6124" w14:paraId="5BE90852" w14:textId="77777777" w:rsidTr="00111E4D">
        <w:trPr>
          <w:trHeight w:val="289"/>
          <w:jc w:val="center"/>
        </w:trPr>
        <w:tc>
          <w:tcPr>
            <w:tcW w:w="577" w:type="dxa"/>
            <w:tcBorders>
              <w:top w:val="single" w:sz="4" w:space="0" w:color="auto"/>
              <w:left w:val="single" w:sz="4" w:space="0" w:color="auto"/>
              <w:bottom w:val="single" w:sz="4" w:space="0" w:color="auto"/>
              <w:right w:val="single" w:sz="4" w:space="0" w:color="auto"/>
            </w:tcBorders>
            <w:vAlign w:val="center"/>
          </w:tcPr>
          <w:p w14:paraId="535DDB72" w14:textId="1728ECC5"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5</w:t>
            </w:r>
          </w:p>
        </w:tc>
        <w:tc>
          <w:tcPr>
            <w:tcW w:w="1635" w:type="dxa"/>
            <w:tcBorders>
              <w:top w:val="single" w:sz="4" w:space="0" w:color="auto"/>
              <w:left w:val="single" w:sz="4" w:space="0" w:color="auto"/>
              <w:bottom w:val="single" w:sz="4" w:space="0" w:color="auto"/>
              <w:right w:val="single" w:sz="4" w:space="0" w:color="auto"/>
            </w:tcBorders>
            <w:vAlign w:val="center"/>
            <w:hideMark/>
          </w:tcPr>
          <w:p w14:paraId="62256CD8" w14:textId="4B46ACF8"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NBC</w:t>
            </w:r>
          </w:p>
        </w:tc>
        <w:tc>
          <w:tcPr>
            <w:tcW w:w="1108" w:type="dxa"/>
            <w:tcBorders>
              <w:top w:val="single" w:sz="4" w:space="0" w:color="auto"/>
              <w:left w:val="single" w:sz="4" w:space="0" w:color="auto"/>
              <w:bottom w:val="single" w:sz="4" w:space="0" w:color="auto"/>
              <w:right w:val="single" w:sz="4" w:space="0" w:color="auto"/>
            </w:tcBorders>
            <w:vAlign w:val="center"/>
            <w:hideMark/>
          </w:tcPr>
          <w:p w14:paraId="50CD8DB5"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0,003</w:t>
            </w:r>
          </w:p>
        </w:tc>
        <w:tc>
          <w:tcPr>
            <w:tcW w:w="1168" w:type="dxa"/>
            <w:tcBorders>
              <w:top w:val="single" w:sz="4" w:space="0" w:color="auto"/>
              <w:left w:val="single" w:sz="4" w:space="0" w:color="auto"/>
              <w:bottom w:val="single" w:sz="4" w:space="0" w:color="auto"/>
              <w:right w:val="single" w:sz="4" w:space="0" w:color="auto"/>
            </w:tcBorders>
            <w:vAlign w:val="center"/>
            <w:hideMark/>
          </w:tcPr>
          <w:p w14:paraId="78C24087"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0,003</w:t>
            </w:r>
          </w:p>
        </w:tc>
        <w:tc>
          <w:tcPr>
            <w:tcW w:w="1065" w:type="dxa"/>
            <w:tcBorders>
              <w:top w:val="single" w:sz="4" w:space="0" w:color="auto"/>
              <w:left w:val="single" w:sz="4" w:space="0" w:color="auto"/>
              <w:bottom w:val="single" w:sz="4" w:space="0" w:color="auto"/>
              <w:right w:val="single" w:sz="4" w:space="0" w:color="auto"/>
            </w:tcBorders>
            <w:vAlign w:val="center"/>
            <w:hideMark/>
          </w:tcPr>
          <w:p w14:paraId="4F326AD6"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0,002</w:t>
            </w:r>
          </w:p>
        </w:tc>
        <w:tc>
          <w:tcPr>
            <w:tcW w:w="1065" w:type="dxa"/>
            <w:tcBorders>
              <w:top w:val="single" w:sz="4" w:space="0" w:color="auto"/>
              <w:left w:val="single" w:sz="4" w:space="0" w:color="auto"/>
              <w:bottom w:val="single" w:sz="4" w:space="0" w:color="auto"/>
              <w:right w:val="single" w:sz="4" w:space="0" w:color="auto"/>
            </w:tcBorders>
            <w:vAlign w:val="center"/>
            <w:hideMark/>
          </w:tcPr>
          <w:p w14:paraId="5C396DE1"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0,001</w:t>
            </w:r>
          </w:p>
        </w:tc>
        <w:tc>
          <w:tcPr>
            <w:tcW w:w="910" w:type="dxa"/>
            <w:tcBorders>
              <w:top w:val="single" w:sz="4" w:space="0" w:color="auto"/>
              <w:left w:val="single" w:sz="4" w:space="0" w:color="auto"/>
              <w:bottom w:val="single" w:sz="4" w:space="0" w:color="auto"/>
              <w:right w:val="single" w:sz="4" w:space="0" w:color="auto"/>
            </w:tcBorders>
            <w:vAlign w:val="center"/>
            <w:hideMark/>
          </w:tcPr>
          <w:p w14:paraId="22393E49"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0,002</w:t>
            </w:r>
          </w:p>
        </w:tc>
        <w:tc>
          <w:tcPr>
            <w:tcW w:w="1489" w:type="dxa"/>
            <w:tcBorders>
              <w:top w:val="nil"/>
              <w:left w:val="nil"/>
              <w:bottom w:val="single" w:sz="8" w:space="0" w:color="auto"/>
              <w:right w:val="single" w:sz="8" w:space="0" w:color="auto"/>
            </w:tcBorders>
            <w:shd w:val="clear" w:color="auto" w:fill="auto"/>
            <w:vAlign w:val="center"/>
          </w:tcPr>
          <w:p w14:paraId="09173F6E" w14:textId="77777777" w:rsidR="003331B9" w:rsidRPr="00382A55" w:rsidRDefault="003331B9" w:rsidP="003331B9">
            <w:pPr>
              <w:spacing w:line="312" w:lineRule="auto"/>
              <w:jc w:val="center"/>
              <w:rPr>
                <w:rFonts w:ascii="Times New Roman" w:hAnsi="Times New Roman" w:cs="Times New Roman"/>
                <w:sz w:val="26"/>
                <w:szCs w:val="26"/>
              </w:rPr>
            </w:pPr>
            <w:r w:rsidRPr="00382A55">
              <w:rPr>
                <w:rFonts w:ascii="Times New Roman" w:hAnsi="Times New Roman" w:cs="Times New Roman"/>
                <w:color w:val="000000"/>
                <w:sz w:val="26"/>
                <w:szCs w:val="26"/>
              </w:rPr>
              <w:t>0,002</w:t>
            </w:r>
          </w:p>
        </w:tc>
      </w:tr>
    </w:tbl>
    <w:p w14:paraId="623AF37E" w14:textId="51F864E1" w:rsidR="0031049D" w:rsidRPr="0031049D" w:rsidRDefault="0031049D" w:rsidP="0031049D">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1EDE5D98" w14:textId="4E4C5A8F" w:rsidR="00126E2E" w:rsidRDefault="000E6DD7" w:rsidP="00126E2E">
      <w:pPr>
        <w:spacing w:after="160" w:line="278" w:lineRule="auto"/>
        <w:rPr>
          <w:rFonts w:ascii="Times New Roman" w:hAnsi="Times New Roman" w:cs="Times New Roman"/>
          <w:sz w:val="26"/>
          <w:szCs w:val="26"/>
          <w:lang w:val="vi-VN"/>
        </w:rPr>
      </w:pPr>
      <w:r>
        <w:rPr>
          <w:rFonts w:ascii="Times New Roman" w:hAnsi="Times New Roman" w:cs="Times New Roman"/>
          <w:noProof/>
          <w:sz w:val="26"/>
          <w:szCs w:val="26"/>
          <w:lang w:eastAsia="en-US"/>
        </w:rPr>
        <w:drawing>
          <wp:inline distT="0" distB="0" distL="0" distR="0" wp14:anchorId="7FAE7D48" wp14:editId="4AFF3EB3">
            <wp:extent cx="5730240" cy="3368040"/>
            <wp:effectExtent l="0" t="0" r="3810" b="3810"/>
            <wp:docPr id="13981739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7B4CB496" w14:textId="13A3CAA6" w:rsidR="000E6DD7" w:rsidRPr="00DA4446" w:rsidRDefault="00965C0C" w:rsidP="003803F6">
      <w:pPr>
        <w:spacing w:line="300" w:lineRule="auto"/>
        <w:ind w:firstLine="720"/>
        <w:jc w:val="both"/>
        <w:rPr>
          <w:rFonts w:ascii="Times New Roman" w:hAnsi="Times New Roman" w:cs="Times New Roman"/>
          <w:sz w:val="26"/>
          <w:szCs w:val="26"/>
          <w:lang w:val="vi-VN"/>
        </w:rPr>
      </w:pPr>
      <w:r w:rsidRPr="00F22BA5">
        <w:rPr>
          <w:rFonts w:ascii="Times New Roman" w:hAnsi="Times New Roman" w:cs="Times New Roman"/>
          <w:iCs/>
          <w:sz w:val="26"/>
          <w:szCs w:val="26"/>
          <w:lang w:val="vi-VN"/>
        </w:rPr>
        <w:t>Trong giai đoạn 2019 -2023</w:t>
      </w:r>
      <w:r w:rsidR="000E6DD7" w:rsidRPr="00DA4446">
        <w:rPr>
          <w:rFonts w:ascii="Times New Roman" w:hAnsi="Times New Roman" w:cs="Times New Roman"/>
          <w:iCs/>
          <w:sz w:val="26"/>
          <w:szCs w:val="26"/>
          <w:lang w:val="vi-VN"/>
        </w:rPr>
        <w:t>:</w:t>
      </w:r>
      <w:r w:rsidR="000E6DD7" w:rsidRPr="00DA4446">
        <w:rPr>
          <w:rFonts w:ascii="Times New Roman" w:hAnsi="Times New Roman" w:cs="Times New Roman"/>
          <w:sz w:val="26"/>
          <w:szCs w:val="26"/>
          <w:lang w:val="vi-VN"/>
        </w:rPr>
        <w:t xml:space="preserve"> Tất cả các công ty đều có hệ số thanh toán tức thời </w:t>
      </w:r>
      <w:r w:rsidRPr="00F22BA5">
        <w:rPr>
          <w:rFonts w:ascii="Times New Roman" w:hAnsi="Times New Roman" w:cs="Times New Roman"/>
          <w:sz w:val="26"/>
          <w:szCs w:val="26"/>
          <w:lang w:val="vi-VN"/>
        </w:rPr>
        <w:t>rất thấp</w:t>
      </w:r>
      <w:r w:rsidR="000E6DD7" w:rsidRPr="00DA4446">
        <w:rPr>
          <w:rFonts w:ascii="Times New Roman" w:hAnsi="Times New Roman" w:cs="Times New Roman"/>
          <w:sz w:val="26"/>
          <w:szCs w:val="26"/>
          <w:lang w:val="vi-VN"/>
        </w:rPr>
        <w:t>, cho thấy</w:t>
      </w:r>
      <w:r w:rsidRPr="00F22BA5">
        <w:rPr>
          <w:rFonts w:ascii="Times New Roman" w:hAnsi="Times New Roman" w:cs="Times New Roman"/>
          <w:sz w:val="26"/>
          <w:szCs w:val="26"/>
          <w:lang w:val="vi-VN"/>
        </w:rPr>
        <w:t xml:space="preserve"> các CTCP than</w:t>
      </w:r>
      <w:r w:rsidR="000E6DD7" w:rsidRPr="00DA4446">
        <w:rPr>
          <w:rFonts w:ascii="Times New Roman" w:hAnsi="Times New Roman" w:cs="Times New Roman"/>
          <w:sz w:val="26"/>
          <w:szCs w:val="26"/>
          <w:lang w:val="vi-VN"/>
        </w:rPr>
        <w:t xml:space="preserve"> nói chung có mức thanh khoản rất yếu ở khía cạnh tài sản tức thời. </w:t>
      </w:r>
      <w:r w:rsidRPr="00F22BA5">
        <w:rPr>
          <w:rFonts w:ascii="Times New Roman" w:hAnsi="Times New Roman" w:cs="Times New Roman"/>
          <w:sz w:val="26"/>
          <w:szCs w:val="26"/>
          <w:lang w:val="vi-VN"/>
        </w:rPr>
        <w:t xml:space="preserve">CTCP than </w:t>
      </w:r>
      <w:r w:rsidR="000E6DD7" w:rsidRPr="00DA4446">
        <w:rPr>
          <w:rFonts w:ascii="Times New Roman" w:hAnsi="Times New Roman" w:cs="Times New Roman"/>
          <w:sz w:val="26"/>
          <w:szCs w:val="26"/>
          <w:lang w:val="vi-VN"/>
        </w:rPr>
        <w:t>Vàng Danh và</w:t>
      </w:r>
      <w:r w:rsidRPr="00F22BA5">
        <w:rPr>
          <w:rFonts w:ascii="Times New Roman" w:hAnsi="Times New Roman" w:cs="Times New Roman"/>
          <w:sz w:val="26"/>
          <w:szCs w:val="26"/>
          <w:lang w:val="vi-VN"/>
        </w:rPr>
        <w:t xml:space="preserve"> CTCP than</w:t>
      </w:r>
      <w:r w:rsidR="000E6DD7" w:rsidRPr="00DA4446">
        <w:rPr>
          <w:rFonts w:ascii="Times New Roman" w:hAnsi="Times New Roman" w:cs="Times New Roman"/>
          <w:sz w:val="26"/>
          <w:szCs w:val="26"/>
          <w:lang w:val="vi-VN"/>
        </w:rPr>
        <w:t xml:space="preserve"> Hà Tu là hai đơn vị thường xuyên có chỉ số cao hơn. Trong khi đó,</w:t>
      </w:r>
      <w:r w:rsidRPr="00F22BA5">
        <w:rPr>
          <w:rFonts w:ascii="Times New Roman" w:hAnsi="Times New Roman" w:cs="Times New Roman"/>
          <w:sz w:val="26"/>
          <w:szCs w:val="26"/>
          <w:lang w:val="vi-VN"/>
        </w:rPr>
        <w:t xml:space="preserve"> CTCP than</w:t>
      </w:r>
      <w:r w:rsidR="000E6DD7" w:rsidRPr="00DA4446">
        <w:rPr>
          <w:rFonts w:ascii="Times New Roman" w:hAnsi="Times New Roman" w:cs="Times New Roman"/>
          <w:sz w:val="26"/>
          <w:szCs w:val="26"/>
          <w:lang w:val="vi-VN"/>
        </w:rPr>
        <w:t xml:space="preserve"> Hà Lầm và </w:t>
      </w:r>
      <w:r w:rsidRPr="00F22BA5">
        <w:rPr>
          <w:rFonts w:ascii="Times New Roman" w:hAnsi="Times New Roman" w:cs="Times New Roman"/>
          <w:sz w:val="26"/>
          <w:szCs w:val="26"/>
          <w:lang w:val="vi-VN"/>
        </w:rPr>
        <w:t xml:space="preserve">CTCP than </w:t>
      </w:r>
      <w:r w:rsidR="000E6DD7" w:rsidRPr="00DA4446">
        <w:rPr>
          <w:rFonts w:ascii="Times New Roman" w:hAnsi="Times New Roman" w:cs="Times New Roman"/>
          <w:sz w:val="26"/>
          <w:szCs w:val="26"/>
          <w:lang w:val="vi-VN"/>
        </w:rPr>
        <w:t xml:space="preserve">Núi Béo luôn </w:t>
      </w:r>
      <w:r w:rsidRPr="00F22BA5">
        <w:rPr>
          <w:rFonts w:ascii="Times New Roman" w:hAnsi="Times New Roman" w:cs="Times New Roman"/>
          <w:sz w:val="26"/>
          <w:szCs w:val="26"/>
          <w:lang w:val="vi-VN"/>
        </w:rPr>
        <w:t>có hệ số khả năng thanh toán tức thời rất thấp</w:t>
      </w:r>
      <w:r w:rsidR="000E6DD7" w:rsidRPr="00DA4446">
        <w:rPr>
          <w:rFonts w:ascii="Times New Roman" w:hAnsi="Times New Roman" w:cs="Times New Roman"/>
          <w:sz w:val="26"/>
          <w:szCs w:val="26"/>
          <w:lang w:val="vi-VN"/>
        </w:rPr>
        <w:t>.</w:t>
      </w:r>
      <w:r w:rsidRPr="00F22BA5">
        <w:rPr>
          <w:rFonts w:ascii="Times New Roman" w:hAnsi="Times New Roman" w:cs="Times New Roman"/>
          <w:sz w:val="26"/>
          <w:szCs w:val="26"/>
          <w:lang w:val="vi-VN"/>
        </w:rPr>
        <w:t xml:space="preserve"> </w:t>
      </w:r>
      <w:r w:rsidRPr="00DA4446">
        <w:rPr>
          <w:rFonts w:ascii="Times New Roman" w:hAnsi="Times New Roman" w:cs="Times New Roman"/>
          <w:iCs/>
          <w:sz w:val="26"/>
          <w:szCs w:val="26"/>
          <w:lang w:val="vi-VN"/>
        </w:rPr>
        <w:t>Năm 2023</w:t>
      </w:r>
      <w:r w:rsidRPr="00F22BA5">
        <w:rPr>
          <w:rFonts w:ascii="Times New Roman" w:hAnsi="Times New Roman" w:cs="Times New Roman"/>
          <w:iCs/>
          <w:sz w:val="26"/>
          <w:szCs w:val="26"/>
          <w:lang w:val="vi-VN"/>
        </w:rPr>
        <w:t xml:space="preserve"> đã c</w:t>
      </w:r>
      <w:r w:rsidR="000E6DD7" w:rsidRPr="00DA4446">
        <w:rPr>
          <w:rFonts w:ascii="Times New Roman" w:hAnsi="Times New Roman" w:cs="Times New Roman"/>
          <w:sz w:val="26"/>
          <w:szCs w:val="26"/>
          <w:lang w:val="vi-VN"/>
        </w:rPr>
        <w:t xml:space="preserve">ó sự phân hóa rõ rệt khi CTCP Than Vàng Danh vươn lên với mức 0,055 – gấp 11 lần mức trung bình của các công ty còn lại (~0,005). Các công ty khác vẫn duy trì ở mức thấp, cho thấy </w:t>
      </w:r>
      <w:r w:rsidRPr="00F22BA5">
        <w:rPr>
          <w:rFonts w:ascii="Times New Roman" w:hAnsi="Times New Roman" w:cs="Times New Roman"/>
          <w:sz w:val="26"/>
          <w:szCs w:val="26"/>
          <w:lang w:val="vi-VN"/>
        </w:rPr>
        <w:t xml:space="preserve">CTCP than </w:t>
      </w:r>
      <w:r w:rsidR="000E6DD7" w:rsidRPr="00DA4446">
        <w:rPr>
          <w:rFonts w:ascii="Times New Roman" w:hAnsi="Times New Roman" w:cs="Times New Roman"/>
          <w:sz w:val="26"/>
          <w:szCs w:val="26"/>
          <w:lang w:val="vi-VN"/>
        </w:rPr>
        <w:t>Vàng Danh có những điều chỉnh chiến lược về cơ cấu tài sản hoặc nghĩa vụ tài chính.</w:t>
      </w:r>
    </w:p>
    <w:p w14:paraId="75EB33ED" w14:textId="37960230" w:rsidR="000E6DD7" w:rsidRPr="00DA4446" w:rsidRDefault="000E6DD7" w:rsidP="003803F6">
      <w:pPr>
        <w:spacing w:line="300" w:lineRule="auto"/>
        <w:jc w:val="both"/>
        <w:rPr>
          <w:rFonts w:ascii="Times New Roman" w:hAnsi="Times New Roman" w:cs="Times New Roman"/>
          <w:sz w:val="26"/>
          <w:szCs w:val="26"/>
          <w:lang w:val="vi-VN"/>
        </w:rPr>
      </w:pPr>
      <w:r w:rsidRPr="00DA4446">
        <w:rPr>
          <w:rFonts w:ascii="Times New Roman" w:hAnsi="Times New Roman" w:cs="Times New Roman"/>
          <w:sz w:val="26"/>
          <w:szCs w:val="26"/>
          <w:lang w:val="vi-VN"/>
        </w:rPr>
        <w:t xml:space="preserve">Trong suốt giai đoạn từ 2019 đến 2023, có thể nhận thấy rằng </w:t>
      </w:r>
      <w:r w:rsidRPr="00DA4446">
        <w:rPr>
          <w:rFonts w:ascii="Times New Roman" w:hAnsi="Times New Roman" w:cs="Times New Roman"/>
          <w:iCs/>
          <w:sz w:val="26"/>
          <w:szCs w:val="26"/>
          <w:lang w:val="vi-VN"/>
        </w:rPr>
        <w:t>CTCP Than Vàng Danh</w:t>
      </w:r>
      <w:r w:rsidRPr="00DA4446">
        <w:rPr>
          <w:rFonts w:ascii="Times New Roman" w:hAnsi="Times New Roman" w:cs="Times New Roman"/>
          <w:sz w:val="26"/>
          <w:szCs w:val="26"/>
          <w:lang w:val="vi-VN"/>
        </w:rPr>
        <w:t xml:space="preserve"> là công ty duy nhất có sự cải thiện rõ rệt về hệ số thanh toán tức thời, từ 0,011 </w:t>
      </w:r>
      <w:r w:rsidRPr="00DA4446">
        <w:rPr>
          <w:rFonts w:ascii="Times New Roman" w:hAnsi="Times New Roman" w:cs="Times New Roman"/>
          <w:sz w:val="26"/>
          <w:szCs w:val="26"/>
          <w:lang w:val="vi-VN"/>
        </w:rPr>
        <w:lastRenderedPageBreak/>
        <w:t>lên 0,055 vào cuối năm 2023, mặc dù mức này vẫn chưa đạt ngưỡng an toàn (1,0). Tuy nhiên, sự cải thiện này cho thấy công ty đã có những bước đi tích cực trong việc cải thiện khả năng thanh toán các khoản nợ ngắn hạn bằng tài sản có tính thanh khoản cao.</w:t>
      </w:r>
    </w:p>
    <w:p w14:paraId="5B340D9F" w14:textId="77777777" w:rsidR="000E6DD7" w:rsidRPr="00DA4446" w:rsidRDefault="000E6DD7" w:rsidP="003803F6">
      <w:pPr>
        <w:spacing w:line="300" w:lineRule="auto"/>
        <w:ind w:firstLine="720"/>
        <w:jc w:val="both"/>
        <w:rPr>
          <w:rFonts w:ascii="Times New Roman" w:hAnsi="Times New Roman" w:cs="Times New Roman"/>
          <w:sz w:val="26"/>
          <w:szCs w:val="26"/>
          <w:lang w:val="vi-VN"/>
        </w:rPr>
      </w:pPr>
      <w:r w:rsidRPr="00DA4446">
        <w:rPr>
          <w:rFonts w:ascii="Times New Roman" w:hAnsi="Times New Roman" w:cs="Times New Roman"/>
          <w:sz w:val="26"/>
          <w:szCs w:val="26"/>
          <w:lang w:val="vi-VN"/>
        </w:rPr>
        <w:t xml:space="preserve">Trong khi đó, các công ty còn lại như </w:t>
      </w:r>
      <w:r w:rsidRPr="00DA4446">
        <w:rPr>
          <w:rFonts w:ascii="Times New Roman" w:hAnsi="Times New Roman" w:cs="Times New Roman"/>
          <w:iCs/>
          <w:sz w:val="26"/>
          <w:szCs w:val="26"/>
          <w:lang w:val="vi-VN"/>
        </w:rPr>
        <w:t>Than Mông Dương, Than Hà Lầm, và Than Hà Tu</w:t>
      </w:r>
      <w:r w:rsidRPr="00DA4446">
        <w:rPr>
          <w:rFonts w:ascii="Times New Roman" w:hAnsi="Times New Roman" w:cs="Times New Roman"/>
          <w:sz w:val="26"/>
          <w:szCs w:val="26"/>
          <w:lang w:val="vi-VN"/>
        </w:rPr>
        <w:t xml:space="preserve"> duy trì mức hệ số thanh toán tức thời thấp trong suốt cả 5 năm. Các hệ số của các công ty này dao động từ 0,003 đến 0,008, phản ánh khả năng thanh toán hạn chế và sự phụ thuộc vào các nguồn tài chính khác như vay mượn hoặc tài trợ từ các nguồn dài hạn. Điều này làm tăng nguy cơ về khả năng thanh toán nợ ngắn hạn, đặc biệt trong các tình huống khẩn cấp.</w:t>
      </w:r>
    </w:p>
    <w:p w14:paraId="76FB76C8" w14:textId="212DB325" w:rsidR="000E6DD7" w:rsidRPr="00DA4446" w:rsidRDefault="000E6DD7" w:rsidP="003803F6">
      <w:pPr>
        <w:spacing w:line="300" w:lineRule="auto"/>
        <w:ind w:firstLine="720"/>
        <w:jc w:val="both"/>
        <w:rPr>
          <w:rFonts w:ascii="Times New Roman" w:hAnsi="Times New Roman" w:cs="Times New Roman"/>
          <w:sz w:val="26"/>
          <w:szCs w:val="26"/>
          <w:lang w:val="vi-VN"/>
        </w:rPr>
      </w:pPr>
      <w:r w:rsidRPr="00DA4446">
        <w:rPr>
          <w:rFonts w:ascii="Times New Roman" w:hAnsi="Times New Roman" w:cs="Times New Roman"/>
          <w:iCs/>
          <w:sz w:val="26"/>
          <w:szCs w:val="26"/>
          <w:lang w:val="vi-VN"/>
        </w:rPr>
        <w:t>CTCP Than Núi Béo</w:t>
      </w:r>
      <w:r w:rsidRPr="00DA4446">
        <w:rPr>
          <w:rFonts w:ascii="Times New Roman" w:hAnsi="Times New Roman" w:cs="Times New Roman"/>
          <w:sz w:val="26"/>
          <w:szCs w:val="26"/>
          <w:lang w:val="vi-VN"/>
        </w:rPr>
        <w:t xml:space="preserve"> là công ty có hệ số thanh toán tức thời thấp nhất trong suốt 5 năm qua, với mức 0,003 vào cuối năm 2019 và giảm xuống chỉ còn 0,002 vào cuối năm 2023. Điều này cho thấy công ty này gặp rất nhiều khó khăn trong việc duy trì thanh khoản, và khả năng thanh toán các nghĩa vụ tài chính ngắn hạn là rất hạn chế, điều này có thể gây rủi ro tài chính lớn cho công ty trong trường hợp cần phải thanh toán các khoản nợ ngay lập tức.</w:t>
      </w:r>
    </w:p>
    <w:p w14:paraId="76472651" w14:textId="69418097" w:rsidR="000E6DD7" w:rsidRPr="00DA4446" w:rsidRDefault="00965C0C" w:rsidP="003803F6">
      <w:pPr>
        <w:spacing w:line="300" w:lineRule="auto"/>
        <w:jc w:val="both"/>
        <w:rPr>
          <w:rFonts w:ascii="Times New Roman" w:hAnsi="Times New Roman" w:cs="Times New Roman"/>
          <w:sz w:val="26"/>
          <w:szCs w:val="26"/>
          <w:lang w:val="vi-VN"/>
        </w:rPr>
      </w:pPr>
      <w:r w:rsidRPr="00F22BA5">
        <w:rPr>
          <w:rFonts w:ascii="Times New Roman" w:hAnsi="Times New Roman" w:cs="Times New Roman"/>
          <w:bCs/>
          <w:iCs/>
          <w:sz w:val="26"/>
          <w:szCs w:val="26"/>
          <w:lang w:val="vi-VN"/>
        </w:rPr>
        <w:t xml:space="preserve">Như vậy, </w:t>
      </w:r>
      <w:r w:rsidR="000E6DD7" w:rsidRPr="00DA4446">
        <w:rPr>
          <w:rFonts w:ascii="Times New Roman" w:hAnsi="Times New Roman" w:cs="Times New Roman"/>
          <w:sz w:val="26"/>
          <w:szCs w:val="26"/>
          <w:lang w:val="vi-VN"/>
        </w:rPr>
        <w:t>Hệ số thanh toán tức thời của các công ty than cổ phần trong giai đoạn 2019–2023 đều duy trì ở mức thấp, phản ánh tình trạng thiếu hụt tiền mặt hoặc tài sản có thể chuyển đổi ngay để thanh toán nợ ngắn hạn. Đây là dấu hiệu của rủi ro thanh khoản, đặc biệt trong điều kiện thị trường biến động hoặc dòng tiền hoạt động yếu.</w:t>
      </w:r>
    </w:p>
    <w:p w14:paraId="6E5D940E" w14:textId="1A0B3324" w:rsidR="000E6DD7" w:rsidRPr="000E6DD7" w:rsidRDefault="00423C0C" w:rsidP="003803F6">
      <w:pPr>
        <w:pStyle w:val="p3"/>
        <w:spacing w:line="300" w:lineRule="auto"/>
        <w:ind w:left="0"/>
      </w:pPr>
      <w:bookmarkStart w:id="175" w:name="_Toc197781175"/>
      <w:bookmarkStart w:id="176" w:name="_Toc197781458"/>
      <w:bookmarkStart w:id="177" w:name="_Toc198281670"/>
      <w:bookmarkStart w:id="178" w:name="_Toc198284455"/>
      <w:bookmarkStart w:id="179" w:name="_Toc198284833"/>
      <w:r>
        <w:t xml:space="preserve">     </w:t>
      </w:r>
      <w:bookmarkStart w:id="180" w:name="_Toc198709985"/>
      <w:r w:rsidR="00DA4446" w:rsidRPr="00F22BA5">
        <w:t>+</w:t>
      </w:r>
      <w:r w:rsidR="000E6DD7" w:rsidRPr="000E6DD7">
        <w:t xml:space="preserve"> Hệ số </w:t>
      </w:r>
      <w:r>
        <w:t xml:space="preserve">khả năng </w:t>
      </w:r>
      <w:r w:rsidR="000E6DD7" w:rsidRPr="000E6DD7">
        <w:t>thanh toán lãi vay</w:t>
      </w:r>
      <w:bookmarkEnd w:id="175"/>
      <w:bookmarkEnd w:id="176"/>
      <w:bookmarkEnd w:id="177"/>
      <w:bookmarkEnd w:id="178"/>
      <w:bookmarkEnd w:id="179"/>
      <w:bookmarkEnd w:id="180"/>
    </w:p>
    <w:p w14:paraId="1705DD84" w14:textId="77777777" w:rsidR="000E6DD7" w:rsidRPr="000E6DD7" w:rsidRDefault="000E6DD7" w:rsidP="003803F6">
      <w:pPr>
        <w:spacing w:line="300" w:lineRule="auto"/>
        <w:ind w:firstLine="720"/>
        <w:jc w:val="both"/>
        <w:rPr>
          <w:rFonts w:ascii="Times New Roman" w:hAnsi="Times New Roman" w:cs="Times New Roman"/>
          <w:sz w:val="26"/>
          <w:szCs w:val="26"/>
          <w:lang w:val="vi-VN"/>
        </w:rPr>
      </w:pPr>
      <w:r w:rsidRPr="000E6DD7">
        <w:rPr>
          <w:rFonts w:ascii="Times New Roman" w:hAnsi="Times New Roman" w:cs="Times New Roman"/>
          <w:sz w:val="26"/>
          <w:szCs w:val="26"/>
          <w:lang w:val="vi-VN"/>
        </w:rPr>
        <w:t>Các công ty cổ phần cần tính hệ số thanh toán lãi vay để đánh giá khả năng công ty có thể trả được lãi vay từ lợi nhuận hoạt động. Đây là chỉ tiêu quan trọng trong ngành khai khoáng, nơi doanh nghiệp thường vay vốn lớn để đầu tư vào các dự án dài hạn. Hệ số này giúp nhà đầu tư và các tổ chức tín dụng đánh giá mức độ rủi ro tài chính của công ty, đảm bảo công ty có đủ khả năng tài chính để duy trì hoạt động và trả lãi vay đúng hạn.</w:t>
      </w:r>
    </w:p>
    <w:p w14:paraId="2EAC1CFC" w14:textId="623D5478" w:rsidR="000E6DD7" w:rsidRDefault="000E6DD7" w:rsidP="000E6DD7">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 xml:space="preserve">Bảng </w:t>
      </w:r>
      <w:r w:rsidR="00621F59" w:rsidRPr="00F22BA5">
        <w:rPr>
          <w:rFonts w:ascii="Times New Roman" w:hAnsi="Times New Roman" w:cs="Times New Roman"/>
          <w:b/>
          <w:sz w:val="26"/>
          <w:szCs w:val="26"/>
          <w:lang w:val="vi-VN"/>
        </w:rPr>
        <w:t>2.6</w:t>
      </w:r>
      <w:r w:rsidRPr="0002299B">
        <w:rPr>
          <w:rFonts w:ascii="Times New Roman" w:hAnsi="Times New Roman" w:cs="Times New Roman"/>
          <w:b/>
          <w:sz w:val="26"/>
          <w:szCs w:val="26"/>
          <w:lang w:val="vi-VN"/>
        </w:rPr>
        <w:t xml:space="preserve">. Hệ số khả năng thanh toán </w:t>
      </w:r>
      <w:r>
        <w:rPr>
          <w:rFonts w:ascii="Times New Roman" w:hAnsi="Times New Roman" w:cs="Times New Roman"/>
          <w:b/>
          <w:sz w:val="26"/>
          <w:szCs w:val="26"/>
          <w:lang w:val="vi-VN"/>
        </w:rPr>
        <w:t>lãi vay</w:t>
      </w:r>
      <w:r w:rsidRPr="0002299B">
        <w:rPr>
          <w:rFonts w:ascii="Times New Roman" w:hAnsi="Times New Roman" w:cs="Times New Roman"/>
          <w:b/>
          <w:sz w:val="26"/>
          <w:szCs w:val="26"/>
          <w:lang w:val="vi-VN"/>
        </w:rPr>
        <w:t xml:space="preserve"> của các CTCP niêm yết </w:t>
      </w:r>
    </w:p>
    <w:p w14:paraId="1BE0B439" w14:textId="77777777" w:rsidR="000E6DD7" w:rsidRDefault="000E6DD7" w:rsidP="000E6DD7">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thuộc TKV</w:t>
      </w:r>
      <w:r>
        <w:rPr>
          <w:rFonts w:ascii="Times New Roman" w:hAnsi="Times New Roman" w:cs="Times New Roman"/>
          <w:b/>
          <w:sz w:val="26"/>
          <w:szCs w:val="26"/>
          <w:lang w:val="vi-VN"/>
        </w:rPr>
        <w:t xml:space="preserve"> giai đoạn 2019 – 2023</w:t>
      </w:r>
    </w:p>
    <w:tbl>
      <w:tblPr>
        <w:tblStyle w:val="TableGrid"/>
        <w:tblW w:w="9025" w:type="dxa"/>
        <w:tblInd w:w="-5" w:type="dxa"/>
        <w:tblLayout w:type="fixed"/>
        <w:tblLook w:val="04A0" w:firstRow="1" w:lastRow="0" w:firstColumn="1" w:lastColumn="0" w:noHBand="0" w:noVBand="1"/>
      </w:tblPr>
      <w:tblGrid>
        <w:gridCol w:w="780"/>
        <w:gridCol w:w="1530"/>
        <w:gridCol w:w="951"/>
        <w:gridCol w:w="992"/>
        <w:gridCol w:w="992"/>
        <w:gridCol w:w="1134"/>
        <w:gridCol w:w="1134"/>
        <w:gridCol w:w="1512"/>
      </w:tblGrid>
      <w:tr w:rsidR="000E6DD7" w:rsidRPr="00EC6124" w14:paraId="3ED3703F" w14:textId="77777777" w:rsidTr="00111E4D">
        <w:trPr>
          <w:trHeight w:val="168"/>
        </w:trPr>
        <w:tc>
          <w:tcPr>
            <w:tcW w:w="780" w:type="dxa"/>
            <w:tcBorders>
              <w:top w:val="single" w:sz="4" w:space="0" w:color="auto"/>
              <w:left w:val="single" w:sz="4" w:space="0" w:color="auto"/>
              <w:bottom w:val="single" w:sz="4" w:space="0" w:color="auto"/>
              <w:right w:val="single" w:sz="4" w:space="0" w:color="auto"/>
            </w:tcBorders>
            <w:vAlign w:val="center"/>
          </w:tcPr>
          <w:p w14:paraId="629B35E7" w14:textId="40BC7580" w:rsidR="000E6DD7" w:rsidRPr="000E6DD7" w:rsidRDefault="000E6DD7" w:rsidP="003803F6">
            <w:pPr>
              <w:jc w:val="center"/>
              <w:rPr>
                <w:rFonts w:ascii="Times New Roman" w:hAnsi="Times New Roman" w:cs="Times New Roman"/>
                <w:b/>
                <w:bCs/>
                <w:sz w:val="26"/>
                <w:szCs w:val="26"/>
                <w:lang w:val="vi-VN"/>
              </w:rPr>
            </w:pPr>
            <w:r>
              <w:rPr>
                <w:rFonts w:ascii="Times New Roman" w:hAnsi="Times New Roman" w:cs="Times New Roman"/>
                <w:b/>
                <w:bCs/>
                <w:sz w:val="26"/>
                <w:szCs w:val="26"/>
              </w:rPr>
              <w:t>TT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313EB6F" w14:textId="34F1F991" w:rsidR="000E6DD7"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Công ty</w:t>
            </w:r>
          </w:p>
        </w:tc>
        <w:tc>
          <w:tcPr>
            <w:tcW w:w="951" w:type="dxa"/>
            <w:tcBorders>
              <w:top w:val="single" w:sz="4" w:space="0" w:color="auto"/>
              <w:left w:val="single" w:sz="4" w:space="0" w:color="auto"/>
              <w:bottom w:val="single" w:sz="4" w:space="0" w:color="auto"/>
              <w:right w:val="single" w:sz="4" w:space="0" w:color="auto"/>
            </w:tcBorders>
            <w:vAlign w:val="center"/>
            <w:hideMark/>
          </w:tcPr>
          <w:p w14:paraId="5E3BEB1F" w14:textId="77777777" w:rsidR="000E6DD7" w:rsidRPr="00EC6124" w:rsidRDefault="000E6DD7"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2019</w:t>
            </w:r>
          </w:p>
        </w:tc>
        <w:tc>
          <w:tcPr>
            <w:tcW w:w="992" w:type="dxa"/>
            <w:tcBorders>
              <w:top w:val="single" w:sz="4" w:space="0" w:color="auto"/>
              <w:left w:val="single" w:sz="4" w:space="0" w:color="auto"/>
              <w:bottom w:val="single" w:sz="4" w:space="0" w:color="auto"/>
              <w:right w:val="single" w:sz="4" w:space="0" w:color="auto"/>
            </w:tcBorders>
            <w:vAlign w:val="center"/>
            <w:hideMark/>
          </w:tcPr>
          <w:p w14:paraId="3BB7F062" w14:textId="77777777" w:rsidR="000E6DD7" w:rsidRPr="00EC6124" w:rsidRDefault="000E6DD7"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8DBD90" w14:textId="77777777" w:rsidR="000E6DD7" w:rsidRPr="00EC6124" w:rsidRDefault="000E6DD7"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AE0E9C" w14:textId="77777777" w:rsidR="000E6DD7" w:rsidRPr="00EC6124" w:rsidRDefault="000E6DD7"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735396" w14:textId="77777777" w:rsidR="000E6DD7" w:rsidRPr="00EC6124" w:rsidRDefault="000E6DD7"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2023</w:t>
            </w:r>
          </w:p>
        </w:tc>
        <w:tc>
          <w:tcPr>
            <w:tcW w:w="1512" w:type="dxa"/>
            <w:tcBorders>
              <w:top w:val="single" w:sz="4" w:space="0" w:color="auto"/>
              <w:left w:val="single" w:sz="4" w:space="0" w:color="auto"/>
              <w:bottom w:val="single" w:sz="4" w:space="0" w:color="auto"/>
              <w:right w:val="single" w:sz="4" w:space="0" w:color="auto"/>
            </w:tcBorders>
            <w:vAlign w:val="center"/>
          </w:tcPr>
          <w:p w14:paraId="6D5A5DF5" w14:textId="77777777" w:rsidR="000E6DD7" w:rsidRPr="00382A55" w:rsidRDefault="000E6DD7" w:rsidP="003803F6">
            <w:pPr>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Bình quân</w:t>
            </w:r>
          </w:p>
        </w:tc>
      </w:tr>
      <w:tr w:rsidR="003331B9" w:rsidRPr="00EC6124" w14:paraId="337C44AB" w14:textId="77777777" w:rsidTr="00111E4D">
        <w:trPr>
          <w:trHeight w:val="182"/>
        </w:trPr>
        <w:tc>
          <w:tcPr>
            <w:tcW w:w="780" w:type="dxa"/>
            <w:tcBorders>
              <w:top w:val="single" w:sz="4" w:space="0" w:color="auto"/>
              <w:left w:val="single" w:sz="4" w:space="0" w:color="auto"/>
              <w:bottom w:val="single" w:sz="4" w:space="0" w:color="auto"/>
              <w:right w:val="single" w:sz="4" w:space="0" w:color="auto"/>
            </w:tcBorders>
            <w:vAlign w:val="center"/>
          </w:tcPr>
          <w:p w14:paraId="1634C373" w14:textId="416AA9F4"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1</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085FE9F" w14:textId="240370B1"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TVD</w:t>
            </w:r>
          </w:p>
        </w:tc>
        <w:tc>
          <w:tcPr>
            <w:tcW w:w="951" w:type="dxa"/>
            <w:tcBorders>
              <w:top w:val="single" w:sz="4" w:space="0" w:color="auto"/>
              <w:left w:val="single" w:sz="4" w:space="0" w:color="auto"/>
              <w:bottom w:val="single" w:sz="4" w:space="0" w:color="auto"/>
              <w:right w:val="single" w:sz="4" w:space="0" w:color="auto"/>
            </w:tcBorders>
            <w:vAlign w:val="center"/>
            <w:hideMark/>
          </w:tcPr>
          <w:p w14:paraId="3F85FC84"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1,66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2353D3B"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1F7ABBC7"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2,55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8295BD"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4,66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6B74256"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3,82</w:t>
            </w:r>
          </w:p>
        </w:tc>
        <w:tc>
          <w:tcPr>
            <w:tcW w:w="1512" w:type="dxa"/>
            <w:tcBorders>
              <w:top w:val="nil"/>
              <w:left w:val="nil"/>
              <w:bottom w:val="single" w:sz="8" w:space="0" w:color="auto"/>
              <w:right w:val="single" w:sz="8" w:space="0" w:color="auto"/>
            </w:tcBorders>
            <w:shd w:val="clear" w:color="auto" w:fill="auto"/>
            <w:vAlign w:val="center"/>
          </w:tcPr>
          <w:p w14:paraId="5F78AC71" w14:textId="77777777" w:rsidR="003331B9" w:rsidRPr="00B00F9C" w:rsidRDefault="003331B9"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2,89</w:t>
            </w:r>
          </w:p>
        </w:tc>
      </w:tr>
      <w:tr w:rsidR="003331B9" w:rsidRPr="00EC6124" w14:paraId="72F23EB7" w14:textId="77777777" w:rsidTr="00111E4D">
        <w:trPr>
          <w:trHeight w:val="168"/>
        </w:trPr>
        <w:tc>
          <w:tcPr>
            <w:tcW w:w="780" w:type="dxa"/>
            <w:tcBorders>
              <w:top w:val="single" w:sz="4" w:space="0" w:color="auto"/>
              <w:left w:val="single" w:sz="4" w:space="0" w:color="auto"/>
              <w:bottom w:val="single" w:sz="4" w:space="0" w:color="auto"/>
              <w:right w:val="single" w:sz="4" w:space="0" w:color="auto"/>
            </w:tcBorders>
            <w:vAlign w:val="center"/>
          </w:tcPr>
          <w:p w14:paraId="498C1DFD" w14:textId="119F7203"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16310E3" w14:textId="2D964E32"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MDC</w:t>
            </w:r>
          </w:p>
        </w:tc>
        <w:tc>
          <w:tcPr>
            <w:tcW w:w="951" w:type="dxa"/>
            <w:tcBorders>
              <w:top w:val="single" w:sz="4" w:space="0" w:color="auto"/>
              <w:left w:val="single" w:sz="4" w:space="0" w:color="auto"/>
              <w:bottom w:val="single" w:sz="4" w:space="0" w:color="auto"/>
              <w:right w:val="single" w:sz="4" w:space="0" w:color="auto"/>
            </w:tcBorders>
            <w:vAlign w:val="center"/>
            <w:hideMark/>
          </w:tcPr>
          <w:p w14:paraId="108BBA38"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1,65</w:t>
            </w:r>
          </w:p>
        </w:tc>
        <w:tc>
          <w:tcPr>
            <w:tcW w:w="992" w:type="dxa"/>
            <w:tcBorders>
              <w:top w:val="single" w:sz="4" w:space="0" w:color="auto"/>
              <w:left w:val="nil"/>
              <w:bottom w:val="single" w:sz="4" w:space="0" w:color="auto"/>
              <w:right w:val="single" w:sz="4" w:space="0" w:color="auto"/>
            </w:tcBorders>
            <w:vAlign w:val="center"/>
            <w:hideMark/>
          </w:tcPr>
          <w:p w14:paraId="5B73C372"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1,54</w:t>
            </w:r>
          </w:p>
        </w:tc>
        <w:tc>
          <w:tcPr>
            <w:tcW w:w="992" w:type="dxa"/>
            <w:tcBorders>
              <w:top w:val="single" w:sz="4" w:space="0" w:color="auto"/>
              <w:left w:val="nil"/>
              <w:bottom w:val="single" w:sz="4" w:space="0" w:color="auto"/>
              <w:right w:val="single" w:sz="4" w:space="0" w:color="auto"/>
            </w:tcBorders>
            <w:vAlign w:val="center"/>
            <w:hideMark/>
          </w:tcPr>
          <w:p w14:paraId="031DC2BC"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1,92</w:t>
            </w:r>
          </w:p>
        </w:tc>
        <w:tc>
          <w:tcPr>
            <w:tcW w:w="1134" w:type="dxa"/>
            <w:tcBorders>
              <w:top w:val="single" w:sz="4" w:space="0" w:color="auto"/>
              <w:left w:val="nil"/>
              <w:bottom w:val="single" w:sz="4" w:space="0" w:color="auto"/>
              <w:right w:val="single" w:sz="4" w:space="0" w:color="auto"/>
            </w:tcBorders>
            <w:vAlign w:val="center"/>
            <w:hideMark/>
          </w:tcPr>
          <w:p w14:paraId="27C4635E"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4,37</w:t>
            </w:r>
          </w:p>
        </w:tc>
        <w:tc>
          <w:tcPr>
            <w:tcW w:w="1134" w:type="dxa"/>
            <w:tcBorders>
              <w:top w:val="single" w:sz="4" w:space="0" w:color="auto"/>
              <w:left w:val="nil"/>
              <w:bottom w:val="single" w:sz="4" w:space="0" w:color="auto"/>
              <w:right w:val="single" w:sz="4" w:space="0" w:color="auto"/>
            </w:tcBorders>
            <w:vAlign w:val="center"/>
            <w:hideMark/>
          </w:tcPr>
          <w:p w14:paraId="3424C20D"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3,33</w:t>
            </w:r>
          </w:p>
        </w:tc>
        <w:tc>
          <w:tcPr>
            <w:tcW w:w="1512" w:type="dxa"/>
            <w:tcBorders>
              <w:top w:val="nil"/>
              <w:left w:val="nil"/>
              <w:bottom w:val="single" w:sz="8" w:space="0" w:color="auto"/>
              <w:right w:val="single" w:sz="8" w:space="0" w:color="auto"/>
            </w:tcBorders>
            <w:shd w:val="clear" w:color="auto" w:fill="auto"/>
            <w:vAlign w:val="center"/>
          </w:tcPr>
          <w:p w14:paraId="01354059" w14:textId="77777777" w:rsidR="003331B9" w:rsidRPr="00B00F9C" w:rsidRDefault="003331B9"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2,56</w:t>
            </w:r>
          </w:p>
        </w:tc>
      </w:tr>
      <w:tr w:rsidR="003331B9" w:rsidRPr="00EC6124" w14:paraId="0226FBA5" w14:textId="77777777" w:rsidTr="00111E4D">
        <w:trPr>
          <w:trHeight w:val="193"/>
        </w:trPr>
        <w:tc>
          <w:tcPr>
            <w:tcW w:w="780" w:type="dxa"/>
            <w:tcBorders>
              <w:top w:val="single" w:sz="4" w:space="0" w:color="auto"/>
              <w:left w:val="single" w:sz="4" w:space="0" w:color="auto"/>
              <w:bottom w:val="single" w:sz="4" w:space="0" w:color="auto"/>
              <w:right w:val="single" w:sz="4" w:space="0" w:color="auto"/>
            </w:tcBorders>
            <w:vAlign w:val="center"/>
          </w:tcPr>
          <w:p w14:paraId="58ECBF67" w14:textId="50AAAF7D"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3</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25CEF03" w14:textId="69AD1E75"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HLC</w:t>
            </w:r>
          </w:p>
        </w:tc>
        <w:tc>
          <w:tcPr>
            <w:tcW w:w="951" w:type="dxa"/>
            <w:tcBorders>
              <w:top w:val="single" w:sz="4" w:space="0" w:color="auto"/>
              <w:left w:val="single" w:sz="4" w:space="0" w:color="auto"/>
              <w:bottom w:val="single" w:sz="4" w:space="0" w:color="auto"/>
              <w:right w:val="single" w:sz="4" w:space="0" w:color="auto"/>
            </w:tcBorders>
            <w:vAlign w:val="center"/>
            <w:hideMark/>
          </w:tcPr>
          <w:p w14:paraId="524A271F"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0,54</w:t>
            </w:r>
          </w:p>
        </w:tc>
        <w:tc>
          <w:tcPr>
            <w:tcW w:w="992" w:type="dxa"/>
            <w:tcBorders>
              <w:top w:val="single" w:sz="4" w:space="0" w:color="auto"/>
              <w:left w:val="single" w:sz="4" w:space="0" w:color="auto"/>
              <w:bottom w:val="single" w:sz="4" w:space="0" w:color="auto"/>
              <w:right w:val="single" w:sz="4" w:space="0" w:color="auto"/>
            </w:tcBorders>
            <w:vAlign w:val="center"/>
            <w:hideMark/>
          </w:tcPr>
          <w:p w14:paraId="01CBB2B9"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0,20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E940A3E"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0,54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059DEB8"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0,82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C1FC81"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2,42</w:t>
            </w:r>
          </w:p>
        </w:tc>
        <w:tc>
          <w:tcPr>
            <w:tcW w:w="1512" w:type="dxa"/>
            <w:tcBorders>
              <w:top w:val="nil"/>
              <w:left w:val="nil"/>
              <w:bottom w:val="single" w:sz="8" w:space="0" w:color="auto"/>
              <w:right w:val="single" w:sz="8" w:space="0" w:color="auto"/>
            </w:tcBorders>
            <w:shd w:val="clear" w:color="auto" w:fill="auto"/>
            <w:vAlign w:val="center"/>
          </w:tcPr>
          <w:p w14:paraId="4700BB87" w14:textId="77777777" w:rsidR="003331B9" w:rsidRPr="00B00F9C" w:rsidRDefault="003331B9"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0,90</w:t>
            </w:r>
          </w:p>
        </w:tc>
      </w:tr>
      <w:tr w:rsidR="003331B9" w:rsidRPr="00EC6124" w14:paraId="46246413" w14:textId="77777777" w:rsidTr="00111E4D">
        <w:trPr>
          <w:trHeight w:val="168"/>
        </w:trPr>
        <w:tc>
          <w:tcPr>
            <w:tcW w:w="780" w:type="dxa"/>
            <w:tcBorders>
              <w:top w:val="single" w:sz="4" w:space="0" w:color="auto"/>
              <w:left w:val="single" w:sz="4" w:space="0" w:color="auto"/>
              <w:bottom w:val="single" w:sz="4" w:space="0" w:color="auto"/>
              <w:right w:val="single" w:sz="4" w:space="0" w:color="auto"/>
            </w:tcBorders>
            <w:vAlign w:val="center"/>
          </w:tcPr>
          <w:p w14:paraId="444BC3D0" w14:textId="46210AE2" w:rsidR="003331B9" w:rsidRPr="000E6DD7" w:rsidRDefault="003331B9" w:rsidP="003803F6">
            <w:pPr>
              <w:jc w:val="center"/>
              <w:rPr>
                <w:rFonts w:ascii="Times New Roman" w:hAnsi="Times New Roman" w:cs="Times New Roman"/>
                <w:b/>
                <w:bCs/>
                <w:sz w:val="26"/>
                <w:szCs w:val="26"/>
                <w:lang w:val="vi-VN"/>
              </w:rPr>
            </w:pPr>
            <w:r>
              <w:rPr>
                <w:rFonts w:ascii="Times New Roman" w:hAnsi="Times New Roman" w:cs="Times New Roman"/>
                <w:b/>
                <w:bCs/>
                <w:sz w:val="26"/>
                <w:szCs w:val="26"/>
              </w:rPr>
              <w:t>4</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C909500" w14:textId="25657FBE"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THT</w:t>
            </w:r>
          </w:p>
        </w:tc>
        <w:tc>
          <w:tcPr>
            <w:tcW w:w="951" w:type="dxa"/>
            <w:tcBorders>
              <w:top w:val="single" w:sz="4" w:space="0" w:color="auto"/>
              <w:left w:val="single" w:sz="4" w:space="0" w:color="auto"/>
              <w:bottom w:val="single" w:sz="4" w:space="0" w:color="auto"/>
              <w:right w:val="single" w:sz="4" w:space="0" w:color="auto"/>
            </w:tcBorders>
            <w:vAlign w:val="center"/>
            <w:hideMark/>
          </w:tcPr>
          <w:p w14:paraId="41B0F359"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5,48</w:t>
            </w:r>
          </w:p>
        </w:tc>
        <w:tc>
          <w:tcPr>
            <w:tcW w:w="992" w:type="dxa"/>
            <w:tcBorders>
              <w:top w:val="single" w:sz="4" w:space="0" w:color="auto"/>
              <w:left w:val="single" w:sz="4" w:space="0" w:color="auto"/>
              <w:bottom w:val="single" w:sz="4" w:space="0" w:color="auto"/>
              <w:right w:val="single" w:sz="4" w:space="0" w:color="auto"/>
            </w:tcBorders>
            <w:vAlign w:val="center"/>
            <w:hideMark/>
          </w:tcPr>
          <w:p w14:paraId="3C747FB7"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5C5455E9"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1,75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70C1F5"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3,65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CDA693"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8,75</w:t>
            </w:r>
          </w:p>
        </w:tc>
        <w:tc>
          <w:tcPr>
            <w:tcW w:w="1512" w:type="dxa"/>
            <w:tcBorders>
              <w:top w:val="nil"/>
              <w:left w:val="nil"/>
              <w:bottom w:val="single" w:sz="8" w:space="0" w:color="auto"/>
              <w:right w:val="single" w:sz="8" w:space="0" w:color="auto"/>
            </w:tcBorders>
            <w:shd w:val="clear" w:color="auto" w:fill="auto"/>
            <w:vAlign w:val="center"/>
          </w:tcPr>
          <w:p w14:paraId="667C35AF" w14:textId="77777777" w:rsidR="003331B9" w:rsidRPr="00B00F9C" w:rsidRDefault="003331B9"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4,27</w:t>
            </w:r>
          </w:p>
        </w:tc>
      </w:tr>
      <w:tr w:rsidR="003331B9" w:rsidRPr="00EC6124" w14:paraId="559B6CA5" w14:textId="77777777" w:rsidTr="00111E4D">
        <w:trPr>
          <w:trHeight w:val="168"/>
        </w:trPr>
        <w:tc>
          <w:tcPr>
            <w:tcW w:w="780" w:type="dxa"/>
            <w:tcBorders>
              <w:top w:val="single" w:sz="4" w:space="0" w:color="auto"/>
              <w:left w:val="single" w:sz="4" w:space="0" w:color="auto"/>
              <w:bottom w:val="single" w:sz="4" w:space="0" w:color="auto"/>
              <w:right w:val="single" w:sz="4" w:space="0" w:color="auto"/>
            </w:tcBorders>
            <w:vAlign w:val="center"/>
          </w:tcPr>
          <w:p w14:paraId="0B62AE97" w14:textId="465C6AC1"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D1FFD26" w14:textId="231EE704" w:rsidR="003331B9" w:rsidRPr="00EC6124" w:rsidRDefault="003331B9" w:rsidP="003803F6">
            <w:pPr>
              <w:jc w:val="center"/>
              <w:rPr>
                <w:rFonts w:ascii="Times New Roman" w:hAnsi="Times New Roman" w:cs="Times New Roman"/>
                <w:b/>
                <w:bCs/>
                <w:sz w:val="26"/>
                <w:szCs w:val="26"/>
              </w:rPr>
            </w:pPr>
            <w:r>
              <w:rPr>
                <w:rFonts w:ascii="Times New Roman" w:hAnsi="Times New Roman" w:cs="Times New Roman"/>
                <w:b/>
                <w:bCs/>
                <w:sz w:val="26"/>
                <w:szCs w:val="26"/>
              </w:rPr>
              <w:t>NBC</w:t>
            </w:r>
          </w:p>
        </w:tc>
        <w:tc>
          <w:tcPr>
            <w:tcW w:w="951" w:type="dxa"/>
            <w:tcBorders>
              <w:top w:val="single" w:sz="4" w:space="0" w:color="auto"/>
              <w:left w:val="single" w:sz="4" w:space="0" w:color="auto"/>
              <w:bottom w:val="single" w:sz="4" w:space="0" w:color="auto"/>
              <w:right w:val="single" w:sz="4" w:space="0" w:color="auto"/>
            </w:tcBorders>
            <w:vAlign w:val="center"/>
            <w:hideMark/>
          </w:tcPr>
          <w:p w14:paraId="4F3F8940"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1,39</w:t>
            </w:r>
          </w:p>
        </w:tc>
        <w:tc>
          <w:tcPr>
            <w:tcW w:w="992" w:type="dxa"/>
            <w:tcBorders>
              <w:top w:val="single" w:sz="4" w:space="0" w:color="auto"/>
              <w:left w:val="nil"/>
              <w:bottom w:val="single" w:sz="4" w:space="0" w:color="auto"/>
              <w:right w:val="single" w:sz="4" w:space="0" w:color="auto"/>
            </w:tcBorders>
            <w:vAlign w:val="center"/>
            <w:hideMark/>
          </w:tcPr>
          <w:p w14:paraId="53812C33"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1,25</w:t>
            </w:r>
          </w:p>
        </w:tc>
        <w:tc>
          <w:tcPr>
            <w:tcW w:w="992" w:type="dxa"/>
            <w:tcBorders>
              <w:top w:val="single" w:sz="4" w:space="0" w:color="auto"/>
              <w:left w:val="nil"/>
              <w:bottom w:val="single" w:sz="4" w:space="0" w:color="auto"/>
              <w:right w:val="single" w:sz="4" w:space="0" w:color="auto"/>
            </w:tcBorders>
            <w:vAlign w:val="center"/>
            <w:hideMark/>
          </w:tcPr>
          <w:p w14:paraId="1D89731A"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1,28</w:t>
            </w:r>
          </w:p>
        </w:tc>
        <w:tc>
          <w:tcPr>
            <w:tcW w:w="1134" w:type="dxa"/>
            <w:tcBorders>
              <w:top w:val="single" w:sz="4" w:space="0" w:color="auto"/>
              <w:left w:val="nil"/>
              <w:bottom w:val="single" w:sz="4" w:space="0" w:color="auto"/>
              <w:right w:val="single" w:sz="4" w:space="0" w:color="auto"/>
            </w:tcBorders>
            <w:vAlign w:val="center"/>
            <w:hideMark/>
          </w:tcPr>
          <w:p w14:paraId="3D11665E"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1,38</w:t>
            </w:r>
          </w:p>
        </w:tc>
        <w:tc>
          <w:tcPr>
            <w:tcW w:w="1134" w:type="dxa"/>
            <w:tcBorders>
              <w:top w:val="single" w:sz="4" w:space="0" w:color="auto"/>
              <w:left w:val="nil"/>
              <w:bottom w:val="single" w:sz="4" w:space="0" w:color="auto"/>
              <w:right w:val="single" w:sz="4" w:space="0" w:color="auto"/>
            </w:tcBorders>
            <w:shd w:val="clear" w:color="auto" w:fill="FFFFFF"/>
            <w:vAlign w:val="center"/>
            <w:hideMark/>
          </w:tcPr>
          <w:p w14:paraId="5F90E748" w14:textId="77777777" w:rsidR="003331B9" w:rsidRPr="00EC6124" w:rsidRDefault="003331B9" w:rsidP="003803F6">
            <w:pPr>
              <w:jc w:val="center"/>
              <w:rPr>
                <w:rFonts w:ascii="Times New Roman" w:hAnsi="Times New Roman" w:cs="Times New Roman"/>
                <w:sz w:val="26"/>
                <w:szCs w:val="26"/>
              </w:rPr>
            </w:pPr>
            <w:r w:rsidRPr="00EC6124">
              <w:rPr>
                <w:rFonts w:ascii="Times New Roman" w:hAnsi="Times New Roman" w:cs="Times New Roman"/>
                <w:sz w:val="26"/>
                <w:szCs w:val="26"/>
              </w:rPr>
              <w:t>1,99</w:t>
            </w:r>
          </w:p>
        </w:tc>
        <w:tc>
          <w:tcPr>
            <w:tcW w:w="1512" w:type="dxa"/>
            <w:tcBorders>
              <w:top w:val="nil"/>
              <w:left w:val="nil"/>
              <w:bottom w:val="single" w:sz="8" w:space="0" w:color="auto"/>
              <w:right w:val="single" w:sz="8" w:space="0" w:color="auto"/>
            </w:tcBorders>
            <w:shd w:val="clear" w:color="auto" w:fill="auto"/>
            <w:vAlign w:val="center"/>
          </w:tcPr>
          <w:p w14:paraId="5505ABC4" w14:textId="77777777" w:rsidR="003331B9" w:rsidRPr="00B00F9C" w:rsidRDefault="003331B9"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1,46</w:t>
            </w:r>
          </w:p>
        </w:tc>
      </w:tr>
    </w:tbl>
    <w:p w14:paraId="38CAAC3E" w14:textId="7D596C0E" w:rsidR="0031049D" w:rsidRPr="0031049D" w:rsidRDefault="0031049D" w:rsidP="0031049D">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65B4669A" w14:textId="229492A6" w:rsidR="000E6DD7" w:rsidRPr="0002299B" w:rsidRDefault="00CA6AC4" w:rsidP="000E6DD7">
      <w:pPr>
        <w:spacing w:after="160" w:line="278" w:lineRule="auto"/>
        <w:jc w:val="both"/>
        <w:rPr>
          <w:rFonts w:ascii="Times New Roman" w:hAnsi="Times New Roman" w:cs="Times New Roman"/>
          <w:sz w:val="26"/>
          <w:szCs w:val="26"/>
          <w:lang w:val="vi-VN"/>
        </w:rPr>
      </w:pPr>
      <w:r>
        <w:rPr>
          <w:rFonts w:ascii="Times New Roman" w:hAnsi="Times New Roman" w:cs="Times New Roman"/>
          <w:b/>
          <w:bCs/>
          <w:noProof/>
          <w:sz w:val="26"/>
          <w:szCs w:val="26"/>
          <w:lang w:eastAsia="en-US"/>
        </w:rPr>
        <w:lastRenderedPageBreak/>
        <w:drawing>
          <wp:inline distT="0" distB="0" distL="0" distR="0" wp14:anchorId="574E84D2" wp14:editId="0197A401">
            <wp:extent cx="5753100" cy="2644140"/>
            <wp:effectExtent l="0" t="0" r="0" b="3810"/>
            <wp:docPr id="1267832640"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67C92878" w14:textId="77777777" w:rsidR="00CA6AC4" w:rsidRPr="00CA6AC4" w:rsidRDefault="00CA6AC4" w:rsidP="00CA6AC4">
      <w:pPr>
        <w:spacing w:line="312" w:lineRule="auto"/>
        <w:ind w:firstLine="720"/>
        <w:jc w:val="both"/>
        <w:rPr>
          <w:rFonts w:ascii="Times New Roman" w:hAnsi="Times New Roman" w:cs="Times New Roman"/>
          <w:sz w:val="26"/>
          <w:szCs w:val="26"/>
          <w:lang w:val="vi-VN"/>
        </w:rPr>
      </w:pPr>
      <w:r w:rsidRPr="00CA6AC4">
        <w:rPr>
          <w:rFonts w:ascii="Times New Roman" w:hAnsi="Times New Roman" w:cs="Times New Roman"/>
          <w:i/>
          <w:iCs/>
          <w:sz w:val="26"/>
          <w:szCs w:val="26"/>
          <w:lang w:val="vi-VN"/>
        </w:rPr>
        <w:t>Giai đoạn 2019-2020:</w:t>
      </w:r>
      <w:r w:rsidRPr="00CA6AC4">
        <w:rPr>
          <w:rFonts w:ascii="Times New Roman" w:hAnsi="Times New Roman" w:cs="Times New Roman"/>
          <w:sz w:val="26"/>
          <w:szCs w:val="26"/>
          <w:lang w:val="vi-VN"/>
        </w:rPr>
        <w:t xml:space="preserve"> Hệ số thanh toán lãi vay của các công ty đều có sự giảm sút nhất định vào năm 2020. Đây có thể là kết quả của sự ảnh hưởng từ đại dịch COVID-19, khi các công ty phải đối mặt với tình hình kinh doanh khó khăn và tăng trưởng lợi nhuận không ổn định. Các công ty có mức hệ số thanh toán lãi vay thấp như CTCP Than Hà Lầm đã gặp khó khăn trong việc đảm bảo khả năng thanh toán lãi vay, trong khi các công ty khác như CTCP Than Hà Tu vẫn duy trì được mức cao.</w:t>
      </w:r>
    </w:p>
    <w:p w14:paraId="61671CF3" w14:textId="35FB3447" w:rsidR="00CA6AC4" w:rsidRPr="00CA6AC4" w:rsidRDefault="00CA6AC4" w:rsidP="009A55C2">
      <w:pPr>
        <w:spacing w:line="312" w:lineRule="auto"/>
        <w:ind w:firstLine="720"/>
        <w:jc w:val="both"/>
        <w:rPr>
          <w:rFonts w:ascii="Times New Roman" w:hAnsi="Times New Roman" w:cs="Times New Roman"/>
          <w:sz w:val="26"/>
          <w:szCs w:val="26"/>
          <w:lang w:val="vi-VN"/>
        </w:rPr>
      </w:pPr>
      <w:r w:rsidRPr="00CA6AC4">
        <w:rPr>
          <w:rFonts w:ascii="Times New Roman" w:hAnsi="Times New Roman" w:cs="Times New Roman"/>
          <w:i/>
          <w:iCs/>
          <w:sz w:val="26"/>
          <w:szCs w:val="26"/>
          <w:lang w:val="vi-VN"/>
        </w:rPr>
        <w:t>Giai đoạn 2021-2022:</w:t>
      </w:r>
      <w:r w:rsidRPr="00CA6AC4">
        <w:rPr>
          <w:rFonts w:ascii="Times New Roman" w:hAnsi="Times New Roman" w:cs="Times New Roman"/>
          <w:sz w:val="26"/>
          <w:szCs w:val="26"/>
          <w:lang w:val="vi-VN"/>
        </w:rPr>
        <w:t xml:space="preserve"> Đây là giai đoạn phục hồi sau đại dịch. Các công ty Than Vàng Danh, Than Mông Dương và Than Hà Tu ghi nhận sự tăng mạnh trong hệ số thanh toán lãi vay, đặc biệt là vào năm 2022, khi nền kinh tế hồi phục và các công ty này đã cải thiện đáng kể khả năng thanh toán lãi vay của mình. Mặt khác, CTCP Than Hà Lầm ghi nhận sự tăng trưởng mạnh mẽ từ năm 2021 đến 2023.</w:t>
      </w:r>
      <w:r w:rsidR="009A55C2" w:rsidRPr="00F22BA5">
        <w:rPr>
          <w:rFonts w:ascii="Times New Roman" w:hAnsi="Times New Roman" w:cs="Times New Roman"/>
          <w:sz w:val="26"/>
          <w:szCs w:val="26"/>
          <w:lang w:val="vi-VN"/>
        </w:rPr>
        <w:t xml:space="preserve"> </w:t>
      </w:r>
      <w:r w:rsidR="009A55C2" w:rsidRPr="00F22BA5">
        <w:rPr>
          <w:rFonts w:ascii="Times New Roman" w:hAnsi="Times New Roman" w:cs="Times New Roman"/>
          <w:iCs/>
          <w:sz w:val="26"/>
          <w:szCs w:val="26"/>
          <w:lang w:val="vi-VN"/>
        </w:rPr>
        <w:t>Đến năm</w:t>
      </w:r>
      <w:r w:rsidRPr="00B647D3">
        <w:rPr>
          <w:rFonts w:ascii="Times New Roman" w:hAnsi="Times New Roman" w:cs="Times New Roman"/>
          <w:iCs/>
          <w:sz w:val="26"/>
          <w:szCs w:val="26"/>
          <w:lang w:val="vi-VN"/>
        </w:rPr>
        <w:t xml:space="preserve"> 2023</w:t>
      </w:r>
      <w:r w:rsidRPr="00CA6AC4">
        <w:rPr>
          <w:rFonts w:ascii="Times New Roman" w:hAnsi="Times New Roman" w:cs="Times New Roman"/>
          <w:i/>
          <w:iCs/>
          <w:sz w:val="26"/>
          <w:szCs w:val="26"/>
          <w:lang w:val="vi-VN"/>
        </w:rPr>
        <w:t>:</w:t>
      </w:r>
      <w:r w:rsidRPr="00CA6AC4">
        <w:rPr>
          <w:rFonts w:ascii="Times New Roman" w:hAnsi="Times New Roman" w:cs="Times New Roman"/>
          <w:sz w:val="26"/>
          <w:szCs w:val="26"/>
          <w:lang w:val="vi-VN"/>
        </w:rPr>
        <w:t xml:space="preserve"> Các công ty như CTCP Than Hà Tu, Than Vàng Danh và Than Mông Dương vẫn duy trì mức hệ số cao, cho thấy khả năng thanh toán lãi vay đã ổn định và có sự cải thiện rõ rệt. Tuy nhiên, CTCP Than Hà Lầm và CTCP Than Núi Béo đều ghi nhận sự cải thiện vượt bậc trong năm 2023, điều này có thể chỉ ra một chiến lược tài chính mới hoặc điều chỉnh hiệu quả trong hoạt động của các công ty này.</w:t>
      </w:r>
    </w:p>
    <w:p w14:paraId="7A544940" w14:textId="6CA160D3" w:rsidR="00CA6AC4" w:rsidRDefault="00B647D3" w:rsidP="00B647D3">
      <w:pPr>
        <w:spacing w:line="312" w:lineRule="auto"/>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Như vậy, </w:t>
      </w:r>
      <w:r w:rsidR="00CA6AC4" w:rsidRPr="00AF3D5D">
        <w:rPr>
          <w:rFonts w:ascii="Times New Roman" w:hAnsi="Times New Roman" w:cs="Times New Roman"/>
          <w:sz w:val="26"/>
          <w:szCs w:val="26"/>
          <w:lang w:val="vi-VN"/>
        </w:rPr>
        <w:t xml:space="preserve">Hệ số thanh toán lãi vay của các </w:t>
      </w:r>
      <w:r w:rsidRPr="00F22BA5">
        <w:rPr>
          <w:rFonts w:ascii="Times New Roman" w:hAnsi="Times New Roman" w:cs="Times New Roman"/>
          <w:sz w:val="26"/>
          <w:szCs w:val="26"/>
          <w:lang w:val="vi-VN"/>
        </w:rPr>
        <w:t>CTCP</w:t>
      </w:r>
      <w:r w:rsidR="00CA6AC4" w:rsidRPr="00AF3D5D">
        <w:rPr>
          <w:rFonts w:ascii="Times New Roman" w:hAnsi="Times New Roman" w:cs="Times New Roman"/>
          <w:sz w:val="26"/>
          <w:szCs w:val="26"/>
          <w:lang w:val="vi-VN"/>
        </w:rPr>
        <w:t xml:space="preserve"> than trong giai đoạn 2019-2023 cho thấy sự biến động khá lớn, với một số công ty có khả năng thanh toán lãi vay mạnh mẽ và ổn định, trong khi một số công ty khác phải đối mặt với khó khăn trong giai đoạn đầu và có sự cải thiện vào cuối giai đoạn. Các công ty có hệ số thanh toán lãi vay ổn định và cao như CTCP Than Hà Tu và CTCP Than Vàng Danh cho thấy khả năng tài chính mạnh mẽ và khả năng quản lý nợ tốt. Trong khi đó, CTCP Than Hà Lầm và CTCP Than Núi Béo cũng đã ghi nhận sự cải thiện đáng </w:t>
      </w:r>
      <w:r w:rsidR="00CA6AC4" w:rsidRPr="00AF3D5D">
        <w:rPr>
          <w:rFonts w:ascii="Times New Roman" w:hAnsi="Times New Roman" w:cs="Times New Roman"/>
          <w:sz w:val="26"/>
          <w:szCs w:val="26"/>
          <w:lang w:val="vi-VN"/>
        </w:rPr>
        <w:lastRenderedPageBreak/>
        <w:t>kể, chứng tỏ khả năng vượt qua khó khăn tài chính và cải thiện khả năng thanh toán lãi vay.</w:t>
      </w:r>
    </w:p>
    <w:p w14:paraId="50A77C43" w14:textId="43C80F88" w:rsidR="00CA6AC4" w:rsidRPr="00B564BE" w:rsidRDefault="00CA6AC4" w:rsidP="005B0517">
      <w:pPr>
        <w:pStyle w:val="Heading3"/>
        <w:rPr>
          <w:lang w:val="vi-VN"/>
        </w:rPr>
      </w:pPr>
      <w:bookmarkStart w:id="181" w:name="_Toc197781176"/>
      <w:bookmarkStart w:id="182" w:name="_Toc197781459"/>
      <w:bookmarkStart w:id="183" w:name="_Toc198709986"/>
      <w:r w:rsidRPr="00B564BE">
        <w:rPr>
          <w:lang w:val="vi-VN"/>
        </w:rPr>
        <w:t>2.3.2. Cơ cấu nguồn vốn và tài sản</w:t>
      </w:r>
      <w:bookmarkEnd w:id="181"/>
      <w:bookmarkEnd w:id="182"/>
      <w:r w:rsidR="007541B0">
        <w:rPr>
          <w:lang w:val="vi-VN"/>
        </w:rPr>
        <w:t xml:space="preserve"> của các công ty</w:t>
      </w:r>
      <w:bookmarkEnd w:id="183"/>
      <w:r w:rsidRPr="00B564BE">
        <w:rPr>
          <w:lang w:val="vi-VN"/>
        </w:rPr>
        <w:t xml:space="preserve"> </w:t>
      </w:r>
    </w:p>
    <w:p w14:paraId="4456F9EB" w14:textId="2022DB8E" w:rsidR="00CA6AC4" w:rsidRPr="00CA6AC4" w:rsidRDefault="00423C0C" w:rsidP="00621F59">
      <w:pPr>
        <w:pStyle w:val="p3"/>
        <w:ind w:left="0"/>
      </w:pPr>
      <w:bookmarkStart w:id="184" w:name="_Toc197781177"/>
      <w:bookmarkStart w:id="185" w:name="_Toc197781460"/>
      <w:bookmarkStart w:id="186" w:name="_Toc198281671"/>
      <w:bookmarkStart w:id="187" w:name="_Toc198284456"/>
      <w:bookmarkStart w:id="188" w:name="_Toc198284835"/>
      <w:r>
        <w:t xml:space="preserve">     </w:t>
      </w:r>
      <w:bookmarkStart w:id="189" w:name="_Toc198709987"/>
      <w:r w:rsidR="00DA4446" w:rsidRPr="00F22BA5">
        <w:t>+</w:t>
      </w:r>
      <w:r w:rsidR="00CA6AC4" w:rsidRPr="00CA6AC4">
        <w:t xml:space="preserve"> Hệ số nợ trên tổng tài sản</w:t>
      </w:r>
      <w:bookmarkEnd w:id="184"/>
      <w:bookmarkEnd w:id="185"/>
      <w:bookmarkEnd w:id="186"/>
      <w:bookmarkEnd w:id="187"/>
      <w:bookmarkEnd w:id="188"/>
      <w:bookmarkEnd w:id="189"/>
    </w:p>
    <w:p w14:paraId="57BE9592" w14:textId="4399A123" w:rsidR="00CA6AC4" w:rsidRPr="00CA6AC4" w:rsidRDefault="00423C0C" w:rsidP="003331B9">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           </w:t>
      </w:r>
      <w:r w:rsidR="00CA6AC4" w:rsidRPr="00CA6AC4">
        <w:rPr>
          <w:rFonts w:ascii="Times New Roman" w:hAnsi="Times New Roman" w:cs="Times New Roman"/>
          <w:sz w:val="26"/>
          <w:szCs w:val="26"/>
          <w:lang w:val="vi-VN"/>
        </w:rPr>
        <w:t>Công ty cổ phần niêm yết cần tính hệ số nợ trên tổng tài sản vì đây là một chỉ tiêu quan trọng giúp đánh giá khả năng tài chính và mức độ rủi ro của công ty, nó cho biết mức độ sử dụng nợ trong cơ cấu tài chính của công ty. Chỉ số này giúp cổ đông, nhà đầu tư và các bên liên quan hiểu rõ hơn về khả năng chịu đựng rủi ro tài chính của công ty. Nếu tỷ lệ nợ trên tổng tài sản quá cao, có thể ảnh hưởng đến khả năng thanh toán nợ và khả năng phát triển bền vững của công ty. Đây cũng là yếu tố quan trọng để đánh giá sự ổn định và khả năng sinh lời trong dài hạn của công ty trên thị trường chứng khoán.</w:t>
      </w:r>
    </w:p>
    <w:p w14:paraId="669ED187" w14:textId="77412158" w:rsidR="00CA6AC4" w:rsidRDefault="00CA6AC4" w:rsidP="009C5163">
      <w:pPr>
        <w:spacing w:after="160" w:line="259" w:lineRule="auto"/>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 xml:space="preserve">Bảng </w:t>
      </w:r>
      <w:r w:rsidR="00621F59" w:rsidRPr="00F22BA5">
        <w:rPr>
          <w:rFonts w:ascii="Times New Roman" w:hAnsi="Times New Roman" w:cs="Times New Roman"/>
          <w:b/>
          <w:sz w:val="26"/>
          <w:szCs w:val="26"/>
          <w:lang w:val="vi-VN"/>
        </w:rPr>
        <w:t>2.7</w:t>
      </w:r>
      <w:r w:rsidRPr="0002299B">
        <w:rPr>
          <w:rFonts w:ascii="Times New Roman" w:hAnsi="Times New Roman" w:cs="Times New Roman"/>
          <w:b/>
          <w:sz w:val="26"/>
          <w:szCs w:val="26"/>
          <w:lang w:val="vi-VN"/>
        </w:rPr>
        <w:t xml:space="preserve">. Hệ số </w:t>
      </w:r>
      <w:r>
        <w:rPr>
          <w:rFonts w:ascii="Times New Roman" w:hAnsi="Times New Roman" w:cs="Times New Roman"/>
          <w:b/>
          <w:sz w:val="26"/>
          <w:szCs w:val="26"/>
          <w:lang w:val="vi-VN"/>
        </w:rPr>
        <w:t xml:space="preserve">nợ trên tổng tài sản </w:t>
      </w:r>
      <w:r w:rsidRPr="0002299B">
        <w:rPr>
          <w:rFonts w:ascii="Times New Roman" w:hAnsi="Times New Roman" w:cs="Times New Roman"/>
          <w:b/>
          <w:sz w:val="26"/>
          <w:szCs w:val="26"/>
          <w:lang w:val="vi-VN"/>
        </w:rPr>
        <w:t>của các CTCP niêm yết</w:t>
      </w:r>
    </w:p>
    <w:p w14:paraId="75D91775" w14:textId="77777777" w:rsidR="00CA6AC4" w:rsidRDefault="00CA6AC4" w:rsidP="00CA6AC4">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thuộc TKV</w:t>
      </w:r>
      <w:r>
        <w:rPr>
          <w:rFonts w:ascii="Times New Roman" w:hAnsi="Times New Roman" w:cs="Times New Roman"/>
          <w:b/>
          <w:sz w:val="26"/>
          <w:szCs w:val="26"/>
          <w:lang w:val="vi-VN"/>
        </w:rPr>
        <w:t xml:space="preserve"> giai đoạn 2019 – 2023</w:t>
      </w:r>
    </w:p>
    <w:tbl>
      <w:tblPr>
        <w:tblStyle w:val="TableGrid"/>
        <w:tblW w:w="8505" w:type="dxa"/>
        <w:tblInd w:w="421" w:type="dxa"/>
        <w:tblLook w:val="04A0" w:firstRow="1" w:lastRow="0" w:firstColumn="1" w:lastColumn="0" w:noHBand="0" w:noVBand="1"/>
      </w:tblPr>
      <w:tblGrid>
        <w:gridCol w:w="850"/>
        <w:gridCol w:w="1490"/>
        <w:gridCol w:w="843"/>
        <w:gridCol w:w="884"/>
        <w:gridCol w:w="978"/>
        <w:gridCol w:w="957"/>
        <w:gridCol w:w="984"/>
        <w:gridCol w:w="1519"/>
      </w:tblGrid>
      <w:tr w:rsidR="00CA6AC4" w:rsidRPr="00EC6124" w14:paraId="5FBEAD9D" w14:textId="77777777" w:rsidTr="00111E4D">
        <w:trPr>
          <w:trHeight w:val="225"/>
        </w:trPr>
        <w:tc>
          <w:tcPr>
            <w:tcW w:w="850" w:type="dxa"/>
            <w:tcBorders>
              <w:top w:val="single" w:sz="4" w:space="0" w:color="auto"/>
              <w:left w:val="single" w:sz="4" w:space="0" w:color="auto"/>
              <w:bottom w:val="single" w:sz="4" w:space="0" w:color="auto"/>
              <w:right w:val="single" w:sz="4" w:space="0" w:color="auto"/>
            </w:tcBorders>
            <w:vAlign w:val="center"/>
          </w:tcPr>
          <w:p w14:paraId="59D13AD4" w14:textId="68D4F51D" w:rsidR="00CA6AC4" w:rsidRPr="00EC6124" w:rsidRDefault="00CA6AC4" w:rsidP="00CA6AC4">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TT</w:t>
            </w:r>
          </w:p>
        </w:tc>
        <w:tc>
          <w:tcPr>
            <w:tcW w:w="1490" w:type="dxa"/>
            <w:tcBorders>
              <w:top w:val="single" w:sz="4" w:space="0" w:color="auto"/>
              <w:left w:val="single" w:sz="4" w:space="0" w:color="auto"/>
              <w:bottom w:val="single" w:sz="4" w:space="0" w:color="auto"/>
              <w:right w:val="single" w:sz="4" w:space="0" w:color="auto"/>
            </w:tcBorders>
            <w:vAlign w:val="center"/>
            <w:hideMark/>
          </w:tcPr>
          <w:p w14:paraId="2161C6E6" w14:textId="1EDB4A24" w:rsidR="00CA6AC4" w:rsidRPr="00EC6124" w:rsidRDefault="0031049D" w:rsidP="00CA6AC4">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Công ty</w:t>
            </w:r>
          </w:p>
        </w:tc>
        <w:tc>
          <w:tcPr>
            <w:tcW w:w="843" w:type="dxa"/>
            <w:tcBorders>
              <w:top w:val="single" w:sz="4" w:space="0" w:color="auto"/>
              <w:left w:val="single" w:sz="4" w:space="0" w:color="auto"/>
              <w:bottom w:val="single" w:sz="4" w:space="0" w:color="auto"/>
              <w:right w:val="single" w:sz="4" w:space="0" w:color="auto"/>
            </w:tcBorders>
            <w:vAlign w:val="center"/>
            <w:hideMark/>
          </w:tcPr>
          <w:p w14:paraId="3F18320F" w14:textId="77777777" w:rsidR="00CA6AC4" w:rsidRPr="00EC6124" w:rsidRDefault="00CA6AC4" w:rsidP="00CA6AC4">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2019</w:t>
            </w:r>
          </w:p>
        </w:tc>
        <w:tc>
          <w:tcPr>
            <w:tcW w:w="884" w:type="dxa"/>
            <w:tcBorders>
              <w:top w:val="single" w:sz="4" w:space="0" w:color="auto"/>
              <w:left w:val="single" w:sz="4" w:space="0" w:color="auto"/>
              <w:bottom w:val="single" w:sz="4" w:space="0" w:color="auto"/>
              <w:right w:val="single" w:sz="4" w:space="0" w:color="auto"/>
            </w:tcBorders>
            <w:vAlign w:val="center"/>
            <w:hideMark/>
          </w:tcPr>
          <w:p w14:paraId="1E452E63" w14:textId="77777777" w:rsidR="00CA6AC4" w:rsidRPr="00EC6124" w:rsidRDefault="00CA6AC4" w:rsidP="00CA6AC4">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2020</w:t>
            </w:r>
          </w:p>
        </w:tc>
        <w:tc>
          <w:tcPr>
            <w:tcW w:w="978" w:type="dxa"/>
            <w:tcBorders>
              <w:top w:val="single" w:sz="4" w:space="0" w:color="auto"/>
              <w:left w:val="single" w:sz="4" w:space="0" w:color="auto"/>
              <w:bottom w:val="single" w:sz="4" w:space="0" w:color="auto"/>
              <w:right w:val="single" w:sz="4" w:space="0" w:color="auto"/>
            </w:tcBorders>
            <w:vAlign w:val="center"/>
            <w:hideMark/>
          </w:tcPr>
          <w:p w14:paraId="5F1143A3" w14:textId="77777777" w:rsidR="00CA6AC4" w:rsidRPr="00EC6124" w:rsidRDefault="00CA6AC4" w:rsidP="00CA6AC4">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2021</w:t>
            </w:r>
          </w:p>
        </w:tc>
        <w:tc>
          <w:tcPr>
            <w:tcW w:w="957" w:type="dxa"/>
            <w:tcBorders>
              <w:top w:val="single" w:sz="4" w:space="0" w:color="auto"/>
              <w:left w:val="single" w:sz="4" w:space="0" w:color="auto"/>
              <w:bottom w:val="single" w:sz="4" w:space="0" w:color="auto"/>
              <w:right w:val="single" w:sz="4" w:space="0" w:color="auto"/>
            </w:tcBorders>
            <w:vAlign w:val="center"/>
            <w:hideMark/>
          </w:tcPr>
          <w:p w14:paraId="345C9C7B" w14:textId="77777777" w:rsidR="00CA6AC4" w:rsidRPr="00EC6124" w:rsidRDefault="00CA6AC4" w:rsidP="00CA6AC4">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2022</w:t>
            </w:r>
          </w:p>
        </w:tc>
        <w:tc>
          <w:tcPr>
            <w:tcW w:w="984" w:type="dxa"/>
            <w:tcBorders>
              <w:top w:val="single" w:sz="4" w:space="0" w:color="auto"/>
              <w:left w:val="single" w:sz="4" w:space="0" w:color="auto"/>
              <w:bottom w:val="single" w:sz="4" w:space="0" w:color="auto"/>
              <w:right w:val="single" w:sz="4" w:space="0" w:color="auto"/>
            </w:tcBorders>
            <w:vAlign w:val="center"/>
            <w:hideMark/>
          </w:tcPr>
          <w:p w14:paraId="5FEBF379" w14:textId="77777777" w:rsidR="00CA6AC4" w:rsidRPr="00EC6124" w:rsidRDefault="00CA6AC4" w:rsidP="00CA6AC4">
            <w:pPr>
              <w:spacing w:line="312" w:lineRule="auto"/>
              <w:jc w:val="center"/>
              <w:rPr>
                <w:rFonts w:ascii="Times New Roman" w:hAnsi="Times New Roman" w:cs="Times New Roman"/>
                <w:b/>
                <w:bCs/>
                <w:sz w:val="26"/>
                <w:szCs w:val="26"/>
              </w:rPr>
            </w:pPr>
            <w:r w:rsidRPr="00EC6124">
              <w:rPr>
                <w:rFonts w:ascii="Times New Roman" w:hAnsi="Times New Roman" w:cs="Times New Roman"/>
                <w:b/>
                <w:bCs/>
                <w:sz w:val="26"/>
                <w:szCs w:val="26"/>
              </w:rPr>
              <w:t>2023</w:t>
            </w:r>
          </w:p>
        </w:tc>
        <w:tc>
          <w:tcPr>
            <w:tcW w:w="1519" w:type="dxa"/>
            <w:tcBorders>
              <w:top w:val="single" w:sz="4" w:space="0" w:color="auto"/>
              <w:left w:val="single" w:sz="4" w:space="0" w:color="auto"/>
              <w:bottom w:val="single" w:sz="4" w:space="0" w:color="auto"/>
              <w:right w:val="single" w:sz="4" w:space="0" w:color="auto"/>
            </w:tcBorders>
            <w:vAlign w:val="center"/>
          </w:tcPr>
          <w:p w14:paraId="79E84C29" w14:textId="77777777" w:rsidR="00CA6AC4" w:rsidRPr="002A560D" w:rsidRDefault="00CA6AC4" w:rsidP="00CA6AC4">
            <w:pPr>
              <w:spacing w:line="312" w:lineRule="auto"/>
              <w:jc w:val="center"/>
              <w:rPr>
                <w:rFonts w:ascii="Times New Roman" w:hAnsi="Times New Roman" w:cs="Times New Roman"/>
                <w:b/>
                <w:bCs/>
                <w:sz w:val="26"/>
                <w:szCs w:val="26"/>
                <w:lang w:val="vi-VN"/>
              </w:rPr>
            </w:pPr>
            <w:r>
              <w:rPr>
                <w:rFonts w:ascii="Times New Roman" w:hAnsi="Times New Roman" w:cs="Times New Roman"/>
                <w:b/>
                <w:bCs/>
                <w:sz w:val="26"/>
                <w:szCs w:val="26"/>
              </w:rPr>
              <w:t>Bình</w:t>
            </w:r>
            <w:r>
              <w:rPr>
                <w:rFonts w:ascii="Times New Roman" w:hAnsi="Times New Roman" w:cs="Times New Roman"/>
                <w:b/>
                <w:bCs/>
                <w:sz w:val="26"/>
                <w:szCs w:val="26"/>
                <w:lang w:val="vi-VN"/>
              </w:rPr>
              <w:t xml:space="preserve"> quân</w:t>
            </w:r>
          </w:p>
        </w:tc>
      </w:tr>
      <w:tr w:rsidR="003331B9" w:rsidRPr="00EC6124" w14:paraId="4D5696A2" w14:textId="77777777" w:rsidTr="00111E4D">
        <w:trPr>
          <w:trHeight w:val="244"/>
        </w:trPr>
        <w:tc>
          <w:tcPr>
            <w:tcW w:w="850" w:type="dxa"/>
            <w:tcBorders>
              <w:top w:val="single" w:sz="4" w:space="0" w:color="auto"/>
              <w:left w:val="single" w:sz="4" w:space="0" w:color="auto"/>
              <w:bottom w:val="single" w:sz="4" w:space="0" w:color="auto"/>
              <w:right w:val="single" w:sz="4" w:space="0" w:color="auto"/>
            </w:tcBorders>
            <w:vAlign w:val="center"/>
          </w:tcPr>
          <w:p w14:paraId="5E4E4373" w14:textId="2BDAC8FF"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1</w:t>
            </w:r>
          </w:p>
        </w:tc>
        <w:tc>
          <w:tcPr>
            <w:tcW w:w="1490" w:type="dxa"/>
            <w:tcBorders>
              <w:top w:val="single" w:sz="4" w:space="0" w:color="auto"/>
              <w:left w:val="single" w:sz="4" w:space="0" w:color="auto"/>
              <w:bottom w:val="single" w:sz="4" w:space="0" w:color="auto"/>
              <w:right w:val="single" w:sz="4" w:space="0" w:color="auto"/>
            </w:tcBorders>
            <w:vAlign w:val="center"/>
            <w:hideMark/>
          </w:tcPr>
          <w:p w14:paraId="31174F74" w14:textId="0DD70939"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TVD</w:t>
            </w:r>
          </w:p>
        </w:tc>
        <w:tc>
          <w:tcPr>
            <w:tcW w:w="843" w:type="dxa"/>
            <w:tcBorders>
              <w:top w:val="single" w:sz="4" w:space="0" w:color="auto"/>
              <w:left w:val="single" w:sz="4" w:space="0" w:color="auto"/>
              <w:bottom w:val="single" w:sz="4" w:space="0" w:color="auto"/>
              <w:right w:val="single" w:sz="4" w:space="0" w:color="auto"/>
            </w:tcBorders>
            <w:vAlign w:val="center"/>
            <w:hideMark/>
          </w:tcPr>
          <w:p w14:paraId="664FF2CD"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0,80</w:t>
            </w:r>
          </w:p>
        </w:tc>
        <w:tc>
          <w:tcPr>
            <w:tcW w:w="884" w:type="dxa"/>
            <w:tcBorders>
              <w:top w:val="single" w:sz="4" w:space="0" w:color="auto"/>
              <w:left w:val="single" w:sz="4" w:space="0" w:color="auto"/>
              <w:bottom w:val="single" w:sz="4" w:space="0" w:color="auto"/>
              <w:right w:val="single" w:sz="4" w:space="0" w:color="auto"/>
            </w:tcBorders>
            <w:vAlign w:val="center"/>
            <w:hideMark/>
          </w:tcPr>
          <w:p w14:paraId="24227E43"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0,81</w:t>
            </w:r>
          </w:p>
        </w:tc>
        <w:tc>
          <w:tcPr>
            <w:tcW w:w="978" w:type="dxa"/>
            <w:tcBorders>
              <w:top w:val="single" w:sz="4" w:space="0" w:color="auto"/>
              <w:left w:val="single" w:sz="4" w:space="0" w:color="auto"/>
              <w:bottom w:val="single" w:sz="4" w:space="0" w:color="auto"/>
              <w:right w:val="single" w:sz="4" w:space="0" w:color="auto"/>
            </w:tcBorders>
            <w:vAlign w:val="center"/>
            <w:hideMark/>
          </w:tcPr>
          <w:p w14:paraId="5A52975F"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0,77</w:t>
            </w:r>
          </w:p>
        </w:tc>
        <w:tc>
          <w:tcPr>
            <w:tcW w:w="957" w:type="dxa"/>
            <w:tcBorders>
              <w:top w:val="single" w:sz="4" w:space="0" w:color="auto"/>
              <w:left w:val="single" w:sz="4" w:space="0" w:color="auto"/>
              <w:bottom w:val="single" w:sz="4" w:space="0" w:color="auto"/>
              <w:right w:val="single" w:sz="4" w:space="0" w:color="auto"/>
            </w:tcBorders>
            <w:vAlign w:val="center"/>
            <w:hideMark/>
          </w:tcPr>
          <w:p w14:paraId="2D85F8D8"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0,75</w:t>
            </w:r>
          </w:p>
        </w:tc>
        <w:tc>
          <w:tcPr>
            <w:tcW w:w="984" w:type="dxa"/>
            <w:tcBorders>
              <w:top w:val="single" w:sz="4" w:space="0" w:color="auto"/>
              <w:left w:val="single" w:sz="4" w:space="0" w:color="auto"/>
              <w:bottom w:val="single" w:sz="4" w:space="0" w:color="auto"/>
              <w:right w:val="single" w:sz="4" w:space="0" w:color="auto"/>
            </w:tcBorders>
            <w:vAlign w:val="center"/>
            <w:hideMark/>
          </w:tcPr>
          <w:p w14:paraId="07A84E70"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0,67</w:t>
            </w:r>
          </w:p>
        </w:tc>
        <w:tc>
          <w:tcPr>
            <w:tcW w:w="1519" w:type="dxa"/>
            <w:tcBorders>
              <w:top w:val="single" w:sz="4" w:space="0" w:color="auto"/>
              <w:left w:val="nil"/>
              <w:bottom w:val="single" w:sz="4" w:space="0" w:color="auto"/>
              <w:right w:val="single" w:sz="4" w:space="0" w:color="auto"/>
            </w:tcBorders>
            <w:shd w:val="clear" w:color="auto" w:fill="auto"/>
            <w:vAlign w:val="center"/>
          </w:tcPr>
          <w:p w14:paraId="5ED5DB9A" w14:textId="77777777" w:rsidR="003331B9" w:rsidRPr="00B00F9C" w:rsidRDefault="003331B9" w:rsidP="003331B9">
            <w:pPr>
              <w:spacing w:line="312" w:lineRule="auto"/>
              <w:jc w:val="center"/>
              <w:rPr>
                <w:rFonts w:ascii="Times New Roman" w:hAnsi="Times New Roman" w:cs="Times New Roman"/>
                <w:sz w:val="28"/>
                <w:szCs w:val="28"/>
              </w:rPr>
            </w:pPr>
            <w:r w:rsidRPr="00B00F9C">
              <w:rPr>
                <w:rFonts w:ascii="Times New Roman" w:hAnsi="Times New Roman" w:cs="Times New Roman"/>
                <w:color w:val="000000"/>
                <w:sz w:val="28"/>
                <w:szCs w:val="28"/>
              </w:rPr>
              <w:t>0,76</w:t>
            </w:r>
          </w:p>
        </w:tc>
      </w:tr>
      <w:tr w:rsidR="003331B9" w:rsidRPr="00EC6124" w14:paraId="18CB8717" w14:textId="77777777" w:rsidTr="00111E4D">
        <w:trPr>
          <w:trHeight w:val="225"/>
        </w:trPr>
        <w:tc>
          <w:tcPr>
            <w:tcW w:w="850" w:type="dxa"/>
            <w:tcBorders>
              <w:top w:val="single" w:sz="4" w:space="0" w:color="auto"/>
              <w:left w:val="single" w:sz="4" w:space="0" w:color="auto"/>
              <w:bottom w:val="single" w:sz="4" w:space="0" w:color="auto"/>
              <w:right w:val="single" w:sz="4" w:space="0" w:color="auto"/>
            </w:tcBorders>
            <w:vAlign w:val="center"/>
          </w:tcPr>
          <w:p w14:paraId="412D009E" w14:textId="25391E48"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2</w:t>
            </w:r>
          </w:p>
        </w:tc>
        <w:tc>
          <w:tcPr>
            <w:tcW w:w="1490" w:type="dxa"/>
            <w:tcBorders>
              <w:top w:val="single" w:sz="4" w:space="0" w:color="auto"/>
              <w:left w:val="single" w:sz="4" w:space="0" w:color="auto"/>
              <w:bottom w:val="single" w:sz="4" w:space="0" w:color="auto"/>
              <w:right w:val="single" w:sz="4" w:space="0" w:color="auto"/>
            </w:tcBorders>
            <w:vAlign w:val="center"/>
            <w:hideMark/>
          </w:tcPr>
          <w:p w14:paraId="0DDDB014" w14:textId="6FA871AD"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MDC</w:t>
            </w:r>
          </w:p>
        </w:tc>
        <w:tc>
          <w:tcPr>
            <w:tcW w:w="843" w:type="dxa"/>
            <w:tcBorders>
              <w:top w:val="single" w:sz="4" w:space="0" w:color="auto"/>
              <w:left w:val="single" w:sz="4" w:space="0" w:color="auto"/>
              <w:bottom w:val="single" w:sz="4" w:space="0" w:color="auto"/>
              <w:right w:val="single" w:sz="4" w:space="0" w:color="auto"/>
            </w:tcBorders>
            <w:vAlign w:val="center"/>
            <w:hideMark/>
          </w:tcPr>
          <w:p w14:paraId="0CB89FF9"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0,77</w:t>
            </w:r>
          </w:p>
        </w:tc>
        <w:tc>
          <w:tcPr>
            <w:tcW w:w="884" w:type="dxa"/>
            <w:tcBorders>
              <w:top w:val="single" w:sz="4" w:space="0" w:color="auto"/>
              <w:left w:val="nil"/>
              <w:bottom w:val="single" w:sz="4" w:space="0" w:color="auto"/>
              <w:right w:val="single" w:sz="4" w:space="0" w:color="auto"/>
            </w:tcBorders>
            <w:vAlign w:val="center"/>
            <w:hideMark/>
          </w:tcPr>
          <w:p w14:paraId="21DDC97C"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0,83</w:t>
            </w:r>
          </w:p>
        </w:tc>
        <w:tc>
          <w:tcPr>
            <w:tcW w:w="978" w:type="dxa"/>
            <w:tcBorders>
              <w:top w:val="single" w:sz="4" w:space="0" w:color="auto"/>
              <w:left w:val="nil"/>
              <w:bottom w:val="single" w:sz="4" w:space="0" w:color="auto"/>
              <w:right w:val="single" w:sz="4" w:space="0" w:color="auto"/>
            </w:tcBorders>
            <w:vAlign w:val="center"/>
            <w:hideMark/>
          </w:tcPr>
          <w:p w14:paraId="54874C19"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0,78</w:t>
            </w:r>
          </w:p>
        </w:tc>
        <w:tc>
          <w:tcPr>
            <w:tcW w:w="957" w:type="dxa"/>
            <w:tcBorders>
              <w:top w:val="single" w:sz="4" w:space="0" w:color="auto"/>
              <w:left w:val="nil"/>
              <w:bottom w:val="single" w:sz="4" w:space="0" w:color="auto"/>
              <w:right w:val="single" w:sz="4" w:space="0" w:color="auto"/>
            </w:tcBorders>
            <w:vAlign w:val="center"/>
            <w:hideMark/>
          </w:tcPr>
          <w:p w14:paraId="657F41CF"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0,78</w:t>
            </w:r>
          </w:p>
        </w:tc>
        <w:tc>
          <w:tcPr>
            <w:tcW w:w="984" w:type="dxa"/>
            <w:tcBorders>
              <w:top w:val="single" w:sz="4" w:space="0" w:color="auto"/>
              <w:left w:val="nil"/>
              <w:bottom w:val="single" w:sz="4" w:space="0" w:color="auto"/>
              <w:right w:val="single" w:sz="4" w:space="0" w:color="auto"/>
            </w:tcBorders>
            <w:vAlign w:val="center"/>
            <w:hideMark/>
          </w:tcPr>
          <w:p w14:paraId="5E0C7D29"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0,69</w:t>
            </w:r>
          </w:p>
        </w:tc>
        <w:tc>
          <w:tcPr>
            <w:tcW w:w="1519" w:type="dxa"/>
            <w:tcBorders>
              <w:top w:val="single" w:sz="4" w:space="0" w:color="auto"/>
              <w:left w:val="nil"/>
              <w:bottom w:val="single" w:sz="4" w:space="0" w:color="auto"/>
              <w:right w:val="single" w:sz="4" w:space="0" w:color="auto"/>
            </w:tcBorders>
            <w:shd w:val="clear" w:color="auto" w:fill="auto"/>
            <w:vAlign w:val="center"/>
          </w:tcPr>
          <w:p w14:paraId="202A7B5E" w14:textId="77777777" w:rsidR="003331B9" w:rsidRPr="00B00F9C" w:rsidRDefault="003331B9" w:rsidP="003331B9">
            <w:pPr>
              <w:spacing w:line="312" w:lineRule="auto"/>
              <w:jc w:val="center"/>
              <w:rPr>
                <w:rFonts w:ascii="Times New Roman" w:hAnsi="Times New Roman" w:cs="Times New Roman"/>
                <w:sz w:val="28"/>
                <w:szCs w:val="28"/>
              </w:rPr>
            </w:pPr>
            <w:r w:rsidRPr="00B00F9C">
              <w:rPr>
                <w:rFonts w:ascii="Times New Roman" w:hAnsi="Times New Roman" w:cs="Times New Roman"/>
                <w:color w:val="000000"/>
                <w:sz w:val="28"/>
                <w:szCs w:val="28"/>
              </w:rPr>
              <w:t>0,77</w:t>
            </w:r>
          </w:p>
        </w:tc>
      </w:tr>
      <w:tr w:rsidR="003331B9" w:rsidRPr="00EC6124" w14:paraId="61779FC5" w14:textId="77777777" w:rsidTr="00111E4D">
        <w:trPr>
          <w:trHeight w:val="259"/>
        </w:trPr>
        <w:tc>
          <w:tcPr>
            <w:tcW w:w="850" w:type="dxa"/>
            <w:tcBorders>
              <w:top w:val="single" w:sz="4" w:space="0" w:color="auto"/>
              <w:left w:val="single" w:sz="4" w:space="0" w:color="auto"/>
              <w:bottom w:val="single" w:sz="4" w:space="0" w:color="auto"/>
              <w:right w:val="single" w:sz="4" w:space="0" w:color="auto"/>
            </w:tcBorders>
            <w:vAlign w:val="center"/>
          </w:tcPr>
          <w:p w14:paraId="457E2614" w14:textId="153CE229"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3</w:t>
            </w:r>
          </w:p>
        </w:tc>
        <w:tc>
          <w:tcPr>
            <w:tcW w:w="1490" w:type="dxa"/>
            <w:tcBorders>
              <w:top w:val="single" w:sz="4" w:space="0" w:color="auto"/>
              <w:left w:val="single" w:sz="4" w:space="0" w:color="auto"/>
              <w:bottom w:val="single" w:sz="4" w:space="0" w:color="auto"/>
              <w:right w:val="single" w:sz="4" w:space="0" w:color="auto"/>
            </w:tcBorders>
            <w:vAlign w:val="center"/>
            <w:hideMark/>
          </w:tcPr>
          <w:p w14:paraId="530A2AD6" w14:textId="10DB86D7"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HLC</w:t>
            </w:r>
          </w:p>
        </w:tc>
        <w:tc>
          <w:tcPr>
            <w:tcW w:w="843" w:type="dxa"/>
            <w:tcBorders>
              <w:top w:val="single" w:sz="4" w:space="0" w:color="auto"/>
              <w:left w:val="single" w:sz="4" w:space="0" w:color="auto"/>
              <w:bottom w:val="single" w:sz="4" w:space="0" w:color="auto"/>
              <w:right w:val="single" w:sz="4" w:space="0" w:color="auto"/>
            </w:tcBorders>
            <w:vAlign w:val="center"/>
            <w:hideMark/>
          </w:tcPr>
          <w:p w14:paraId="481A3766"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0,90</w:t>
            </w:r>
          </w:p>
        </w:tc>
        <w:tc>
          <w:tcPr>
            <w:tcW w:w="884" w:type="dxa"/>
            <w:tcBorders>
              <w:top w:val="single" w:sz="4" w:space="0" w:color="auto"/>
              <w:left w:val="single" w:sz="4" w:space="0" w:color="auto"/>
              <w:bottom w:val="single" w:sz="4" w:space="0" w:color="auto"/>
              <w:right w:val="single" w:sz="4" w:space="0" w:color="auto"/>
            </w:tcBorders>
            <w:vAlign w:val="center"/>
            <w:hideMark/>
          </w:tcPr>
          <w:p w14:paraId="30CC0DDC"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0,91</w:t>
            </w:r>
          </w:p>
        </w:tc>
        <w:tc>
          <w:tcPr>
            <w:tcW w:w="978" w:type="dxa"/>
            <w:tcBorders>
              <w:top w:val="single" w:sz="4" w:space="0" w:color="auto"/>
              <w:left w:val="single" w:sz="4" w:space="0" w:color="auto"/>
              <w:bottom w:val="single" w:sz="4" w:space="0" w:color="auto"/>
              <w:right w:val="single" w:sz="4" w:space="0" w:color="auto"/>
            </w:tcBorders>
            <w:vAlign w:val="center"/>
            <w:hideMark/>
          </w:tcPr>
          <w:p w14:paraId="1F3C878B"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0,89</w:t>
            </w:r>
          </w:p>
        </w:tc>
        <w:tc>
          <w:tcPr>
            <w:tcW w:w="957" w:type="dxa"/>
            <w:tcBorders>
              <w:top w:val="single" w:sz="4" w:space="0" w:color="auto"/>
              <w:left w:val="single" w:sz="4" w:space="0" w:color="auto"/>
              <w:bottom w:val="single" w:sz="4" w:space="0" w:color="auto"/>
              <w:right w:val="single" w:sz="4" w:space="0" w:color="auto"/>
            </w:tcBorders>
            <w:vAlign w:val="center"/>
            <w:hideMark/>
          </w:tcPr>
          <w:p w14:paraId="70289212"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0,87</w:t>
            </w:r>
          </w:p>
        </w:tc>
        <w:tc>
          <w:tcPr>
            <w:tcW w:w="984" w:type="dxa"/>
            <w:tcBorders>
              <w:top w:val="single" w:sz="4" w:space="0" w:color="auto"/>
              <w:left w:val="single" w:sz="4" w:space="0" w:color="auto"/>
              <w:bottom w:val="single" w:sz="4" w:space="0" w:color="auto"/>
              <w:right w:val="single" w:sz="4" w:space="0" w:color="auto"/>
            </w:tcBorders>
            <w:vAlign w:val="center"/>
            <w:hideMark/>
          </w:tcPr>
          <w:p w14:paraId="5F78ADAE"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0,81</w:t>
            </w:r>
          </w:p>
        </w:tc>
        <w:tc>
          <w:tcPr>
            <w:tcW w:w="1519" w:type="dxa"/>
            <w:tcBorders>
              <w:top w:val="single" w:sz="4" w:space="0" w:color="auto"/>
              <w:left w:val="nil"/>
              <w:bottom w:val="single" w:sz="4" w:space="0" w:color="auto"/>
              <w:right w:val="single" w:sz="4" w:space="0" w:color="auto"/>
            </w:tcBorders>
            <w:shd w:val="clear" w:color="auto" w:fill="auto"/>
            <w:vAlign w:val="center"/>
          </w:tcPr>
          <w:p w14:paraId="33ABD0D7" w14:textId="77777777" w:rsidR="003331B9" w:rsidRPr="00B00F9C" w:rsidRDefault="003331B9" w:rsidP="003331B9">
            <w:pPr>
              <w:spacing w:line="312" w:lineRule="auto"/>
              <w:jc w:val="center"/>
              <w:rPr>
                <w:rFonts w:ascii="Times New Roman" w:hAnsi="Times New Roman" w:cs="Times New Roman"/>
                <w:sz w:val="28"/>
                <w:szCs w:val="28"/>
              </w:rPr>
            </w:pPr>
            <w:r w:rsidRPr="00B00F9C">
              <w:rPr>
                <w:rFonts w:ascii="Times New Roman" w:hAnsi="Times New Roman" w:cs="Times New Roman"/>
                <w:color w:val="000000"/>
                <w:sz w:val="28"/>
                <w:szCs w:val="28"/>
              </w:rPr>
              <w:t>0,88</w:t>
            </w:r>
          </w:p>
        </w:tc>
      </w:tr>
      <w:tr w:rsidR="003331B9" w:rsidRPr="00EC6124" w14:paraId="71CE2F5F" w14:textId="77777777" w:rsidTr="00111E4D">
        <w:trPr>
          <w:trHeight w:val="225"/>
        </w:trPr>
        <w:tc>
          <w:tcPr>
            <w:tcW w:w="850" w:type="dxa"/>
            <w:tcBorders>
              <w:top w:val="single" w:sz="4" w:space="0" w:color="auto"/>
              <w:left w:val="single" w:sz="4" w:space="0" w:color="auto"/>
              <w:bottom w:val="single" w:sz="4" w:space="0" w:color="auto"/>
              <w:right w:val="single" w:sz="4" w:space="0" w:color="auto"/>
            </w:tcBorders>
            <w:vAlign w:val="center"/>
          </w:tcPr>
          <w:p w14:paraId="55BB0D23" w14:textId="79AAD4D1"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4</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5393656" w14:textId="6F9D83E8"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THT</w:t>
            </w:r>
          </w:p>
        </w:tc>
        <w:tc>
          <w:tcPr>
            <w:tcW w:w="843" w:type="dxa"/>
            <w:tcBorders>
              <w:top w:val="single" w:sz="4" w:space="0" w:color="auto"/>
              <w:left w:val="single" w:sz="4" w:space="0" w:color="auto"/>
              <w:bottom w:val="single" w:sz="4" w:space="0" w:color="auto"/>
              <w:right w:val="single" w:sz="4" w:space="0" w:color="auto"/>
            </w:tcBorders>
            <w:vAlign w:val="center"/>
            <w:hideMark/>
          </w:tcPr>
          <w:p w14:paraId="3EE65F0E"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0,75</w:t>
            </w:r>
          </w:p>
        </w:tc>
        <w:tc>
          <w:tcPr>
            <w:tcW w:w="884" w:type="dxa"/>
            <w:tcBorders>
              <w:top w:val="single" w:sz="4" w:space="0" w:color="auto"/>
              <w:left w:val="single" w:sz="4" w:space="0" w:color="auto"/>
              <w:bottom w:val="single" w:sz="4" w:space="0" w:color="auto"/>
              <w:right w:val="single" w:sz="4" w:space="0" w:color="auto"/>
            </w:tcBorders>
            <w:vAlign w:val="center"/>
            <w:hideMark/>
          </w:tcPr>
          <w:p w14:paraId="26D95F73"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0,80</w:t>
            </w:r>
          </w:p>
        </w:tc>
        <w:tc>
          <w:tcPr>
            <w:tcW w:w="978" w:type="dxa"/>
            <w:tcBorders>
              <w:top w:val="single" w:sz="4" w:space="0" w:color="auto"/>
              <w:left w:val="single" w:sz="4" w:space="0" w:color="auto"/>
              <w:bottom w:val="single" w:sz="4" w:space="0" w:color="auto"/>
              <w:right w:val="single" w:sz="4" w:space="0" w:color="auto"/>
            </w:tcBorders>
            <w:vAlign w:val="center"/>
            <w:hideMark/>
          </w:tcPr>
          <w:p w14:paraId="7C2F7D90"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0,79</w:t>
            </w:r>
          </w:p>
        </w:tc>
        <w:tc>
          <w:tcPr>
            <w:tcW w:w="957" w:type="dxa"/>
            <w:tcBorders>
              <w:top w:val="single" w:sz="4" w:space="0" w:color="auto"/>
              <w:left w:val="single" w:sz="4" w:space="0" w:color="auto"/>
              <w:bottom w:val="single" w:sz="4" w:space="0" w:color="auto"/>
              <w:right w:val="single" w:sz="4" w:space="0" w:color="auto"/>
            </w:tcBorders>
            <w:vAlign w:val="center"/>
            <w:hideMark/>
          </w:tcPr>
          <w:p w14:paraId="44F105C2"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0,78</w:t>
            </w:r>
          </w:p>
        </w:tc>
        <w:tc>
          <w:tcPr>
            <w:tcW w:w="984" w:type="dxa"/>
            <w:tcBorders>
              <w:top w:val="single" w:sz="4" w:space="0" w:color="auto"/>
              <w:left w:val="single" w:sz="4" w:space="0" w:color="auto"/>
              <w:bottom w:val="single" w:sz="4" w:space="0" w:color="auto"/>
              <w:right w:val="single" w:sz="4" w:space="0" w:color="auto"/>
            </w:tcBorders>
            <w:vAlign w:val="center"/>
            <w:hideMark/>
          </w:tcPr>
          <w:p w14:paraId="6D76B479"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0,75</w:t>
            </w:r>
          </w:p>
        </w:tc>
        <w:tc>
          <w:tcPr>
            <w:tcW w:w="1519" w:type="dxa"/>
            <w:tcBorders>
              <w:top w:val="single" w:sz="4" w:space="0" w:color="auto"/>
              <w:left w:val="nil"/>
              <w:bottom w:val="single" w:sz="4" w:space="0" w:color="auto"/>
              <w:right w:val="single" w:sz="4" w:space="0" w:color="auto"/>
            </w:tcBorders>
            <w:shd w:val="clear" w:color="auto" w:fill="auto"/>
            <w:vAlign w:val="center"/>
          </w:tcPr>
          <w:p w14:paraId="7DF66D5B" w14:textId="77777777" w:rsidR="003331B9" w:rsidRPr="00B00F9C" w:rsidRDefault="003331B9" w:rsidP="003331B9">
            <w:pPr>
              <w:spacing w:line="312" w:lineRule="auto"/>
              <w:jc w:val="center"/>
              <w:rPr>
                <w:rFonts w:ascii="Times New Roman" w:hAnsi="Times New Roman" w:cs="Times New Roman"/>
                <w:sz w:val="28"/>
                <w:szCs w:val="28"/>
              </w:rPr>
            </w:pPr>
            <w:r w:rsidRPr="00B00F9C">
              <w:rPr>
                <w:rFonts w:ascii="Times New Roman" w:hAnsi="Times New Roman" w:cs="Times New Roman"/>
                <w:color w:val="000000"/>
                <w:sz w:val="28"/>
                <w:szCs w:val="28"/>
              </w:rPr>
              <w:t>0,77</w:t>
            </w:r>
          </w:p>
        </w:tc>
      </w:tr>
      <w:tr w:rsidR="003331B9" w:rsidRPr="00EC6124" w14:paraId="7B9C3A69" w14:textId="77777777" w:rsidTr="00111E4D">
        <w:trPr>
          <w:trHeight w:val="225"/>
        </w:trPr>
        <w:tc>
          <w:tcPr>
            <w:tcW w:w="850" w:type="dxa"/>
            <w:tcBorders>
              <w:top w:val="single" w:sz="4" w:space="0" w:color="auto"/>
              <w:left w:val="single" w:sz="4" w:space="0" w:color="auto"/>
              <w:bottom w:val="single" w:sz="4" w:space="0" w:color="auto"/>
              <w:right w:val="single" w:sz="4" w:space="0" w:color="auto"/>
            </w:tcBorders>
            <w:vAlign w:val="center"/>
          </w:tcPr>
          <w:p w14:paraId="3AE64FD4" w14:textId="095A9838" w:rsidR="003331B9" w:rsidRPr="00EC6124" w:rsidRDefault="003331B9" w:rsidP="003331B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5</w:t>
            </w:r>
          </w:p>
        </w:tc>
        <w:tc>
          <w:tcPr>
            <w:tcW w:w="1490" w:type="dxa"/>
            <w:tcBorders>
              <w:top w:val="single" w:sz="4" w:space="0" w:color="auto"/>
              <w:left w:val="single" w:sz="4" w:space="0" w:color="auto"/>
              <w:bottom w:val="single" w:sz="4" w:space="0" w:color="auto"/>
              <w:right w:val="single" w:sz="4" w:space="0" w:color="auto"/>
            </w:tcBorders>
            <w:vAlign w:val="center"/>
            <w:hideMark/>
          </w:tcPr>
          <w:p w14:paraId="0DFC3E56" w14:textId="3BCF178D" w:rsidR="003331B9" w:rsidRPr="00EC6124" w:rsidRDefault="003331B9" w:rsidP="00383389">
            <w:pPr>
              <w:spacing w:line="312" w:lineRule="auto"/>
              <w:jc w:val="center"/>
              <w:rPr>
                <w:rFonts w:ascii="Times New Roman" w:hAnsi="Times New Roman" w:cs="Times New Roman"/>
                <w:b/>
                <w:bCs/>
                <w:sz w:val="26"/>
                <w:szCs w:val="26"/>
              </w:rPr>
            </w:pPr>
            <w:r>
              <w:rPr>
                <w:rFonts w:ascii="Times New Roman" w:hAnsi="Times New Roman" w:cs="Times New Roman"/>
                <w:b/>
                <w:bCs/>
                <w:sz w:val="26"/>
                <w:szCs w:val="26"/>
              </w:rPr>
              <w:t>NBC</w:t>
            </w:r>
          </w:p>
        </w:tc>
        <w:tc>
          <w:tcPr>
            <w:tcW w:w="843" w:type="dxa"/>
            <w:tcBorders>
              <w:top w:val="single" w:sz="4" w:space="0" w:color="auto"/>
              <w:left w:val="single" w:sz="4" w:space="0" w:color="auto"/>
              <w:bottom w:val="single" w:sz="4" w:space="0" w:color="auto"/>
              <w:right w:val="single" w:sz="4" w:space="0" w:color="auto"/>
            </w:tcBorders>
            <w:vAlign w:val="center"/>
            <w:hideMark/>
          </w:tcPr>
          <w:p w14:paraId="20F00F3C"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0,87</w:t>
            </w:r>
          </w:p>
        </w:tc>
        <w:tc>
          <w:tcPr>
            <w:tcW w:w="884" w:type="dxa"/>
            <w:tcBorders>
              <w:top w:val="single" w:sz="4" w:space="0" w:color="auto"/>
              <w:left w:val="nil"/>
              <w:bottom w:val="single" w:sz="4" w:space="0" w:color="auto"/>
              <w:right w:val="single" w:sz="4" w:space="0" w:color="auto"/>
            </w:tcBorders>
            <w:vAlign w:val="center"/>
            <w:hideMark/>
          </w:tcPr>
          <w:p w14:paraId="348527CC"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0,87</w:t>
            </w:r>
          </w:p>
        </w:tc>
        <w:tc>
          <w:tcPr>
            <w:tcW w:w="978" w:type="dxa"/>
            <w:tcBorders>
              <w:top w:val="single" w:sz="4" w:space="0" w:color="auto"/>
              <w:left w:val="nil"/>
              <w:bottom w:val="single" w:sz="4" w:space="0" w:color="auto"/>
              <w:right w:val="single" w:sz="4" w:space="0" w:color="auto"/>
            </w:tcBorders>
            <w:vAlign w:val="center"/>
            <w:hideMark/>
          </w:tcPr>
          <w:p w14:paraId="73547D05"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0,86</w:t>
            </w:r>
          </w:p>
        </w:tc>
        <w:tc>
          <w:tcPr>
            <w:tcW w:w="957" w:type="dxa"/>
            <w:tcBorders>
              <w:top w:val="single" w:sz="4" w:space="0" w:color="auto"/>
              <w:left w:val="nil"/>
              <w:bottom w:val="single" w:sz="4" w:space="0" w:color="auto"/>
              <w:right w:val="single" w:sz="4" w:space="0" w:color="auto"/>
            </w:tcBorders>
            <w:vAlign w:val="center"/>
            <w:hideMark/>
          </w:tcPr>
          <w:p w14:paraId="0B4D26B3" w14:textId="77777777" w:rsidR="003331B9" w:rsidRPr="00EC6124" w:rsidRDefault="003331B9" w:rsidP="003331B9">
            <w:pPr>
              <w:spacing w:line="312" w:lineRule="auto"/>
              <w:jc w:val="center"/>
              <w:rPr>
                <w:rFonts w:ascii="Times New Roman" w:hAnsi="Times New Roman" w:cs="Times New Roman"/>
                <w:sz w:val="26"/>
                <w:szCs w:val="26"/>
              </w:rPr>
            </w:pPr>
            <w:r w:rsidRPr="00EC6124">
              <w:rPr>
                <w:rFonts w:ascii="Times New Roman" w:hAnsi="Times New Roman" w:cs="Times New Roman"/>
                <w:sz w:val="26"/>
                <w:szCs w:val="26"/>
              </w:rPr>
              <w:t>0,86</w:t>
            </w:r>
          </w:p>
        </w:tc>
        <w:tc>
          <w:tcPr>
            <w:tcW w:w="984" w:type="dxa"/>
            <w:tcBorders>
              <w:top w:val="single" w:sz="4" w:space="0" w:color="auto"/>
              <w:left w:val="nil"/>
              <w:bottom w:val="single" w:sz="4" w:space="0" w:color="auto"/>
              <w:right w:val="single" w:sz="4" w:space="0" w:color="auto"/>
            </w:tcBorders>
            <w:shd w:val="clear" w:color="auto" w:fill="FFFFFF"/>
            <w:vAlign w:val="center"/>
            <w:hideMark/>
          </w:tcPr>
          <w:p w14:paraId="29D25A80" w14:textId="77777777" w:rsidR="003331B9" w:rsidRPr="00EC6124" w:rsidRDefault="003331B9" w:rsidP="003331B9">
            <w:pPr>
              <w:spacing w:line="312" w:lineRule="auto"/>
              <w:jc w:val="center"/>
              <w:rPr>
                <w:rFonts w:ascii="Times New Roman" w:hAnsi="Times New Roman" w:cs="Times New Roman"/>
                <w:b/>
                <w:bCs/>
                <w:sz w:val="26"/>
                <w:szCs w:val="26"/>
              </w:rPr>
            </w:pPr>
            <w:r w:rsidRPr="00EC6124">
              <w:rPr>
                <w:rFonts w:ascii="Times New Roman" w:hAnsi="Times New Roman" w:cs="Times New Roman"/>
                <w:sz w:val="26"/>
                <w:szCs w:val="26"/>
              </w:rPr>
              <w:t>0,78</w:t>
            </w:r>
          </w:p>
        </w:tc>
        <w:tc>
          <w:tcPr>
            <w:tcW w:w="1519" w:type="dxa"/>
            <w:tcBorders>
              <w:top w:val="single" w:sz="4" w:space="0" w:color="auto"/>
              <w:left w:val="nil"/>
              <w:bottom w:val="single" w:sz="4" w:space="0" w:color="auto"/>
              <w:right w:val="single" w:sz="4" w:space="0" w:color="auto"/>
            </w:tcBorders>
            <w:shd w:val="clear" w:color="auto" w:fill="FFFFFF"/>
            <w:vAlign w:val="center"/>
          </w:tcPr>
          <w:p w14:paraId="05E6A031" w14:textId="77777777" w:rsidR="003331B9" w:rsidRPr="00B00F9C" w:rsidRDefault="003331B9" w:rsidP="003331B9">
            <w:pPr>
              <w:jc w:val="center"/>
              <w:rPr>
                <w:rFonts w:ascii="Times New Roman" w:eastAsia="Times New Roman" w:hAnsi="Times New Roman" w:cs="Times New Roman"/>
                <w:color w:val="000000"/>
                <w:sz w:val="28"/>
                <w:szCs w:val="28"/>
                <w:lang w:val="vi-VN" w:eastAsia="vi-VN"/>
              </w:rPr>
            </w:pPr>
            <w:r w:rsidRPr="00B00F9C">
              <w:rPr>
                <w:rFonts w:ascii="Times New Roman" w:hAnsi="Times New Roman" w:cs="Times New Roman"/>
                <w:color w:val="000000"/>
                <w:sz w:val="28"/>
                <w:szCs w:val="28"/>
              </w:rPr>
              <w:t>0,85</w:t>
            </w:r>
          </w:p>
        </w:tc>
      </w:tr>
    </w:tbl>
    <w:p w14:paraId="4E97B3AC" w14:textId="2CD4A347" w:rsidR="00B93611" w:rsidRPr="00B93611" w:rsidRDefault="0031049D" w:rsidP="00B93611">
      <w:pPr>
        <w:spacing w:after="160" w:line="278" w:lineRule="auto"/>
        <w:jc w:val="right"/>
        <w:rPr>
          <w:rFonts w:ascii="Times New Roman" w:hAnsi="Times New Roman" w:cs="Times New Roman"/>
          <w:bCs/>
          <w:i/>
          <w:sz w:val="26"/>
          <w:szCs w:val="26"/>
          <w:lang w:val="vi-VN"/>
        </w:rPr>
      </w:pPr>
      <w:r w:rsidRPr="0031049D">
        <w:rPr>
          <w:rFonts w:ascii="Times New Roman" w:hAnsi="Times New Roman" w:cs="Times New Roman"/>
          <w:bCs/>
          <w:i/>
          <w:sz w:val="26"/>
          <w:szCs w:val="26"/>
        </w:rPr>
        <w:t>(Nguồn: Tổng hợp từ BCTC các công ty giai đoạn 2019-2023)</w:t>
      </w:r>
    </w:p>
    <w:p w14:paraId="7C4F64B1" w14:textId="1D043878" w:rsidR="00CA6AC4" w:rsidRDefault="00B1640A" w:rsidP="00CA6AC4">
      <w:pPr>
        <w:jc w:val="both"/>
        <w:rPr>
          <w:rFonts w:ascii="Times New Roman" w:hAnsi="Times New Roman" w:cs="Times New Roman"/>
          <w:sz w:val="26"/>
          <w:szCs w:val="26"/>
          <w:lang w:val="vi-VN"/>
        </w:rPr>
      </w:pPr>
      <w:r>
        <w:rPr>
          <w:rFonts w:ascii="Times New Roman" w:hAnsi="Times New Roman" w:cs="Times New Roman"/>
          <w:sz w:val="26"/>
          <w:szCs w:val="26"/>
        </w:rPr>
        <w:t xml:space="preserve">  </w:t>
      </w:r>
      <w:r w:rsidR="00CA6AC4">
        <w:rPr>
          <w:rFonts w:ascii="Times New Roman" w:hAnsi="Times New Roman" w:cs="Times New Roman"/>
          <w:b/>
          <w:bCs/>
          <w:noProof/>
          <w:sz w:val="26"/>
          <w:szCs w:val="26"/>
          <w:lang w:eastAsia="en-US"/>
        </w:rPr>
        <w:drawing>
          <wp:inline distT="0" distB="0" distL="0" distR="0" wp14:anchorId="5BBD8DA7" wp14:editId="591FC1EB">
            <wp:extent cx="5577840" cy="2735580"/>
            <wp:effectExtent l="0" t="0" r="3810" b="7620"/>
            <wp:docPr id="106854928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7F0A2CAF" w14:textId="77777777" w:rsidR="00CA6AC4" w:rsidRDefault="00CA6AC4" w:rsidP="00CA6AC4">
      <w:pPr>
        <w:jc w:val="both"/>
        <w:rPr>
          <w:rFonts w:ascii="Times New Roman" w:hAnsi="Times New Roman" w:cs="Times New Roman"/>
          <w:sz w:val="26"/>
          <w:szCs w:val="26"/>
          <w:lang w:val="vi-VN"/>
        </w:rPr>
      </w:pPr>
    </w:p>
    <w:p w14:paraId="5FD7DF1F" w14:textId="0A52CDCD" w:rsidR="00CA6AC4" w:rsidRPr="00CA6AC4" w:rsidRDefault="00B26AA9" w:rsidP="00B26AA9">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bCs/>
          <w:iCs/>
          <w:sz w:val="26"/>
          <w:szCs w:val="26"/>
          <w:lang w:val="vi-VN"/>
        </w:rPr>
        <w:lastRenderedPageBreak/>
        <w:t xml:space="preserve">Nhìn vào bảng trên cho thấy, các CTCP niêm yết </w:t>
      </w:r>
      <w:r w:rsidR="00423C0C">
        <w:rPr>
          <w:rFonts w:ascii="Times New Roman" w:hAnsi="Times New Roman" w:cs="Times New Roman"/>
          <w:bCs/>
          <w:iCs/>
          <w:sz w:val="26"/>
          <w:szCs w:val="26"/>
          <w:lang w:val="vi-VN"/>
        </w:rPr>
        <w:t>thuộ</w:t>
      </w:r>
      <w:r w:rsidRPr="00F22BA5">
        <w:rPr>
          <w:rFonts w:ascii="Times New Roman" w:hAnsi="Times New Roman" w:cs="Times New Roman"/>
          <w:bCs/>
          <w:iCs/>
          <w:sz w:val="26"/>
          <w:szCs w:val="26"/>
          <w:lang w:val="vi-VN"/>
        </w:rPr>
        <w:t xml:space="preserve">c TKV đều có hệ số nợ tương đối cao (bình quân trên 75%). </w:t>
      </w:r>
      <w:r w:rsidRPr="00F22BA5">
        <w:rPr>
          <w:rFonts w:ascii="Times New Roman" w:hAnsi="Times New Roman" w:cs="Times New Roman"/>
          <w:iCs/>
          <w:sz w:val="26"/>
          <w:szCs w:val="26"/>
          <w:lang w:val="vi-VN"/>
        </w:rPr>
        <w:t>CTCP</w:t>
      </w:r>
      <w:r w:rsidR="00CA6AC4" w:rsidRPr="00CA6AC4">
        <w:rPr>
          <w:rFonts w:ascii="Times New Roman" w:hAnsi="Times New Roman" w:cs="Times New Roman"/>
          <w:sz w:val="26"/>
          <w:szCs w:val="26"/>
          <w:lang w:val="vi-VN"/>
        </w:rPr>
        <w:t xml:space="preserve"> Than Hà Lầm có tỷ lệ nợ cao nhất với </w:t>
      </w:r>
      <w:r w:rsidRPr="00F22BA5">
        <w:rPr>
          <w:rFonts w:ascii="Times New Roman" w:hAnsi="Times New Roman" w:cs="Times New Roman"/>
          <w:sz w:val="26"/>
          <w:szCs w:val="26"/>
          <w:lang w:val="vi-VN"/>
        </w:rPr>
        <w:t>bình quân là 0,88;</w:t>
      </w:r>
      <w:r w:rsidR="00CA6AC4" w:rsidRPr="00CA6AC4">
        <w:rPr>
          <w:rFonts w:ascii="Times New Roman" w:hAnsi="Times New Roman" w:cs="Times New Roman"/>
          <w:sz w:val="26"/>
          <w:szCs w:val="26"/>
          <w:lang w:val="vi-VN"/>
        </w:rPr>
        <w:t xml:space="preserve"> theo sau là </w:t>
      </w:r>
      <w:r w:rsidRPr="00F22BA5">
        <w:rPr>
          <w:rFonts w:ascii="Times New Roman" w:hAnsi="Times New Roman" w:cs="Times New Roman"/>
          <w:iCs/>
          <w:sz w:val="26"/>
          <w:szCs w:val="26"/>
          <w:lang w:val="vi-VN"/>
        </w:rPr>
        <w:t>CTCP</w:t>
      </w:r>
      <w:r w:rsidRPr="00CA6AC4">
        <w:rPr>
          <w:rFonts w:ascii="Times New Roman" w:hAnsi="Times New Roman" w:cs="Times New Roman"/>
          <w:sz w:val="26"/>
          <w:szCs w:val="26"/>
          <w:lang w:val="vi-VN"/>
        </w:rPr>
        <w:t xml:space="preserve"> </w:t>
      </w:r>
      <w:r>
        <w:rPr>
          <w:rFonts w:ascii="Times New Roman" w:hAnsi="Times New Roman" w:cs="Times New Roman"/>
          <w:sz w:val="26"/>
          <w:szCs w:val="26"/>
          <w:lang w:val="vi-VN"/>
        </w:rPr>
        <w:t>Than Núi Béo (0,8</w:t>
      </w:r>
      <w:r w:rsidRPr="00F22BA5">
        <w:rPr>
          <w:rFonts w:ascii="Times New Roman" w:hAnsi="Times New Roman" w:cs="Times New Roman"/>
          <w:sz w:val="26"/>
          <w:szCs w:val="26"/>
          <w:lang w:val="vi-VN"/>
        </w:rPr>
        <w:t>5</w:t>
      </w:r>
      <w:r w:rsidR="00CA6AC4" w:rsidRPr="00CA6AC4">
        <w:rPr>
          <w:rFonts w:ascii="Times New Roman" w:hAnsi="Times New Roman" w:cs="Times New Roman"/>
          <w:sz w:val="26"/>
          <w:szCs w:val="26"/>
          <w:lang w:val="vi-VN"/>
        </w:rPr>
        <w:t xml:space="preserve">), </w:t>
      </w:r>
      <w:r w:rsidRPr="00F22BA5">
        <w:rPr>
          <w:rFonts w:ascii="Times New Roman" w:hAnsi="Times New Roman" w:cs="Times New Roman"/>
          <w:iCs/>
          <w:sz w:val="26"/>
          <w:szCs w:val="26"/>
          <w:lang w:val="vi-VN"/>
        </w:rPr>
        <w:t>CTCP</w:t>
      </w:r>
      <w:r w:rsidRPr="00CA6AC4">
        <w:rPr>
          <w:rFonts w:ascii="Times New Roman" w:hAnsi="Times New Roman" w:cs="Times New Roman"/>
          <w:sz w:val="26"/>
          <w:szCs w:val="26"/>
          <w:lang w:val="vi-VN"/>
        </w:rPr>
        <w:t xml:space="preserve"> Than </w:t>
      </w:r>
      <w:r>
        <w:rPr>
          <w:rFonts w:ascii="Times New Roman" w:hAnsi="Times New Roman" w:cs="Times New Roman"/>
          <w:sz w:val="26"/>
          <w:szCs w:val="26"/>
          <w:lang w:val="vi-VN"/>
        </w:rPr>
        <w:t>Vàng Danh (0,</w:t>
      </w:r>
      <w:r w:rsidRPr="00F22BA5">
        <w:rPr>
          <w:rFonts w:ascii="Times New Roman" w:hAnsi="Times New Roman" w:cs="Times New Roman"/>
          <w:sz w:val="26"/>
          <w:szCs w:val="26"/>
          <w:lang w:val="vi-VN"/>
        </w:rPr>
        <w:t>76</w:t>
      </w:r>
      <w:r w:rsidR="00CA6AC4" w:rsidRPr="00CA6AC4">
        <w:rPr>
          <w:rFonts w:ascii="Times New Roman" w:hAnsi="Times New Roman" w:cs="Times New Roman"/>
          <w:sz w:val="26"/>
          <w:szCs w:val="26"/>
          <w:lang w:val="vi-VN"/>
        </w:rPr>
        <w:t xml:space="preserve">), </w:t>
      </w:r>
      <w:r w:rsidRPr="00F22BA5">
        <w:rPr>
          <w:rFonts w:ascii="Times New Roman" w:hAnsi="Times New Roman" w:cs="Times New Roman"/>
          <w:iCs/>
          <w:sz w:val="26"/>
          <w:szCs w:val="26"/>
          <w:lang w:val="vi-VN"/>
        </w:rPr>
        <w:t>CTCP</w:t>
      </w:r>
      <w:r w:rsidRPr="00CA6AC4">
        <w:rPr>
          <w:rFonts w:ascii="Times New Roman" w:hAnsi="Times New Roman" w:cs="Times New Roman"/>
          <w:sz w:val="26"/>
          <w:szCs w:val="26"/>
          <w:lang w:val="vi-VN"/>
        </w:rPr>
        <w:t xml:space="preserve"> Than </w:t>
      </w:r>
      <w:r w:rsidR="00CA6AC4" w:rsidRPr="00CA6AC4">
        <w:rPr>
          <w:rFonts w:ascii="Times New Roman" w:hAnsi="Times New Roman" w:cs="Times New Roman"/>
          <w:sz w:val="26"/>
          <w:szCs w:val="26"/>
          <w:lang w:val="vi-VN"/>
        </w:rPr>
        <w:t xml:space="preserve">Mông Dương (0,77), và </w:t>
      </w:r>
      <w:r w:rsidRPr="00F22BA5">
        <w:rPr>
          <w:rFonts w:ascii="Times New Roman" w:hAnsi="Times New Roman" w:cs="Times New Roman"/>
          <w:iCs/>
          <w:sz w:val="26"/>
          <w:szCs w:val="26"/>
          <w:lang w:val="vi-VN"/>
        </w:rPr>
        <w:t>CTCP</w:t>
      </w:r>
      <w:r w:rsidRPr="00B26AA9">
        <w:rPr>
          <w:rFonts w:ascii="Times New Roman" w:hAnsi="Times New Roman" w:cs="Times New Roman"/>
          <w:sz w:val="26"/>
          <w:szCs w:val="26"/>
          <w:lang w:val="vi-VN"/>
        </w:rPr>
        <w:t xml:space="preserve"> </w:t>
      </w:r>
      <w:r w:rsidRPr="00CA6AC4">
        <w:rPr>
          <w:rFonts w:ascii="Times New Roman" w:hAnsi="Times New Roman" w:cs="Times New Roman"/>
          <w:sz w:val="26"/>
          <w:szCs w:val="26"/>
          <w:lang w:val="vi-VN"/>
        </w:rPr>
        <w:t xml:space="preserve">Than </w:t>
      </w:r>
      <w:r>
        <w:rPr>
          <w:rFonts w:ascii="Times New Roman" w:hAnsi="Times New Roman" w:cs="Times New Roman"/>
          <w:sz w:val="26"/>
          <w:szCs w:val="26"/>
          <w:lang w:val="vi-VN"/>
        </w:rPr>
        <w:t>Hà Tu (0,7</w:t>
      </w:r>
      <w:r w:rsidRPr="00F22BA5">
        <w:rPr>
          <w:rFonts w:ascii="Times New Roman" w:hAnsi="Times New Roman" w:cs="Times New Roman"/>
          <w:sz w:val="26"/>
          <w:szCs w:val="26"/>
          <w:lang w:val="vi-VN"/>
        </w:rPr>
        <w:t>7</w:t>
      </w:r>
      <w:r w:rsidR="00CA6AC4" w:rsidRPr="00CA6AC4">
        <w:rPr>
          <w:rFonts w:ascii="Times New Roman" w:hAnsi="Times New Roman" w:cs="Times New Roman"/>
          <w:sz w:val="26"/>
          <w:szCs w:val="26"/>
          <w:lang w:val="vi-VN"/>
        </w:rPr>
        <w:t>). Các công ty này đều có tỷ lệ nợ vay tương đối cao, điều này cho thấy sự phụ thuộc lớn vào nợ vay trong cơ cấu tài chính, có thể để phục vụ cho các dự án đầu tư lớn hoặc mở rộng sản xuất.</w:t>
      </w:r>
      <w:r w:rsidRPr="00F22BA5">
        <w:rPr>
          <w:rFonts w:ascii="Times New Roman" w:hAnsi="Times New Roman" w:cs="Times New Roman"/>
          <w:sz w:val="26"/>
          <w:szCs w:val="26"/>
          <w:lang w:val="vi-VN"/>
        </w:rPr>
        <w:t xml:space="preserve"> </w:t>
      </w:r>
      <w:r w:rsidR="00CA6AC4" w:rsidRPr="00B26AA9">
        <w:rPr>
          <w:rFonts w:ascii="Times New Roman" w:hAnsi="Times New Roman" w:cs="Times New Roman"/>
          <w:iCs/>
          <w:sz w:val="26"/>
          <w:szCs w:val="26"/>
          <w:lang w:val="vi-VN"/>
        </w:rPr>
        <w:t>Năm 2020</w:t>
      </w:r>
      <w:r w:rsidR="004A1CD3" w:rsidRPr="00B26AA9">
        <w:rPr>
          <w:rFonts w:ascii="Times New Roman" w:hAnsi="Times New Roman" w:cs="Times New Roman"/>
          <w:iCs/>
          <w:sz w:val="26"/>
          <w:szCs w:val="26"/>
          <w:lang w:val="vi-VN"/>
        </w:rPr>
        <w:t>-</w:t>
      </w:r>
      <w:r w:rsidR="00CA6AC4" w:rsidRPr="00B26AA9">
        <w:rPr>
          <w:rFonts w:ascii="Times New Roman" w:hAnsi="Times New Roman" w:cs="Times New Roman"/>
          <w:iCs/>
          <w:sz w:val="26"/>
          <w:szCs w:val="26"/>
          <w:lang w:val="vi-VN"/>
        </w:rPr>
        <w:t>2021</w:t>
      </w:r>
      <w:r w:rsidR="00CA6AC4" w:rsidRPr="00CA6AC4">
        <w:rPr>
          <w:rFonts w:ascii="Times New Roman" w:hAnsi="Times New Roman" w:cs="Times New Roman"/>
          <w:i/>
          <w:iCs/>
          <w:sz w:val="26"/>
          <w:szCs w:val="26"/>
          <w:lang w:val="vi-VN"/>
        </w:rPr>
        <w:t>:</w:t>
      </w:r>
      <w:r w:rsidR="00CA6AC4" w:rsidRPr="00CA6AC4">
        <w:rPr>
          <w:rFonts w:ascii="Times New Roman" w:hAnsi="Times New Roman" w:cs="Times New Roman"/>
          <w:sz w:val="26"/>
          <w:szCs w:val="26"/>
          <w:lang w:val="vi-VN"/>
        </w:rPr>
        <w:t xml:space="preserve"> Các công ty đều có tỷ lệ nợ tương đối ổn định, mặc dù </w:t>
      </w:r>
      <w:r w:rsidRPr="00F22BA5">
        <w:rPr>
          <w:rFonts w:ascii="Times New Roman" w:hAnsi="Times New Roman" w:cs="Times New Roman"/>
          <w:iCs/>
          <w:sz w:val="26"/>
          <w:szCs w:val="26"/>
          <w:lang w:val="vi-VN"/>
        </w:rPr>
        <w:t>CTCP</w:t>
      </w:r>
      <w:r w:rsidRPr="00B26AA9">
        <w:rPr>
          <w:rFonts w:ascii="Times New Roman" w:hAnsi="Times New Roman" w:cs="Times New Roman"/>
          <w:sz w:val="26"/>
          <w:szCs w:val="26"/>
          <w:lang w:val="vi-VN"/>
        </w:rPr>
        <w:t xml:space="preserve"> </w:t>
      </w:r>
      <w:r w:rsidRPr="00CA6AC4">
        <w:rPr>
          <w:rFonts w:ascii="Times New Roman" w:hAnsi="Times New Roman" w:cs="Times New Roman"/>
          <w:sz w:val="26"/>
          <w:szCs w:val="26"/>
          <w:lang w:val="vi-VN"/>
        </w:rPr>
        <w:t xml:space="preserve">Than </w:t>
      </w:r>
      <w:r w:rsidR="00CA6AC4" w:rsidRPr="00CA6AC4">
        <w:rPr>
          <w:rFonts w:ascii="Times New Roman" w:hAnsi="Times New Roman" w:cs="Times New Roman"/>
          <w:sz w:val="26"/>
          <w:szCs w:val="26"/>
          <w:lang w:val="vi-VN"/>
        </w:rPr>
        <w:t xml:space="preserve">Mông Dương và </w:t>
      </w:r>
      <w:r w:rsidRPr="00F22BA5">
        <w:rPr>
          <w:rFonts w:ascii="Times New Roman" w:hAnsi="Times New Roman" w:cs="Times New Roman"/>
          <w:iCs/>
          <w:sz w:val="26"/>
          <w:szCs w:val="26"/>
          <w:lang w:val="vi-VN"/>
        </w:rPr>
        <w:t>CTCP</w:t>
      </w:r>
      <w:r w:rsidRPr="00CA6AC4">
        <w:rPr>
          <w:rFonts w:ascii="Times New Roman" w:hAnsi="Times New Roman" w:cs="Times New Roman"/>
          <w:sz w:val="26"/>
          <w:szCs w:val="26"/>
          <w:lang w:val="vi-VN"/>
        </w:rPr>
        <w:t xml:space="preserve"> </w:t>
      </w:r>
      <w:r w:rsidR="00CA6AC4" w:rsidRPr="00CA6AC4">
        <w:rPr>
          <w:rFonts w:ascii="Times New Roman" w:hAnsi="Times New Roman" w:cs="Times New Roman"/>
          <w:sz w:val="26"/>
          <w:szCs w:val="26"/>
          <w:lang w:val="vi-VN"/>
        </w:rPr>
        <w:t xml:space="preserve">Than Hà Lầm vẫn duy trì nợ vay ở mức cao nhất. </w:t>
      </w:r>
      <w:r w:rsidRPr="00F22BA5">
        <w:rPr>
          <w:rFonts w:ascii="Times New Roman" w:hAnsi="Times New Roman" w:cs="Times New Roman"/>
          <w:iCs/>
          <w:sz w:val="26"/>
          <w:szCs w:val="26"/>
          <w:lang w:val="vi-VN"/>
        </w:rPr>
        <w:t>CTCP</w:t>
      </w:r>
      <w:r w:rsidRPr="00B26AA9">
        <w:rPr>
          <w:rFonts w:ascii="Times New Roman" w:hAnsi="Times New Roman" w:cs="Times New Roman"/>
          <w:sz w:val="26"/>
          <w:szCs w:val="26"/>
          <w:lang w:val="vi-VN"/>
        </w:rPr>
        <w:t xml:space="preserve"> </w:t>
      </w:r>
      <w:r w:rsidRPr="00CA6AC4">
        <w:rPr>
          <w:rFonts w:ascii="Times New Roman" w:hAnsi="Times New Roman" w:cs="Times New Roman"/>
          <w:sz w:val="26"/>
          <w:szCs w:val="26"/>
          <w:lang w:val="vi-VN"/>
        </w:rPr>
        <w:t>Than</w:t>
      </w:r>
      <w:r w:rsidR="00CA6AC4" w:rsidRPr="00CA6AC4">
        <w:rPr>
          <w:rFonts w:ascii="Times New Roman" w:hAnsi="Times New Roman" w:cs="Times New Roman"/>
          <w:sz w:val="26"/>
          <w:szCs w:val="26"/>
          <w:lang w:val="vi-VN"/>
        </w:rPr>
        <w:t xml:space="preserve"> Vàng Danh là công ty có xu hướng giảm nợ vay rõ rệt, cho thấy một chiến lược tài chính tích cực, giảm sự phụ thuộc vào nguồn vốn vay.</w:t>
      </w:r>
      <w:r w:rsidRPr="00F22BA5">
        <w:rPr>
          <w:rFonts w:ascii="Times New Roman" w:hAnsi="Times New Roman" w:cs="Times New Roman"/>
          <w:sz w:val="26"/>
          <w:szCs w:val="26"/>
          <w:lang w:val="vi-VN"/>
        </w:rPr>
        <w:t xml:space="preserve"> </w:t>
      </w:r>
      <w:r w:rsidR="00CA6AC4" w:rsidRPr="00B26AA9">
        <w:rPr>
          <w:rFonts w:ascii="Times New Roman" w:hAnsi="Times New Roman" w:cs="Times New Roman"/>
          <w:iCs/>
          <w:sz w:val="26"/>
          <w:szCs w:val="26"/>
          <w:lang w:val="vi-VN"/>
        </w:rPr>
        <w:t>Năm 2022</w:t>
      </w:r>
      <w:r w:rsidR="004A1CD3" w:rsidRPr="00B26AA9">
        <w:rPr>
          <w:rFonts w:ascii="Times New Roman" w:hAnsi="Times New Roman" w:cs="Times New Roman"/>
          <w:iCs/>
          <w:sz w:val="26"/>
          <w:szCs w:val="26"/>
          <w:lang w:val="vi-VN"/>
        </w:rPr>
        <w:t>-</w:t>
      </w:r>
      <w:r w:rsidR="00CA6AC4" w:rsidRPr="00B26AA9">
        <w:rPr>
          <w:rFonts w:ascii="Times New Roman" w:hAnsi="Times New Roman" w:cs="Times New Roman"/>
          <w:iCs/>
          <w:sz w:val="26"/>
          <w:szCs w:val="26"/>
          <w:lang w:val="vi-VN"/>
        </w:rPr>
        <w:t>2023</w:t>
      </w:r>
      <w:r w:rsidR="00CA6AC4" w:rsidRPr="00CA6AC4">
        <w:rPr>
          <w:rFonts w:ascii="Times New Roman" w:hAnsi="Times New Roman" w:cs="Times New Roman"/>
          <w:i/>
          <w:iCs/>
          <w:sz w:val="26"/>
          <w:szCs w:val="26"/>
          <w:lang w:val="vi-VN"/>
        </w:rPr>
        <w:t>:</w:t>
      </w:r>
      <w:r w:rsidR="00CA6AC4" w:rsidRPr="00CA6AC4">
        <w:rPr>
          <w:rFonts w:ascii="Times New Roman" w:hAnsi="Times New Roman" w:cs="Times New Roman"/>
          <w:sz w:val="26"/>
          <w:szCs w:val="26"/>
          <w:lang w:val="vi-VN"/>
        </w:rPr>
        <w:t xml:space="preserve"> </w:t>
      </w:r>
      <w:r w:rsidRPr="00F22BA5">
        <w:rPr>
          <w:rFonts w:ascii="Times New Roman" w:hAnsi="Times New Roman" w:cs="Times New Roman"/>
          <w:iCs/>
          <w:sz w:val="26"/>
          <w:szCs w:val="26"/>
          <w:lang w:val="vi-VN"/>
        </w:rPr>
        <w:t>CTCP</w:t>
      </w:r>
      <w:r w:rsidRPr="00B26AA9">
        <w:rPr>
          <w:rFonts w:ascii="Times New Roman" w:hAnsi="Times New Roman" w:cs="Times New Roman"/>
          <w:sz w:val="26"/>
          <w:szCs w:val="26"/>
          <w:lang w:val="vi-VN"/>
        </w:rPr>
        <w:t xml:space="preserve"> </w:t>
      </w:r>
      <w:r w:rsidRPr="00CA6AC4">
        <w:rPr>
          <w:rFonts w:ascii="Times New Roman" w:hAnsi="Times New Roman" w:cs="Times New Roman"/>
          <w:sz w:val="26"/>
          <w:szCs w:val="26"/>
          <w:lang w:val="vi-VN"/>
        </w:rPr>
        <w:t xml:space="preserve">Than </w:t>
      </w:r>
      <w:r w:rsidR="00CA6AC4" w:rsidRPr="00CA6AC4">
        <w:rPr>
          <w:rFonts w:ascii="Times New Roman" w:hAnsi="Times New Roman" w:cs="Times New Roman"/>
          <w:sz w:val="26"/>
          <w:szCs w:val="26"/>
          <w:lang w:val="vi-VN"/>
        </w:rPr>
        <w:t xml:space="preserve">Vàng Danh là công ty có sự giảm nợ mạnh mẽ, đưa tỷ lệ nợ xuống thấp nhất trong nhóm, đạt 0,67 vào năm 2023. Còn lại, các công ty khác vẫn duy trì tỷ lệ nợ cao, đặc biệt là </w:t>
      </w:r>
      <w:r w:rsidRPr="00F22BA5">
        <w:rPr>
          <w:rFonts w:ascii="Times New Roman" w:hAnsi="Times New Roman" w:cs="Times New Roman"/>
          <w:iCs/>
          <w:sz w:val="26"/>
          <w:szCs w:val="26"/>
          <w:lang w:val="vi-VN"/>
        </w:rPr>
        <w:t>CTCP</w:t>
      </w:r>
      <w:r w:rsidRPr="00B26AA9">
        <w:rPr>
          <w:rFonts w:ascii="Times New Roman" w:hAnsi="Times New Roman" w:cs="Times New Roman"/>
          <w:sz w:val="26"/>
          <w:szCs w:val="26"/>
          <w:lang w:val="vi-VN"/>
        </w:rPr>
        <w:t xml:space="preserve"> </w:t>
      </w:r>
      <w:r w:rsidRPr="00CA6AC4">
        <w:rPr>
          <w:rFonts w:ascii="Times New Roman" w:hAnsi="Times New Roman" w:cs="Times New Roman"/>
          <w:sz w:val="26"/>
          <w:szCs w:val="26"/>
          <w:lang w:val="vi-VN"/>
        </w:rPr>
        <w:t xml:space="preserve">Than </w:t>
      </w:r>
      <w:r w:rsidR="00CA6AC4" w:rsidRPr="00CA6AC4">
        <w:rPr>
          <w:rFonts w:ascii="Times New Roman" w:hAnsi="Times New Roman" w:cs="Times New Roman"/>
          <w:sz w:val="26"/>
          <w:szCs w:val="26"/>
          <w:lang w:val="vi-VN"/>
        </w:rPr>
        <w:t>Than Hà Lầm và</w:t>
      </w:r>
      <w:r w:rsidRPr="00F22BA5">
        <w:rPr>
          <w:rFonts w:ascii="Times New Roman" w:hAnsi="Times New Roman" w:cs="Times New Roman"/>
          <w:iCs/>
          <w:sz w:val="26"/>
          <w:szCs w:val="26"/>
          <w:lang w:val="vi-VN"/>
        </w:rPr>
        <w:t xml:space="preserve"> CTCP</w:t>
      </w:r>
      <w:r w:rsidRPr="00B26AA9">
        <w:rPr>
          <w:rFonts w:ascii="Times New Roman" w:hAnsi="Times New Roman" w:cs="Times New Roman"/>
          <w:sz w:val="26"/>
          <w:szCs w:val="26"/>
          <w:lang w:val="vi-VN"/>
        </w:rPr>
        <w:t xml:space="preserve"> </w:t>
      </w:r>
      <w:r w:rsidRPr="00CA6AC4">
        <w:rPr>
          <w:rFonts w:ascii="Times New Roman" w:hAnsi="Times New Roman" w:cs="Times New Roman"/>
          <w:sz w:val="26"/>
          <w:szCs w:val="26"/>
          <w:lang w:val="vi-VN"/>
        </w:rPr>
        <w:t>Than</w:t>
      </w:r>
      <w:r w:rsidR="00CA6AC4" w:rsidRPr="00CA6AC4">
        <w:rPr>
          <w:rFonts w:ascii="Times New Roman" w:hAnsi="Times New Roman" w:cs="Times New Roman"/>
          <w:sz w:val="26"/>
          <w:szCs w:val="26"/>
          <w:lang w:val="vi-VN"/>
        </w:rPr>
        <w:t xml:space="preserve"> Than Núi Béo, vẫn có tỷ lệ nợ vay trên tổng tài sản cao, cho thấy khó khăn trong việc cải thiện cơ cấu nợ.</w:t>
      </w:r>
    </w:p>
    <w:p w14:paraId="58C7F6ED" w14:textId="4A34C6D7" w:rsidR="00CA6AC4" w:rsidRPr="00F22BA5" w:rsidRDefault="00CA6AC4" w:rsidP="00CA6AC4">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Nhìn chung, các công ty cổ phần than trong giai đoạn 2019–2023 đều duy trì tỷ lệ nợ trên tổng tài sản ở mức khá cao, điều này phản ánh sự phụ thuộc lớn vào nợ vay để tài trợ cho hoạt động sản xuất và mở rộng quy mô.</w:t>
      </w:r>
      <w:r w:rsidR="00B26AA9" w:rsidRPr="00F22BA5">
        <w:rPr>
          <w:rFonts w:ascii="Times New Roman" w:hAnsi="Times New Roman" w:cs="Times New Roman"/>
          <w:sz w:val="26"/>
          <w:szCs w:val="26"/>
          <w:lang w:val="vi-VN"/>
        </w:rPr>
        <w:t xml:space="preserve"> Việc hệ số nợ cao </w:t>
      </w:r>
      <w:r w:rsidRPr="00AF3D5D">
        <w:rPr>
          <w:rFonts w:ascii="Times New Roman" w:hAnsi="Times New Roman" w:cs="Times New Roman"/>
          <w:sz w:val="26"/>
          <w:szCs w:val="26"/>
          <w:lang w:val="vi-VN"/>
        </w:rPr>
        <w:t>có thể gây áp lực lớn lên khả năng trả lãi vay và trả nợ nếu có biến động về chi phí tài chính hoặc nguồn thu không ổn đị</w:t>
      </w:r>
      <w:r w:rsidR="00B26AA9">
        <w:rPr>
          <w:rFonts w:ascii="Times New Roman" w:hAnsi="Times New Roman" w:cs="Times New Roman"/>
          <w:sz w:val="26"/>
          <w:szCs w:val="26"/>
          <w:lang w:val="vi-VN"/>
        </w:rPr>
        <w:t>nh</w:t>
      </w:r>
      <w:r w:rsidR="00B26AA9" w:rsidRPr="00F22BA5">
        <w:rPr>
          <w:rFonts w:ascii="Times New Roman" w:hAnsi="Times New Roman" w:cs="Times New Roman"/>
          <w:sz w:val="26"/>
          <w:szCs w:val="26"/>
          <w:lang w:val="vi-VN"/>
        </w:rPr>
        <w:t xml:space="preserve"> của các doanh nghiệp</w:t>
      </w:r>
      <w:r w:rsidR="007315EC" w:rsidRPr="00F22BA5">
        <w:rPr>
          <w:rFonts w:ascii="Times New Roman" w:hAnsi="Times New Roman" w:cs="Times New Roman"/>
          <w:sz w:val="26"/>
          <w:szCs w:val="26"/>
          <w:lang w:val="vi-VN"/>
        </w:rPr>
        <w:t xml:space="preserve"> sẽ đẩy các doanh nghiệp vào tình trạng mất an toàn tài chính.</w:t>
      </w:r>
    </w:p>
    <w:p w14:paraId="1F85FDF0" w14:textId="338CE8EA" w:rsidR="005025B3" w:rsidRPr="00EC6124" w:rsidRDefault="00DA4446" w:rsidP="008A5BBD">
      <w:pPr>
        <w:pStyle w:val="p3"/>
      </w:pPr>
      <w:bookmarkStart w:id="190" w:name="_Toc197781178"/>
      <w:bookmarkStart w:id="191" w:name="_Toc197781461"/>
      <w:bookmarkStart w:id="192" w:name="_Toc198281672"/>
      <w:bookmarkStart w:id="193" w:name="_Toc198284457"/>
      <w:bookmarkStart w:id="194" w:name="_Toc198284836"/>
      <w:bookmarkStart w:id="195" w:name="_Toc198709988"/>
      <w:r w:rsidRPr="00F22BA5">
        <w:t>+</w:t>
      </w:r>
      <w:r w:rsidR="005025B3" w:rsidRPr="00EC6124">
        <w:t xml:space="preserve"> Hệ số nợ trên vốn chủ sở hữu (D/E)</w:t>
      </w:r>
      <w:bookmarkEnd w:id="190"/>
      <w:bookmarkEnd w:id="191"/>
      <w:bookmarkEnd w:id="192"/>
      <w:bookmarkEnd w:id="193"/>
      <w:bookmarkEnd w:id="194"/>
      <w:bookmarkEnd w:id="195"/>
    </w:p>
    <w:p w14:paraId="726BB3BB" w14:textId="06F30677" w:rsidR="005025B3" w:rsidRDefault="005025B3" w:rsidP="005025B3">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xml:space="preserve">Hệ số nợ trên vốn chủ sở hữu </w:t>
      </w:r>
      <w:r w:rsidR="007315EC" w:rsidRPr="00F22BA5">
        <w:rPr>
          <w:rFonts w:ascii="Times New Roman" w:hAnsi="Times New Roman" w:cs="Times New Roman"/>
          <w:sz w:val="26"/>
          <w:szCs w:val="26"/>
          <w:lang w:val="vi-VN"/>
        </w:rPr>
        <w:t xml:space="preserve">là chỉ tiêu </w:t>
      </w:r>
      <w:r w:rsidRPr="00AF3D5D">
        <w:rPr>
          <w:rFonts w:ascii="Times New Roman" w:hAnsi="Times New Roman" w:cs="Times New Roman"/>
          <w:sz w:val="26"/>
          <w:szCs w:val="26"/>
          <w:lang w:val="vi-VN"/>
        </w:rPr>
        <w:t>giúp đánh giá rủi ro tài chính và khả năng tự chủ về tài chính của công ty. Hệ số này càng cao cho thấy công ty càng phụ thuộc vào nguồn vốn vay, từ đó tiềm ẩn rủi ro về lãi vay và khả năng thanh toán. Ngược lại, hệ số thấp phản ánh sự an toàn tài chính cao hơn, điều này đặc biệt quan trọng đối với các công ty hoạt động trong ngành khai khoáng có chu kỳ vốn lớn và rủi ro cao như TKV.</w:t>
      </w:r>
    </w:p>
    <w:p w14:paraId="71EF84BB" w14:textId="2595BD6F" w:rsidR="005025B3" w:rsidRDefault="005025B3" w:rsidP="005025B3">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 xml:space="preserve">Bảng </w:t>
      </w:r>
      <w:r w:rsidR="00621F59" w:rsidRPr="00F22BA5">
        <w:rPr>
          <w:rFonts w:ascii="Times New Roman" w:hAnsi="Times New Roman" w:cs="Times New Roman"/>
          <w:b/>
          <w:sz w:val="26"/>
          <w:szCs w:val="26"/>
          <w:lang w:val="vi-VN"/>
        </w:rPr>
        <w:t>2.8</w:t>
      </w:r>
      <w:r w:rsidRPr="0002299B">
        <w:rPr>
          <w:rFonts w:ascii="Times New Roman" w:hAnsi="Times New Roman" w:cs="Times New Roman"/>
          <w:b/>
          <w:sz w:val="26"/>
          <w:szCs w:val="26"/>
          <w:lang w:val="vi-VN"/>
        </w:rPr>
        <w:t xml:space="preserve">. Hệ số </w:t>
      </w:r>
      <w:r>
        <w:rPr>
          <w:rFonts w:ascii="Times New Roman" w:hAnsi="Times New Roman" w:cs="Times New Roman"/>
          <w:b/>
          <w:sz w:val="26"/>
          <w:szCs w:val="26"/>
          <w:lang w:val="vi-VN"/>
        </w:rPr>
        <w:t xml:space="preserve">nợ trên vốn chủ sở hữu </w:t>
      </w:r>
      <w:r w:rsidRPr="0002299B">
        <w:rPr>
          <w:rFonts w:ascii="Times New Roman" w:hAnsi="Times New Roman" w:cs="Times New Roman"/>
          <w:b/>
          <w:sz w:val="26"/>
          <w:szCs w:val="26"/>
          <w:lang w:val="vi-VN"/>
        </w:rPr>
        <w:t xml:space="preserve">của các CTCP niêm yết </w:t>
      </w:r>
    </w:p>
    <w:p w14:paraId="0CC3FE43" w14:textId="77777777" w:rsidR="005025B3" w:rsidRDefault="005025B3" w:rsidP="005025B3">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thuộc TKV</w:t>
      </w:r>
      <w:r>
        <w:rPr>
          <w:rFonts w:ascii="Times New Roman" w:hAnsi="Times New Roman" w:cs="Times New Roman"/>
          <w:b/>
          <w:sz w:val="26"/>
          <w:szCs w:val="26"/>
          <w:lang w:val="vi-VN"/>
        </w:rPr>
        <w:t xml:space="preserve"> giai đoạn 2019 – 2023</w:t>
      </w:r>
    </w:p>
    <w:tbl>
      <w:tblPr>
        <w:tblStyle w:val="TableGrid"/>
        <w:tblW w:w="8567" w:type="dxa"/>
        <w:tblInd w:w="224" w:type="dxa"/>
        <w:tblLayout w:type="fixed"/>
        <w:tblLook w:val="04A0" w:firstRow="1" w:lastRow="0" w:firstColumn="1" w:lastColumn="0" w:noHBand="0" w:noVBand="1"/>
      </w:tblPr>
      <w:tblGrid>
        <w:gridCol w:w="729"/>
        <w:gridCol w:w="1523"/>
        <w:gridCol w:w="895"/>
        <w:gridCol w:w="904"/>
        <w:gridCol w:w="904"/>
        <w:gridCol w:w="904"/>
        <w:gridCol w:w="1033"/>
        <w:gridCol w:w="1675"/>
      </w:tblGrid>
      <w:tr w:rsidR="004642E6" w:rsidRPr="00EC6124" w14:paraId="214BE830" w14:textId="77777777" w:rsidTr="00111E4D">
        <w:trPr>
          <w:trHeight w:val="221"/>
        </w:trPr>
        <w:tc>
          <w:tcPr>
            <w:tcW w:w="729" w:type="dxa"/>
            <w:tcBorders>
              <w:top w:val="single" w:sz="4" w:space="0" w:color="auto"/>
              <w:left w:val="single" w:sz="4" w:space="0" w:color="auto"/>
              <w:bottom w:val="single" w:sz="4" w:space="0" w:color="auto"/>
              <w:right w:val="single" w:sz="4" w:space="0" w:color="auto"/>
            </w:tcBorders>
            <w:vAlign w:val="center"/>
          </w:tcPr>
          <w:p w14:paraId="7C851EEF" w14:textId="6A0DD342" w:rsidR="004642E6" w:rsidRPr="00EC6124" w:rsidRDefault="004642E6" w:rsidP="003803F6">
            <w:pPr>
              <w:jc w:val="center"/>
              <w:rPr>
                <w:rFonts w:ascii="Times New Roman" w:hAnsi="Times New Roman" w:cs="Times New Roman"/>
                <w:b/>
                <w:bCs/>
                <w:sz w:val="26"/>
                <w:szCs w:val="26"/>
              </w:rPr>
            </w:pPr>
            <w:r>
              <w:rPr>
                <w:rFonts w:ascii="Times New Roman" w:hAnsi="Times New Roman" w:cs="Times New Roman"/>
                <w:b/>
                <w:bCs/>
                <w:sz w:val="26"/>
                <w:szCs w:val="26"/>
              </w:rPr>
              <w:t>TT</w:t>
            </w:r>
          </w:p>
        </w:tc>
        <w:tc>
          <w:tcPr>
            <w:tcW w:w="1523" w:type="dxa"/>
            <w:tcBorders>
              <w:top w:val="single" w:sz="4" w:space="0" w:color="auto"/>
              <w:left w:val="single" w:sz="4" w:space="0" w:color="auto"/>
              <w:bottom w:val="single" w:sz="4" w:space="0" w:color="auto"/>
              <w:right w:val="single" w:sz="4" w:space="0" w:color="auto"/>
            </w:tcBorders>
            <w:vAlign w:val="center"/>
            <w:hideMark/>
          </w:tcPr>
          <w:p w14:paraId="6D3BA9F8" w14:textId="3C84F60A" w:rsidR="004642E6"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Công ty</w:t>
            </w:r>
          </w:p>
        </w:tc>
        <w:tc>
          <w:tcPr>
            <w:tcW w:w="895" w:type="dxa"/>
            <w:tcBorders>
              <w:top w:val="single" w:sz="4" w:space="0" w:color="auto"/>
              <w:left w:val="single" w:sz="4" w:space="0" w:color="auto"/>
              <w:bottom w:val="single" w:sz="4" w:space="0" w:color="auto"/>
              <w:right w:val="single" w:sz="4" w:space="0" w:color="auto"/>
            </w:tcBorders>
            <w:vAlign w:val="center"/>
            <w:hideMark/>
          </w:tcPr>
          <w:p w14:paraId="24F489C1" w14:textId="77777777" w:rsidR="004642E6" w:rsidRPr="00EC6124" w:rsidRDefault="004642E6"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2019</w:t>
            </w:r>
          </w:p>
        </w:tc>
        <w:tc>
          <w:tcPr>
            <w:tcW w:w="904" w:type="dxa"/>
            <w:tcBorders>
              <w:top w:val="single" w:sz="4" w:space="0" w:color="auto"/>
              <w:left w:val="single" w:sz="4" w:space="0" w:color="auto"/>
              <w:bottom w:val="single" w:sz="4" w:space="0" w:color="auto"/>
              <w:right w:val="single" w:sz="4" w:space="0" w:color="auto"/>
            </w:tcBorders>
            <w:vAlign w:val="center"/>
            <w:hideMark/>
          </w:tcPr>
          <w:p w14:paraId="545571ED" w14:textId="77777777" w:rsidR="004642E6" w:rsidRPr="00EC6124" w:rsidRDefault="004642E6"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2020</w:t>
            </w:r>
          </w:p>
        </w:tc>
        <w:tc>
          <w:tcPr>
            <w:tcW w:w="904" w:type="dxa"/>
            <w:tcBorders>
              <w:top w:val="single" w:sz="4" w:space="0" w:color="auto"/>
              <w:left w:val="single" w:sz="4" w:space="0" w:color="auto"/>
              <w:bottom w:val="single" w:sz="4" w:space="0" w:color="auto"/>
              <w:right w:val="single" w:sz="4" w:space="0" w:color="auto"/>
            </w:tcBorders>
            <w:vAlign w:val="center"/>
            <w:hideMark/>
          </w:tcPr>
          <w:p w14:paraId="6D006F81" w14:textId="77777777" w:rsidR="004642E6" w:rsidRPr="00EC6124" w:rsidRDefault="004642E6"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2021</w:t>
            </w:r>
          </w:p>
        </w:tc>
        <w:tc>
          <w:tcPr>
            <w:tcW w:w="904" w:type="dxa"/>
            <w:tcBorders>
              <w:top w:val="single" w:sz="4" w:space="0" w:color="auto"/>
              <w:left w:val="single" w:sz="4" w:space="0" w:color="auto"/>
              <w:bottom w:val="single" w:sz="4" w:space="0" w:color="auto"/>
              <w:right w:val="single" w:sz="4" w:space="0" w:color="auto"/>
            </w:tcBorders>
            <w:vAlign w:val="center"/>
            <w:hideMark/>
          </w:tcPr>
          <w:p w14:paraId="44C2A2F8" w14:textId="77777777" w:rsidR="004642E6" w:rsidRPr="00EC6124" w:rsidRDefault="004642E6"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2022</w:t>
            </w:r>
          </w:p>
        </w:tc>
        <w:tc>
          <w:tcPr>
            <w:tcW w:w="1033" w:type="dxa"/>
            <w:tcBorders>
              <w:top w:val="single" w:sz="4" w:space="0" w:color="auto"/>
              <w:left w:val="single" w:sz="4" w:space="0" w:color="auto"/>
              <w:bottom w:val="single" w:sz="4" w:space="0" w:color="auto"/>
              <w:right w:val="single" w:sz="4" w:space="0" w:color="auto"/>
            </w:tcBorders>
            <w:vAlign w:val="center"/>
            <w:hideMark/>
          </w:tcPr>
          <w:p w14:paraId="79F2EEB7" w14:textId="77777777" w:rsidR="004642E6" w:rsidRPr="00EC6124" w:rsidRDefault="004642E6" w:rsidP="003803F6">
            <w:pPr>
              <w:jc w:val="center"/>
              <w:rPr>
                <w:rFonts w:ascii="Times New Roman" w:hAnsi="Times New Roman" w:cs="Times New Roman"/>
                <w:b/>
                <w:bCs/>
                <w:sz w:val="26"/>
                <w:szCs w:val="26"/>
              </w:rPr>
            </w:pPr>
            <w:r w:rsidRPr="00EC6124">
              <w:rPr>
                <w:rFonts w:ascii="Times New Roman" w:hAnsi="Times New Roman" w:cs="Times New Roman"/>
                <w:b/>
                <w:bCs/>
                <w:sz w:val="26"/>
                <w:szCs w:val="26"/>
              </w:rPr>
              <w:t>2023</w:t>
            </w:r>
          </w:p>
        </w:tc>
        <w:tc>
          <w:tcPr>
            <w:tcW w:w="1675" w:type="dxa"/>
            <w:tcBorders>
              <w:top w:val="single" w:sz="4" w:space="0" w:color="auto"/>
              <w:left w:val="single" w:sz="4" w:space="0" w:color="auto"/>
              <w:bottom w:val="single" w:sz="4" w:space="0" w:color="auto"/>
              <w:right w:val="single" w:sz="4" w:space="0" w:color="auto"/>
            </w:tcBorders>
            <w:vAlign w:val="center"/>
          </w:tcPr>
          <w:p w14:paraId="77BCCE86" w14:textId="77777777" w:rsidR="004642E6" w:rsidRPr="00B00F9C" w:rsidRDefault="004642E6" w:rsidP="003803F6">
            <w:pPr>
              <w:jc w:val="center"/>
              <w:rPr>
                <w:rFonts w:ascii="Times New Roman" w:hAnsi="Times New Roman" w:cs="Times New Roman"/>
                <w:b/>
                <w:bCs/>
                <w:sz w:val="26"/>
                <w:szCs w:val="26"/>
                <w:lang w:val="vi-VN"/>
              </w:rPr>
            </w:pPr>
            <w:r>
              <w:rPr>
                <w:rFonts w:ascii="Times New Roman" w:hAnsi="Times New Roman" w:cs="Times New Roman"/>
                <w:b/>
                <w:bCs/>
                <w:sz w:val="26"/>
                <w:szCs w:val="26"/>
              </w:rPr>
              <w:t>Bình</w:t>
            </w:r>
            <w:r>
              <w:rPr>
                <w:rFonts w:ascii="Times New Roman" w:hAnsi="Times New Roman" w:cs="Times New Roman"/>
                <w:b/>
                <w:bCs/>
                <w:sz w:val="26"/>
                <w:szCs w:val="26"/>
                <w:lang w:val="vi-VN"/>
              </w:rPr>
              <w:t xml:space="preserve"> quân</w:t>
            </w:r>
          </w:p>
        </w:tc>
      </w:tr>
      <w:tr w:rsidR="0031049D" w:rsidRPr="00EC6124" w14:paraId="573518DE" w14:textId="77777777" w:rsidTr="00111E4D">
        <w:trPr>
          <w:trHeight w:val="239"/>
        </w:trPr>
        <w:tc>
          <w:tcPr>
            <w:tcW w:w="729" w:type="dxa"/>
            <w:tcBorders>
              <w:top w:val="single" w:sz="4" w:space="0" w:color="auto"/>
              <w:left w:val="single" w:sz="4" w:space="0" w:color="auto"/>
              <w:bottom w:val="single" w:sz="4" w:space="0" w:color="auto"/>
              <w:right w:val="single" w:sz="4" w:space="0" w:color="auto"/>
            </w:tcBorders>
            <w:vAlign w:val="center"/>
          </w:tcPr>
          <w:p w14:paraId="256C7C78" w14:textId="56E01939"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1</w:t>
            </w:r>
          </w:p>
        </w:tc>
        <w:tc>
          <w:tcPr>
            <w:tcW w:w="1523" w:type="dxa"/>
            <w:tcBorders>
              <w:top w:val="single" w:sz="4" w:space="0" w:color="auto"/>
              <w:left w:val="single" w:sz="4" w:space="0" w:color="auto"/>
              <w:bottom w:val="single" w:sz="4" w:space="0" w:color="auto"/>
              <w:right w:val="single" w:sz="4" w:space="0" w:color="auto"/>
            </w:tcBorders>
            <w:vAlign w:val="center"/>
            <w:hideMark/>
          </w:tcPr>
          <w:p w14:paraId="78173680" w14:textId="1E970014"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TVD</w:t>
            </w:r>
          </w:p>
        </w:tc>
        <w:tc>
          <w:tcPr>
            <w:tcW w:w="895" w:type="dxa"/>
            <w:tcBorders>
              <w:top w:val="single" w:sz="4" w:space="0" w:color="auto"/>
              <w:left w:val="single" w:sz="4" w:space="0" w:color="auto"/>
              <w:bottom w:val="single" w:sz="4" w:space="0" w:color="auto"/>
              <w:right w:val="single" w:sz="4" w:space="0" w:color="auto"/>
            </w:tcBorders>
            <w:vAlign w:val="center"/>
            <w:hideMark/>
          </w:tcPr>
          <w:p w14:paraId="2D92CE21"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3,93</w:t>
            </w:r>
          </w:p>
        </w:tc>
        <w:tc>
          <w:tcPr>
            <w:tcW w:w="904" w:type="dxa"/>
            <w:tcBorders>
              <w:top w:val="single" w:sz="4" w:space="0" w:color="auto"/>
              <w:left w:val="single" w:sz="4" w:space="0" w:color="auto"/>
              <w:bottom w:val="single" w:sz="4" w:space="0" w:color="auto"/>
              <w:right w:val="single" w:sz="4" w:space="0" w:color="auto"/>
            </w:tcBorders>
            <w:vAlign w:val="center"/>
            <w:hideMark/>
          </w:tcPr>
          <w:p w14:paraId="73FA84C1"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4,18</w:t>
            </w:r>
          </w:p>
        </w:tc>
        <w:tc>
          <w:tcPr>
            <w:tcW w:w="904" w:type="dxa"/>
            <w:tcBorders>
              <w:top w:val="single" w:sz="4" w:space="0" w:color="auto"/>
              <w:left w:val="single" w:sz="4" w:space="0" w:color="auto"/>
              <w:bottom w:val="single" w:sz="4" w:space="0" w:color="auto"/>
              <w:right w:val="single" w:sz="4" w:space="0" w:color="auto"/>
            </w:tcBorders>
            <w:vAlign w:val="center"/>
            <w:hideMark/>
          </w:tcPr>
          <w:p w14:paraId="6CC3C5DD"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3,28</w:t>
            </w:r>
          </w:p>
        </w:tc>
        <w:tc>
          <w:tcPr>
            <w:tcW w:w="904" w:type="dxa"/>
            <w:tcBorders>
              <w:top w:val="single" w:sz="4" w:space="0" w:color="auto"/>
              <w:left w:val="single" w:sz="4" w:space="0" w:color="auto"/>
              <w:bottom w:val="single" w:sz="4" w:space="0" w:color="auto"/>
              <w:right w:val="single" w:sz="4" w:space="0" w:color="auto"/>
            </w:tcBorders>
            <w:vAlign w:val="center"/>
            <w:hideMark/>
          </w:tcPr>
          <w:p w14:paraId="2D8AA2E7"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3,07</w:t>
            </w:r>
          </w:p>
        </w:tc>
        <w:tc>
          <w:tcPr>
            <w:tcW w:w="1033" w:type="dxa"/>
            <w:tcBorders>
              <w:top w:val="single" w:sz="4" w:space="0" w:color="auto"/>
              <w:left w:val="single" w:sz="4" w:space="0" w:color="auto"/>
              <w:bottom w:val="single" w:sz="4" w:space="0" w:color="auto"/>
              <w:right w:val="single" w:sz="4" w:space="0" w:color="auto"/>
            </w:tcBorders>
            <w:vAlign w:val="center"/>
            <w:hideMark/>
          </w:tcPr>
          <w:p w14:paraId="3A9835E2"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2,00</w:t>
            </w:r>
          </w:p>
        </w:tc>
        <w:tc>
          <w:tcPr>
            <w:tcW w:w="1675" w:type="dxa"/>
            <w:tcBorders>
              <w:top w:val="single" w:sz="4" w:space="0" w:color="auto"/>
              <w:left w:val="nil"/>
              <w:bottom w:val="single" w:sz="4" w:space="0" w:color="auto"/>
              <w:right w:val="single" w:sz="4" w:space="0" w:color="auto"/>
            </w:tcBorders>
            <w:shd w:val="clear" w:color="auto" w:fill="auto"/>
            <w:vAlign w:val="center"/>
          </w:tcPr>
          <w:p w14:paraId="7C580141" w14:textId="77777777" w:rsidR="0031049D" w:rsidRPr="00B00F9C" w:rsidRDefault="0031049D"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3,29</w:t>
            </w:r>
          </w:p>
        </w:tc>
      </w:tr>
      <w:tr w:rsidR="0031049D" w:rsidRPr="00EC6124" w14:paraId="085A500D" w14:textId="77777777" w:rsidTr="00111E4D">
        <w:trPr>
          <w:trHeight w:val="221"/>
        </w:trPr>
        <w:tc>
          <w:tcPr>
            <w:tcW w:w="729" w:type="dxa"/>
            <w:tcBorders>
              <w:top w:val="single" w:sz="4" w:space="0" w:color="auto"/>
              <w:left w:val="single" w:sz="4" w:space="0" w:color="auto"/>
              <w:bottom w:val="single" w:sz="4" w:space="0" w:color="auto"/>
              <w:right w:val="single" w:sz="4" w:space="0" w:color="auto"/>
            </w:tcBorders>
            <w:vAlign w:val="center"/>
          </w:tcPr>
          <w:p w14:paraId="0324797B" w14:textId="0F9BAF16"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2</w:t>
            </w:r>
          </w:p>
        </w:tc>
        <w:tc>
          <w:tcPr>
            <w:tcW w:w="1523" w:type="dxa"/>
            <w:tcBorders>
              <w:top w:val="single" w:sz="4" w:space="0" w:color="auto"/>
              <w:left w:val="single" w:sz="4" w:space="0" w:color="auto"/>
              <w:bottom w:val="single" w:sz="4" w:space="0" w:color="auto"/>
              <w:right w:val="single" w:sz="4" w:space="0" w:color="auto"/>
            </w:tcBorders>
            <w:vAlign w:val="center"/>
            <w:hideMark/>
          </w:tcPr>
          <w:p w14:paraId="2B07D909" w14:textId="45D79DAD"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MDC</w:t>
            </w:r>
          </w:p>
        </w:tc>
        <w:tc>
          <w:tcPr>
            <w:tcW w:w="895" w:type="dxa"/>
            <w:tcBorders>
              <w:top w:val="single" w:sz="4" w:space="0" w:color="auto"/>
              <w:left w:val="single" w:sz="4" w:space="0" w:color="auto"/>
              <w:bottom w:val="single" w:sz="4" w:space="0" w:color="auto"/>
              <w:right w:val="single" w:sz="4" w:space="0" w:color="auto"/>
            </w:tcBorders>
            <w:vAlign w:val="center"/>
            <w:hideMark/>
          </w:tcPr>
          <w:p w14:paraId="671E06AF" w14:textId="77777777" w:rsidR="0031049D" w:rsidRPr="00EC6124" w:rsidRDefault="0031049D" w:rsidP="003803F6">
            <w:pPr>
              <w:jc w:val="center"/>
              <w:rPr>
                <w:rFonts w:ascii="Times New Roman" w:hAnsi="Times New Roman" w:cs="Times New Roman"/>
                <w:b/>
                <w:bCs/>
                <w:sz w:val="26"/>
                <w:szCs w:val="26"/>
              </w:rPr>
            </w:pPr>
            <w:r w:rsidRPr="00EC6124">
              <w:rPr>
                <w:rFonts w:ascii="Times New Roman" w:hAnsi="Times New Roman" w:cs="Times New Roman"/>
                <w:sz w:val="26"/>
                <w:szCs w:val="26"/>
              </w:rPr>
              <w:t>3,91</w:t>
            </w:r>
          </w:p>
        </w:tc>
        <w:tc>
          <w:tcPr>
            <w:tcW w:w="904" w:type="dxa"/>
            <w:tcBorders>
              <w:top w:val="single" w:sz="4" w:space="0" w:color="auto"/>
              <w:left w:val="nil"/>
              <w:bottom w:val="single" w:sz="4" w:space="0" w:color="auto"/>
              <w:right w:val="single" w:sz="4" w:space="0" w:color="auto"/>
            </w:tcBorders>
            <w:vAlign w:val="center"/>
            <w:hideMark/>
          </w:tcPr>
          <w:p w14:paraId="05F34E4E" w14:textId="77777777" w:rsidR="0031049D" w:rsidRPr="00EC6124" w:rsidRDefault="0031049D" w:rsidP="003803F6">
            <w:pPr>
              <w:jc w:val="center"/>
              <w:rPr>
                <w:rFonts w:ascii="Times New Roman" w:hAnsi="Times New Roman" w:cs="Times New Roman"/>
                <w:b/>
                <w:bCs/>
                <w:sz w:val="26"/>
                <w:szCs w:val="26"/>
              </w:rPr>
            </w:pPr>
            <w:r w:rsidRPr="00EC6124">
              <w:rPr>
                <w:rFonts w:ascii="Times New Roman" w:hAnsi="Times New Roman" w:cs="Times New Roman"/>
                <w:sz w:val="26"/>
                <w:szCs w:val="26"/>
              </w:rPr>
              <w:t>4,70</w:t>
            </w:r>
          </w:p>
        </w:tc>
        <w:tc>
          <w:tcPr>
            <w:tcW w:w="904" w:type="dxa"/>
            <w:tcBorders>
              <w:top w:val="single" w:sz="4" w:space="0" w:color="auto"/>
              <w:left w:val="nil"/>
              <w:bottom w:val="single" w:sz="4" w:space="0" w:color="auto"/>
              <w:right w:val="single" w:sz="4" w:space="0" w:color="auto"/>
            </w:tcBorders>
            <w:vAlign w:val="center"/>
            <w:hideMark/>
          </w:tcPr>
          <w:p w14:paraId="620FBAEF" w14:textId="77777777" w:rsidR="0031049D" w:rsidRPr="00EC6124" w:rsidRDefault="0031049D" w:rsidP="003803F6">
            <w:pPr>
              <w:jc w:val="center"/>
              <w:rPr>
                <w:rFonts w:ascii="Times New Roman" w:hAnsi="Times New Roman" w:cs="Times New Roman"/>
                <w:b/>
                <w:bCs/>
                <w:sz w:val="26"/>
                <w:szCs w:val="26"/>
              </w:rPr>
            </w:pPr>
            <w:r w:rsidRPr="00EC6124">
              <w:rPr>
                <w:rFonts w:ascii="Times New Roman" w:hAnsi="Times New Roman" w:cs="Times New Roman"/>
                <w:sz w:val="26"/>
                <w:szCs w:val="26"/>
              </w:rPr>
              <w:t>3,55</w:t>
            </w:r>
          </w:p>
        </w:tc>
        <w:tc>
          <w:tcPr>
            <w:tcW w:w="904" w:type="dxa"/>
            <w:tcBorders>
              <w:top w:val="single" w:sz="4" w:space="0" w:color="auto"/>
              <w:left w:val="nil"/>
              <w:bottom w:val="single" w:sz="4" w:space="0" w:color="auto"/>
              <w:right w:val="single" w:sz="4" w:space="0" w:color="auto"/>
            </w:tcBorders>
            <w:vAlign w:val="center"/>
            <w:hideMark/>
          </w:tcPr>
          <w:p w14:paraId="1083504C" w14:textId="77777777" w:rsidR="0031049D" w:rsidRPr="00EC6124" w:rsidRDefault="0031049D" w:rsidP="003803F6">
            <w:pPr>
              <w:jc w:val="center"/>
              <w:rPr>
                <w:rFonts w:ascii="Times New Roman" w:hAnsi="Times New Roman" w:cs="Times New Roman"/>
                <w:b/>
                <w:bCs/>
                <w:sz w:val="26"/>
                <w:szCs w:val="26"/>
              </w:rPr>
            </w:pPr>
            <w:r w:rsidRPr="00EC6124">
              <w:rPr>
                <w:rFonts w:ascii="Times New Roman" w:hAnsi="Times New Roman" w:cs="Times New Roman"/>
                <w:sz w:val="26"/>
                <w:szCs w:val="26"/>
              </w:rPr>
              <w:t>3,59</w:t>
            </w:r>
          </w:p>
        </w:tc>
        <w:tc>
          <w:tcPr>
            <w:tcW w:w="1033" w:type="dxa"/>
            <w:tcBorders>
              <w:top w:val="single" w:sz="4" w:space="0" w:color="auto"/>
              <w:left w:val="nil"/>
              <w:bottom w:val="single" w:sz="4" w:space="0" w:color="auto"/>
              <w:right w:val="single" w:sz="4" w:space="0" w:color="auto"/>
            </w:tcBorders>
            <w:vAlign w:val="center"/>
            <w:hideMark/>
          </w:tcPr>
          <w:p w14:paraId="18AC358D" w14:textId="77777777" w:rsidR="0031049D" w:rsidRPr="00EC6124" w:rsidRDefault="0031049D" w:rsidP="003803F6">
            <w:pPr>
              <w:jc w:val="center"/>
              <w:rPr>
                <w:rFonts w:ascii="Times New Roman" w:hAnsi="Times New Roman" w:cs="Times New Roman"/>
                <w:b/>
                <w:bCs/>
                <w:sz w:val="26"/>
                <w:szCs w:val="26"/>
              </w:rPr>
            </w:pPr>
            <w:r w:rsidRPr="00EC6124">
              <w:rPr>
                <w:rFonts w:ascii="Times New Roman" w:hAnsi="Times New Roman" w:cs="Times New Roman"/>
                <w:sz w:val="26"/>
                <w:szCs w:val="26"/>
              </w:rPr>
              <w:t>2,25</w:t>
            </w:r>
          </w:p>
        </w:tc>
        <w:tc>
          <w:tcPr>
            <w:tcW w:w="1675" w:type="dxa"/>
            <w:tcBorders>
              <w:top w:val="single" w:sz="4" w:space="0" w:color="auto"/>
              <w:left w:val="nil"/>
              <w:bottom w:val="single" w:sz="4" w:space="0" w:color="auto"/>
              <w:right w:val="single" w:sz="4" w:space="0" w:color="auto"/>
            </w:tcBorders>
            <w:shd w:val="clear" w:color="auto" w:fill="auto"/>
            <w:vAlign w:val="center"/>
          </w:tcPr>
          <w:p w14:paraId="218F0FB5" w14:textId="77777777" w:rsidR="0031049D" w:rsidRPr="00B00F9C" w:rsidRDefault="0031049D"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3,60</w:t>
            </w:r>
          </w:p>
        </w:tc>
      </w:tr>
      <w:tr w:rsidR="0031049D" w:rsidRPr="00EC6124" w14:paraId="611F4F0B" w14:textId="77777777" w:rsidTr="00111E4D">
        <w:trPr>
          <w:trHeight w:val="254"/>
        </w:trPr>
        <w:tc>
          <w:tcPr>
            <w:tcW w:w="729" w:type="dxa"/>
            <w:tcBorders>
              <w:top w:val="single" w:sz="4" w:space="0" w:color="auto"/>
              <w:left w:val="single" w:sz="4" w:space="0" w:color="auto"/>
              <w:bottom w:val="single" w:sz="4" w:space="0" w:color="auto"/>
              <w:right w:val="single" w:sz="4" w:space="0" w:color="auto"/>
            </w:tcBorders>
            <w:vAlign w:val="center"/>
          </w:tcPr>
          <w:p w14:paraId="3E2A4B4E" w14:textId="51CC0DC9"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3</w:t>
            </w:r>
          </w:p>
        </w:tc>
        <w:tc>
          <w:tcPr>
            <w:tcW w:w="1523" w:type="dxa"/>
            <w:tcBorders>
              <w:top w:val="single" w:sz="4" w:space="0" w:color="auto"/>
              <w:left w:val="single" w:sz="4" w:space="0" w:color="auto"/>
              <w:bottom w:val="single" w:sz="4" w:space="0" w:color="auto"/>
              <w:right w:val="single" w:sz="4" w:space="0" w:color="auto"/>
            </w:tcBorders>
            <w:vAlign w:val="center"/>
            <w:hideMark/>
          </w:tcPr>
          <w:p w14:paraId="0BBDA62B" w14:textId="6110ED67"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HLC</w:t>
            </w:r>
          </w:p>
        </w:tc>
        <w:tc>
          <w:tcPr>
            <w:tcW w:w="895" w:type="dxa"/>
            <w:tcBorders>
              <w:top w:val="single" w:sz="4" w:space="0" w:color="auto"/>
              <w:left w:val="single" w:sz="4" w:space="0" w:color="auto"/>
              <w:bottom w:val="single" w:sz="4" w:space="0" w:color="auto"/>
              <w:right w:val="single" w:sz="4" w:space="0" w:color="auto"/>
            </w:tcBorders>
            <w:vAlign w:val="center"/>
            <w:hideMark/>
          </w:tcPr>
          <w:p w14:paraId="059C6FE1"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9,26</w:t>
            </w:r>
          </w:p>
        </w:tc>
        <w:tc>
          <w:tcPr>
            <w:tcW w:w="904" w:type="dxa"/>
            <w:tcBorders>
              <w:top w:val="single" w:sz="4" w:space="0" w:color="auto"/>
              <w:left w:val="single" w:sz="4" w:space="0" w:color="auto"/>
              <w:bottom w:val="single" w:sz="4" w:space="0" w:color="auto"/>
              <w:right w:val="single" w:sz="4" w:space="0" w:color="auto"/>
            </w:tcBorders>
            <w:vAlign w:val="center"/>
            <w:hideMark/>
          </w:tcPr>
          <w:p w14:paraId="5D7CBD50"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10,22</w:t>
            </w:r>
          </w:p>
        </w:tc>
        <w:tc>
          <w:tcPr>
            <w:tcW w:w="904" w:type="dxa"/>
            <w:tcBorders>
              <w:top w:val="single" w:sz="4" w:space="0" w:color="auto"/>
              <w:left w:val="single" w:sz="4" w:space="0" w:color="auto"/>
              <w:bottom w:val="single" w:sz="4" w:space="0" w:color="auto"/>
              <w:right w:val="single" w:sz="4" w:space="0" w:color="auto"/>
            </w:tcBorders>
            <w:vAlign w:val="center"/>
            <w:hideMark/>
          </w:tcPr>
          <w:p w14:paraId="15779735"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7,91</w:t>
            </w:r>
          </w:p>
        </w:tc>
        <w:tc>
          <w:tcPr>
            <w:tcW w:w="904" w:type="dxa"/>
            <w:tcBorders>
              <w:top w:val="single" w:sz="4" w:space="0" w:color="auto"/>
              <w:left w:val="single" w:sz="4" w:space="0" w:color="auto"/>
              <w:bottom w:val="single" w:sz="4" w:space="0" w:color="auto"/>
              <w:right w:val="single" w:sz="4" w:space="0" w:color="auto"/>
            </w:tcBorders>
            <w:vAlign w:val="center"/>
            <w:hideMark/>
          </w:tcPr>
          <w:p w14:paraId="27F08A5F"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6,68</w:t>
            </w:r>
          </w:p>
        </w:tc>
        <w:tc>
          <w:tcPr>
            <w:tcW w:w="1033" w:type="dxa"/>
            <w:tcBorders>
              <w:top w:val="single" w:sz="4" w:space="0" w:color="auto"/>
              <w:left w:val="single" w:sz="4" w:space="0" w:color="auto"/>
              <w:bottom w:val="single" w:sz="4" w:space="0" w:color="auto"/>
              <w:right w:val="single" w:sz="4" w:space="0" w:color="auto"/>
            </w:tcBorders>
            <w:vAlign w:val="center"/>
            <w:hideMark/>
          </w:tcPr>
          <w:p w14:paraId="51F9283E"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4,33</w:t>
            </w:r>
          </w:p>
        </w:tc>
        <w:tc>
          <w:tcPr>
            <w:tcW w:w="1675" w:type="dxa"/>
            <w:tcBorders>
              <w:top w:val="single" w:sz="4" w:space="0" w:color="auto"/>
              <w:left w:val="nil"/>
              <w:bottom w:val="single" w:sz="4" w:space="0" w:color="auto"/>
              <w:right w:val="single" w:sz="4" w:space="0" w:color="auto"/>
            </w:tcBorders>
            <w:shd w:val="clear" w:color="auto" w:fill="auto"/>
            <w:vAlign w:val="center"/>
          </w:tcPr>
          <w:p w14:paraId="5E89A22C" w14:textId="77777777" w:rsidR="0031049D" w:rsidRPr="00B00F9C" w:rsidRDefault="0031049D"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7,68</w:t>
            </w:r>
          </w:p>
        </w:tc>
      </w:tr>
      <w:tr w:rsidR="0031049D" w:rsidRPr="00EC6124" w14:paraId="6BA9156E" w14:textId="77777777" w:rsidTr="00111E4D">
        <w:trPr>
          <w:trHeight w:val="221"/>
        </w:trPr>
        <w:tc>
          <w:tcPr>
            <w:tcW w:w="729" w:type="dxa"/>
            <w:tcBorders>
              <w:top w:val="single" w:sz="4" w:space="0" w:color="auto"/>
              <w:left w:val="single" w:sz="4" w:space="0" w:color="auto"/>
              <w:bottom w:val="single" w:sz="4" w:space="0" w:color="auto"/>
              <w:right w:val="single" w:sz="4" w:space="0" w:color="auto"/>
            </w:tcBorders>
            <w:vAlign w:val="center"/>
          </w:tcPr>
          <w:p w14:paraId="14D9D75A" w14:textId="4DA84500"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4</w:t>
            </w:r>
          </w:p>
        </w:tc>
        <w:tc>
          <w:tcPr>
            <w:tcW w:w="1523" w:type="dxa"/>
            <w:tcBorders>
              <w:top w:val="single" w:sz="4" w:space="0" w:color="auto"/>
              <w:left w:val="single" w:sz="4" w:space="0" w:color="auto"/>
              <w:bottom w:val="single" w:sz="4" w:space="0" w:color="auto"/>
              <w:right w:val="single" w:sz="4" w:space="0" w:color="auto"/>
            </w:tcBorders>
            <w:vAlign w:val="center"/>
            <w:hideMark/>
          </w:tcPr>
          <w:p w14:paraId="092849C4" w14:textId="312B3BFE"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THT</w:t>
            </w:r>
          </w:p>
        </w:tc>
        <w:tc>
          <w:tcPr>
            <w:tcW w:w="895" w:type="dxa"/>
            <w:tcBorders>
              <w:top w:val="single" w:sz="4" w:space="0" w:color="auto"/>
              <w:left w:val="single" w:sz="4" w:space="0" w:color="auto"/>
              <w:bottom w:val="single" w:sz="4" w:space="0" w:color="auto"/>
              <w:right w:val="single" w:sz="4" w:space="0" w:color="auto"/>
            </w:tcBorders>
            <w:vAlign w:val="center"/>
            <w:hideMark/>
          </w:tcPr>
          <w:p w14:paraId="69A2A5D7" w14:textId="77777777" w:rsidR="0031049D" w:rsidRPr="00EC6124" w:rsidRDefault="0031049D" w:rsidP="003803F6">
            <w:pPr>
              <w:jc w:val="center"/>
              <w:rPr>
                <w:rFonts w:ascii="Times New Roman" w:hAnsi="Times New Roman" w:cs="Times New Roman"/>
                <w:b/>
                <w:bCs/>
                <w:sz w:val="26"/>
                <w:szCs w:val="26"/>
              </w:rPr>
            </w:pPr>
            <w:r w:rsidRPr="00EC6124">
              <w:rPr>
                <w:rFonts w:ascii="Times New Roman" w:hAnsi="Times New Roman" w:cs="Times New Roman"/>
                <w:sz w:val="26"/>
                <w:szCs w:val="26"/>
              </w:rPr>
              <w:t>2,97</w:t>
            </w:r>
          </w:p>
        </w:tc>
        <w:tc>
          <w:tcPr>
            <w:tcW w:w="904" w:type="dxa"/>
            <w:tcBorders>
              <w:top w:val="single" w:sz="4" w:space="0" w:color="auto"/>
              <w:left w:val="single" w:sz="4" w:space="0" w:color="auto"/>
              <w:bottom w:val="single" w:sz="4" w:space="0" w:color="auto"/>
              <w:right w:val="single" w:sz="4" w:space="0" w:color="auto"/>
            </w:tcBorders>
            <w:vAlign w:val="center"/>
            <w:hideMark/>
          </w:tcPr>
          <w:p w14:paraId="1FC10771"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3,98</w:t>
            </w:r>
          </w:p>
        </w:tc>
        <w:tc>
          <w:tcPr>
            <w:tcW w:w="904" w:type="dxa"/>
            <w:tcBorders>
              <w:top w:val="single" w:sz="4" w:space="0" w:color="auto"/>
              <w:left w:val="single" w:sz="4" w:space="0" w:color="auto"/>
              <w:bottom w:val="single" w:sz="4" w:space="0" w:color="auto"/>
              <w:right w:val="single" w:sz="4" w:space="0" w:color="auto"/>
            </w:tcBorders>
            <w:vAlign w:val="center"/>
            <w:hideMark/>
          </w:tcPr>
          <w:p w14:paraId="4B4747D3"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3,78</w:t>
            </w:r>
          </w:p>
        </w:tc>
        <w:tc>
          <w:tcPr>
            <w:tcW w:w="904" w:type="dxa"/>
            <w:tcBorders>
              <w:top w:val="single" w:sz="4" w:space="0" w:color="auto"/>
              <w:left w:val="single" w:sz="4" w:space="0" w:color="auto"/>
              <w:bottom w:val="single" w:sz="4" w:space="0" w:color="auto"/>
              <w:right w:val="single" w:sz="4" w:space="0" w:color="auto"/>
            </w:tcBorders>
            <w:vAlign w:val="center"/>
            <w:hideMark/>
          </w:tcPr>
          <w:p w14:paraId="089B5853"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7,66</w:t>
            </w:r>
          </w:p>
        </w:tc>
        <w:tc>
          <w:tcPr>
            <w:tcW w:w="1033" w:type="dxa"/>
            <w:tcBorders>
              <w:top w:val="single" w:sz="4" w:space="0" w:color="auto"/>
              <w:left w:val="single" w:sz="4" w:space="0" w:color="auto"/>
              <w:bottom w:val="single" w:sz="4" w:space="0" w:color="auto"/>
              <w:right w:val="single" w:sz="4" w:space="0" w:color="auto"/>
            </w:tcBorders>
            <w:vAlign w:val="center"/>
            <w:hideMark/>
          </w:tcPr>
          <w:p w14:paraId="4A98267E"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5,88</w:t>
            </w:r>
          </w:p>
        </w:tc>
        <w:tc>
          <w:tcPr>
            <w:tcW w:w="1675" w:type="dxa"/>
            <w:tcBorders>
              <w:top w:val="single" w:sz="4" w:space="0" w:color="auto"/>
              <w:left w:val="nil"/>
              <w:bottom w:val="single" w:sz="4" w:space="0" w:color="auto"/>
              <w:right w:val="single" w:sz="4" w:space="0" w:color="auto"/>
            </w:tcBorders>
            <w:shd w:val="clear" w:color="auto" w:fill="auto"/>
            <w:vAlign w:val="center"/>
          </w:tcPr>
          <w:p w14:paraId="4A098E68" w14:textId="77777777" w:rsidR="0031049D" w:rsidRPr="00B00F9C" w:rsidRDefault="0031049D"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4,85</w:t>
            </w:r>
          </w:p>
        </w:tc>
      </w:tr>
      <w:tr w:rsidR="0031049D" w:rsidRPr="00EC6124" w14:paraId="05029CEC" w14:textId="77777777" w:rsidTr="00111E4D">
        <w:trPr>
          <w:trHeight w:val="221"/>
        </w:trPr>
        <w:tc>
          <w:tcPr>
            <w:tcW w:w="729" w:type="dxa"/>
            <w:tcBorders>
              <w:top w:val="single" w:sz="4" w:space="0" w:color="auto"/>
              <w:left w:val="single" w:sz="4" w:space="0" w:color="auto"/>
              <w:bottom w:val="single" w:sz="4" w:space="0" w:color="auto"/>
              <w:right w:val="single" w:sz="4" w:space="0" w:color="auto"/>
            </w:tcBorders>
            <w:vAlign w:val="center"/>
          </w:tcPr>
          <w:p w14:paraId="7208ADD4" w14:textId="4EA6A15F"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5</w:t>
            </w:r>
          </w:p>
        </w:tc>
        <w:tc>
          <w:tcPr>
            <w:tcW w:w="1523" w:type="dxa"/>
            <w:tcBorders>
              <w:top w:val="single" w:sz="4" w:space="0" w:color="auto"/>
              <w:left w:val="single" w:sz="4" w:space="0" w:color="auto"/>
              <w:bottom w:val="single" w:sz="4" w:space="0" w:color="auto"/>
              <w:right w:val="single" w:sz="4" w:space="0" w:color="auto"/>
            </w:tcBorders>
            <w:vAlign w:val="center"/>
            <w:hideMark/>
          </w:tcPr>
          <w:p w14:paraId="50A7FB25" w14:textId="13D855B6" w:rsidR="0031049D" w:rsidRPr="00EC6124" w:rsidRDefault="0031049D" w:rsidP="003803F6">
            <w:pPr>
              <w:jc w:val="center"/>
              <w:rPr>
                <w:rFonts w:ascii="Times New Roman" w:hAnsi="Times New Roman" w:cs="Times New Roman"/>
                <w:b/>
                <w:bCs/>
                <w:sz w:val="26"/>
                <w:szCs w:val="26"/>
              </w:rPr>
            </w:pPr>
            <w:r>
              <w:rPr>
                <w:rFonts w:ascii="Times New Roman" w:hAnsi="Times New Roman" w:cs="Times New Roman"/>
                <w:b/>
                <w:bCs/>
                <w:sz w:val="26"/>
                <w:szCs w:val="26"/>
              </w:rPr>
              <w:t>NBC</w:t>
            </w:r>
          </w:p>
        </w:tc>
        <w:tc>
          <w:tcPr>
            <w:tcW w:w="895" w:type="dxa"/>
            <w:tcBorders>
              <w:top w:val="single" w:sz="4" w:space="0" w:color="auto"/>
              <w:left w:val="single" w:sz="4" w:space="0" w:color="auto"/>
              <w:bottom w:val="single" w:sz="4" w:space="0" w:color="auto"/>
              <w:right w:val="single" w:sz="4" w:space="0" w:color="auto"/>
            </w:tcBorders>
            <w:vAlign w:val="center"/>
            <w:hideMark/>
          </w:tcPr>
          <w:p w14:paraId="575AA0B8"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6,95</w:t>
            </w:r>
          </w:p>
        </w:tc>
        <w:tc>
          <w:tcPr>
            <w:tcW w:w="904" w:type="dxa"/>
            <w:tcBorders>
              <w:top w:val="single" w:sz="4" w:space="0" w:color="auto"/>
              <w:left w:val="single" w:sz="4" w:space="0" w:color="auto"/>
              <w:bottom w:val="single" w:sz="4" w:space="0" w:color="auto"/>
              <w:right w:val="single" w:sz="4" w:space="0" w:color="auto"/>
            </w:tcBorders>
            <w:vAlign w:val="center"/>
            <w:hideMark/>
          </w:tcPr>
          <w:p w14:paraId="4AD48A5C"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6,52</w:t>
            </w:r>
          </w:p>
        </w:tc>
        <w:tc>
          <w:tcPr>
            <w:tcW w:w="904" w:type="dxa"/>
            <w:tcBorders>
              <w:top w:val="single" w:sz="4" w:space="0" w:color="auto"/>
              <w:left w:val="single" w:sz="4" w:space="0" w:color="auto"/>
              <w:bottom w:val="single" w:sz="4" w:space="0" w:color="auto"/>
              <w:right w:val="single" w:sz="4" w:space="0" w:color="auto"/>
            </w:tcBorders>
            <w:vAlign w:val="center"/>
            <w:hideMark/>
          </w:tcPr>
          <w:p w14:paraId="56CCCB41"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6,24</w:t>
            </w:r>
          </w:p>
        </w:tc>
        <w:tc>
          <w:tcPr>
            <w:tcW w:w="904" w:type="dxa"/>
            <w:tcBorders>
              <w:top w:val="single" w:sz="4" w:space="0" w:color="auto"/>
              <w:left w:val="single" w:sz="4" w:space="0" w:color="auto"/>
              <w:bottom w:val="single" w:sz="4" w:space="0" w:color="auto"/>
              <w:right w:val="single" w:sz="4" w:space="0" w:color="auto"/>
            </w:tcBorders>
            <w:vAlign w:val="center"/>
            <w:hideMark/>
          </w:tcPr>
          <w:p w14:paraId="099E62AB"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5,90</w:t>
            </w:r>
          </w:p>
        </w:tc>
        <w:tc>
          <w:tcPr>
            <w:tcW w:w="1033" w:type="dxa"/>
            <w:tcBorders>
              <w:top w:val="single" w:sz="4" w:space="0" w:color="auto"/>
              <w:left w:val="single" w:sz="4" w:space="0" w:color="auto"/>
              <w:bottom w:val="single" w:sz="4" w:space="0" w:color="auto"/>
              <w:right w:val="single" w:sz="4" w:space="0" w:color="auto"/>
            </w:tcBorders>
            <w:vAlign w:val="center"/>
            <w:hideMark/>
          </w:tcPr>
          <w:p w14:paraId="1C3BFCBC" w14:textId="77777777" w:rsidR="0031049D" w:rsidRPr="00EC6124" w:rsidRDefault="0031049D" w:rsidP="003803F6">
            <w:pPr>
              <w:jc w:val="center"/>
              <w:rPr>
                <w:rFonts w:ascii="Times New Roman" w:hAnsi="Times New Roman" w:cs="Times New Roman"/>
                <w:sz w:val="26"/>
                <w:szCs w:val="26"/>
              </w:rPr>
            </w:pPr>
            <w:r w:rsidRPr="00EC6124">
              <w:rPr>
                <w:rFonts w:ascii="Times New Roman" w:hAnsi="Times New Roman" w:cs="Times New Roman"/>
                <w:sz w:val="26"/>
                <w:szCs w:val="26"/>
              </w:rPr>
              <w:t>3,57</w:t>
            </w:r>
          </w:p>
        </w:tc>
        <w:tc>
          <w:tcPr>
            <w:tcW w:w="1675" w:type="dxa"/>
            <w:tcBorders>
              <w:top w:val="single" w:sz="4" w:space="0" w:color="auto"/>
              <w:left w:val="nil"/>
              <w:bottom w:val="single" w:sz="4" w:space="0" w:color="auto"/>
              <w:right w:val="single" w:sz="4" w:space="0" w:color="auto"/>
            </w:tcBorders>
            <w:shd w:val="clear" w:color="auto" w:fill="auto"/>
            <w:vAlign w:val="center"/>
          </w:tcPr>
          <w:p w14:paraId="445B7E21" w14:textId="77777777" w:rsidR="0031049D" w:rsidRPr="00B00F9C" w:rsidRDefault="0031049D" w:rsidP="003803F6">
            <w:pPr>
              <w:jc w:val="center"/>
              <w:rPr>
                <w:rFonts w:ascii="Times New Roman" w:hAnsi="Times New Roman" w:cs="Times New Roman"/>
                <w:sz w:val="28"/>
                <w:szCs w:val="28"/>
              </w:rPr>
            </w:pPr>
            <w:r w:rsidRPr="00B00F9C">
              <w:rPr>
                <w:rFonts w:ascii="Times New Roman" w:hAnsi="Times New Roman" w:cs="Times New Roman"/>
                <w:color w:val="000000"/>
                <w:sz w:val="28"/>
                <w:szCs w:val="28"/>
              </w:rPr>
              <w:t>5,84</w:t>
            </w:r>
          </w:p>
        </w:tc>
      </w:tr>
    </w:tbl>
    <w:p w14:paraId="7C5AEB83" w14:textId="4709FCD2" w:rsidR="00973841" w:rsidRPr="00973841" w:rsidRDefault="00B1640A" w:rsidP="00973841">
      <w:pPr>
        <w:spacing w:after="160" w:line="278" w:lineRule="auto"/>
        <w:jc w:val="right"/>
        <w:rPr>
          <w:rFonts w:ascii="Times New Roman" w:hAnsi="Times New Roman" w:cs="Times New Roman"/>
          <w:bCs/>
          <w:i/>
          <w:sz w:val="26"/>
          <w:szCs w:val="26"/>
          <w:lang w:val="vi-VN"/>
        </w:rPr>
      </w:pPr>
      <w:r w:rsidRPr="0031049D">
        <w:rPr>
          <w:rFonts w:ascii="Times New Roman" w:hAnsi="Times New Roman" w:cs="Times New Roman"/>
          <w:bCs/>
          <w:i/>
          <w:sz w:val="26"/>
          <w:szCs w:val="26"/>
        </w:rPr>
        <w:t>(Nguồn: Tổng hợp từ BCTC các công ty giai đoạn 2019-2023)</w:t>
      </w:r>
    </w:p>
    <w:p w14:paraId="4CEC49F6" w14:textId="3E131409" w:rsidR="004642E6" w:rsidRPr="004642E6" w:rsidRDefault="00533E45" w:rsidP="00533E45">
      <w:pPr>
        <w:spacing w:line="312" w:lineRule="auto"/>
        <w:jc w:val="both"/>
        <w:rPr>
          <w:rFonts w:ascii="Times New Roman" w:hAnsi="Times New Roman" w:cs="Times New Roman"/>
          <w:bCs/>
          <w:sz w:val="26"/>
          <w:szCs w:val="26"/>
          <w:lang w:val="vi-VN"/>
        </w:rPr>
      </w:pPr>
      <w:r>
        <w:rPr>
          <w:rFonts w:ascii="Times New Roman" w:hAnsi="Times New Roman" w:cs="Times New Roman"/>
          <w:bCs/>
          <w:sz w:val="26"/>
          <w:szCs w:val="26"/>
          <w:lang w:val="vi-VN"/>
        </w:rPr>
        <w:lastRenderedPageBreak/>
        <w:t xml:space="preserve">   </w:t>
      </w:r>
      <w:r w:rsidR="004642E6">
        <w:rPr>
          <w:noProof/>
          <w:sz w:val="26"/>
          <w:szCs w:val="26"/>
          <w:lang w:eastAsia="en-US"/>
        </w:rPr>
        <w:drawing>
          <wp:inline distT="0" distB="0" distL="0" distR="0" wp14:anchorId="00C87D54" wp14:editId="4DEE7C62">
            <wp:extent cx="5471160" cy="2933700"/>
            <wp:effectExtent l="0" t="0" r="15240" b="0"/>
            <wp:docPr id="1588172472"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2E783FC" w14:textId="4494CD73" w:rsidR="004642E6" w:rsidRPr="007315EC" w:rsidRDefault="007315EC" w:rsidP="007315EC">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Trong </w:t>
      </w:r>
      <w:r w:rsidRPr="00F22BA5">
        <w:rPr>
          <w:rFonts w:ascii="Times New Roman" w:hAnsi="Times New Roman" w:cs="Times New Roman"/>
          <w:iCs/>
          <w:sz w:val="26"/>
          <w:szCs w:val="26"/>
          <w:lang w:val="vi-VN"/>
        </w:rPr>
        <w:t>n</w:t>
      </w:r>
      <w:r w:rsidR="004642E6" w:rsidRPr="007315EC">
        <w:rPr>
          <w:rFonts w:ascii="Times New Roman" w:hAnsi="Times New Roman" w:cs="Times New Roman"/>
          <w:iCs/>
          <w:sz w:val="26"/>
          <w:szCs w:val="26"/>
          <w:lang w:val="vi-VN"/>
        </w:rPr>
        <w:t>ăm 2019</w:t>
      </w:r>
      <w:r w:rsidR="004A1CD3" w:rsidRPr="007315EC">
        <w:rPr>
          <w:rFonts w:ascii="Times New Roman" w:hAnsi="Times New Roman" w:cs="Times New Roman"/>
          <w:iCs/>
          <w:sz w:val="26"/>
          <w:szCs w:val="26"/>
          <w:lang w:val="vi-VN"/>
        </w:rPr>
        <w:t>-</w:t>
      </w:r>
      <w:r w:rsidRPr="007315EC">
        <w:rPr>
          <w:rFonts w:ascii="Times New Roman" w:hAnsi="Times New Roman" w:cs="Times New Roman"/>
          <w:iCs/>
          <w:sz w:val="26"/>
          <w:szCs w:val="26"/>
          <w:lang w:val="vi-VN"/>
        </w:rPr>
        <w:t>2020</w:t>
      </w:r>
      <w:r w:rsidRPr="00F22BA5">
        <w:rPr>
          <w:rFonts w:ascii="Times New Roman" w:hAnsi="Times New Roman" w:cs="Times New Roman"/>
          <w:iCs/>
          <w:sz w:val="26"/>
          <w:szCs w:val="26"/>
          <w:lang w:val="vi-VN"/>
        </w:rPr>
        <w:t xml:space="preserve">, CTCP </w:t>
      </w:r>
      <w:r w:rsidR="004642E6" w:rsidRPr="007315EC">
        <w:rPr>
          <w:rFonts w:ascii="Times New Roman" w:hAnsi="Times New Roman" w:cs="Times New Roman"/>
          <w:sz w:val="26"/>
          <w:szCs w:val="26"/>
          <w:lang w:val="vi-VN"/>
        </w:rPr>
        <w:t xml:space="preserve">Than Hà Lầm và </w:t>
      </w:r>
      <w:r w:rsidRPr="00F22BA5">
        <w:rPr>
          <w:rFonts w:ascii="Times New Roman" w:hAnsi="Times New Roman" w:cs="Times New Roman"/>
          <w:iCs/>
          <w:sz w:val="26"/>
          <w:szCs w:val="26"/>
          <w:lang w:val="vi-VN"/>
        </w:rPr>
        <w:t>CTCP</w:t>
      </w:r>
      <w:r w:rsidRPr="007315EC">
        <w:rPr>
          <w:rFonts w:ascii="Times New Roman" w:hAnsi="Times New Roman" w:cs="Times New Roman"/>
          <w:sz w:val="26"/>
          <w:szCs w:val="26"/>
          <w:lang w:val="vi-VN"/>
        </w:rPr>
        <w:t xml:space="preserve"> </w:t>
      </w:r>
      <w:r w:rsidR="004642E6" w:rsidRPr="007315EC">
        <w:rPr>
          <w:rFonts w:ascii="Times New Roman" w:hAnsi="Times New Roman" w:cs="Times New Roman"/>
          <w:sz w:val="26"/>
          <w:szCs w:val="26"/>
          <w:lang w:val="vi-VN"/>
        </w:rPr>
        <w:t xml:space="preserve">Than Núi Béo là hai công ty có hệ số nợ/vốn chủ sở hữu cao nhất, phản ánh mức độ rủi ro tài chính cao hơn các doanh nghiệp khác. Ngược lại, </w:t>
      </w:r>
      <w:r w:rsidRPr="00F22BA5">
        <w:rPr>
          <w:rFonts w:ascii="Times New Roman" w:hAnsi="Times New Roman" w:cs="Times New Roman"/>
          <w:iCs/>
          <w:sz w:val="26"/>
          <w:szCs w:val="26"/>
          <w:lang w:val="vi-VN"/>
        </w:rPr>
        <w:t>CTCP</w:t>
      </w:r>
      <w:r w:rsidRPr="007315EC">
        <w:rPr>
          <w:rFonts w:ascii="Times New Roman" w:hAnsi="Times New Roman" w:cs="Times New Roman"/>
          <w:sz w:val="26"/>
          <w:szCs w:val="26"/>
          <w:lang w:val="vi-VN"/>
        </w:rPr>
        <w:t xml:space="preserve"> </w:t>
      </w:r>
      <w:r w:rsidR="004642E6" w:rsidRPr="007315EC">
        <w:rPr>
          <w:rFonts w:ascii="Times New Roman" w:hAnsi="Times New Roman" w:cs="Times New Roman"/>
          <w:sz w:val="26"/>
          <w:szCs w:val="26"/>
          <w:lang w:val="vi-VN"/>
        </w:rPr>
        <w:t>Than Hà Tu và</w:t>
      </w:r>
      <w:r w:rsidRPr="00F22BA5">
        <w:rPr>
          <w:rFonts w:ascii="Times New Roman" w:hAnsi="Times New Roman" w:cs="Times New Roman"/>
          <w:iCs/>
          <w:sz w:val="26"/>
          <w:szCs w:val="26"/>
          <w:lang w:val="vi-VN"/>
        </w:rPr>
        <w:t xml:space="preserve"> CTCP</w:t>
      </w:r>
      <w:r w:rsidR="004642E6" w:rsidRPr="007315EC">
        <w:rPr>
          <w:rFonts w:ascii="Times New Roman" w:hAnsi="Times New Roman" w:cs="Times New Roman"/>
          <w:sz w:val="26"/>
          <w:szCs w:val="26"/>
          <w:lang w:val="vi-VN"/>
        </w:rPr>
        <w:t xml:space="preserve"> Than Vàng Danh có tỷ lệ thấp hơn, cho thấy mức độ sử dụng đòn bẩy tài chính vừa phả</w:t>
      </w:r>
      <w:r w:rsidRPr="007315EC">
        <w:rPr>
          <w:rFonts w:ascii="Times New Roman" w:hAnsi="Times New Roman" w:cs="Times New Roman"/>
          <w:sz w:val="26"/>
          <w:szCs w:val="26"/>
          <w:lang w:val="vi-VN"/>
        </w:rPr>
        <w:t>i.</w:t>
      </w:r>
      <w:r w:rsidRPr="00F22BA5">
        <w:rPr>
          <w:rFonts w:ascii="Times New Roman" w:hAnsi="Times New Roman" w:cs="Times New Roman"/>
          <w:sz w:val="26"/>
          <w:szCs w:val="26"/>
          <w:lang w:val="vi-VN"/>
        </w:rPr>
        <w:t xml:space="preserve"> </w:t>
      </w:r>
      <w:r w:rsidR="004642E6" w:rsidRPr="007315EC">
        <w:rPr>
          <w:rFonts w:ascii="Times New Roman" w:hAnsi="Times New Roman" w:cs="Times New Roman"/>
          <w:iCs/>
          <w:sz w:val="26"/>
          <w:szCs w:val="26"/>
          <w:lang w:val="vi-VN"/>
        </w:rPr>
        <w:t>Năm 2021</w:t>
      </w:r>
      <w:r w:rsidR="004A1CD3" w:rsidRPr="007315EC">
        <w:rPr>
          <w:rFonts w:ascii="Times New Roman" w:hAnsi="Times New Roman" w:cs="Times New Roman"/>
          <w:iCs/>
          <w:sz w:val="26"/>
          <w:szCs w:val="26"/>
          <w:lang w:val="vi-VN"/>
        </w:rPr>
        <w:t>-</w:t>
      </w:r>
      <w:r w:rsidR="004642E6" w:rsidRPr="007315EC">
        <w:rPr>
          <w:rFonts w:ascii="Times New Roman" w:hAnsi="Times New Roman" w:cs="Times New Roman"/>
          <w:iCs/>
          <w:sz w:val="26"/>
          <w:szCs w:val="26"/>
          <w:lang w:val="vi-VN"/>
        </w:rPr>
        <w:t>2022:</w:t>
      </w:r>
      <w:r w:rsidR="004642E6" w:rsidRPr="007315EC">
        <w:rPr>
          <w:rFonts w:ascii="Times New Roman" w:hAnsi="Times New Roman" w:cs="Times New Roman"/>
          <w:sz w:val="26"/>
          <w:szCs w:val="26"/>
          <w:lang w:val="vi-VN"/>
        </w:rPr>
        <w:t xml:space="preserve"> Hầu hết các công ty đều bắt đầu xu hướng giảm hệ số nợ, ngoại trừ</w:t>
      </w:r>
      <w:r w:rsidRPr="00F22BA5">
        <w:rPr>
          <w:rFonts w:ascii="Times New Roman" w:hAnsi="Times New Roman" w:cs="Times New Roman"/>
          <w:iCs/>
          <w:sz w:val="26"/>
          <w:szCs w:val="26"/>
          <w:lang w:val="vi-VN"/>
        </w:rPr>
        <w:t xml:space="preserve"> CTCP</w:t>
      </w:r>
      <w:r w:rsidR="004642E6" w:rsidRPr="007315EC">
        <w:rPr>
          <w:rFonts w:ascii="Times New Roman" w:hAnsi="Times New Roman" w:cs="Times New Roman"/>
          <w:sz w:val="26"/>
          <w:szCs w:val="26"/>
          <w:lang w:val="vi-VN"/>
        </w:rPr>
        <w:t xml:space="preserve"> Than Hà Tu tăng vọt lên mức 7,66 cuối năm 2022</w:t>
      </w:r>
      <w:r w:rsidR="004A1CD3" w:rsidRPr="007315EC">
        <w:rPr>
          <w:rFonts w:ascii="Times New Roman" w:hAnsi="Times New Roman" w:cs="Times New Roman"/>
          <w:sz w:val="26"/>
          <w:szCs w:val="26"/>
          <w:lang w:val="vi-VN"/>
        </w:rPr>
        <w:t xml:space="preserve">, đây là </w:t>
      </w:r>
      <w:r w:rsidR="004642E6" w:rsidRPr="007315EC">
        <w:rPr>
          <w:rFonts w:ascii="Times New Roman" w:hAnsi="Times New Roman" w:cs="Times New Roman"/>
          <w:sz w:val="26"/>
          <w:szCs w:val="26"/>
          <w:lang w:val="vi-VN"/>
        </w:rPr>
        <w:t xml:space="preserve">một dấu hiệu bất thường có thể do tăng mạnh vay nợ phục vụ đầu tư hoặc bổ sung vốn lưu động. Trong khi đó, </w:t>
      </w:r>
      <w:r w:rsidRPr="00F22BA5">
        <w:rPr>
          <w:rFonts w:ascii="Times New Roman" w:hAnsi="Times New Roman" w:cs="Times New Roman"/>
          <w:iCs/>
          <w:sz w:val="26"/>
          <w:szCs w:val="26"/>
          <w:lang w:val="vi-VN"/>
        </w:rPr>
        <w:t>CTCP</w:t>
      </w:r>
      <w:r w:rsidRPr="007315EC">
        <w:rPr>
          <w:rFonts w:ascii="Times New Roman" w:hAnsi="Times New Roman" w:cs="Times New Roman"/>
          <w:sz w:val="26"/>
          <w:szCs w:val="26"/>
          <w:lang w:val="vi-VN"/>
        </w:rPr>
        <w:t xml:space="preserve"> </w:t>
      </w:r>
      <w:r w:rsidR="004642E6" w:rsidRPr="007315EC">
        <w:rPr>
          <w:rFonts w:ascii="Times New Roman" w:hAnsi="Times New Roman" w:cs="Times New Roman"/>
          <w:sz w:val="26"/>
          <w:szCs w:val="26"/>
          <w:lang w:val="vi-VN"/>
        </w:rPr>
        <w:t xml:space="preserve">Than Vàng Danh và </w:t>
      </w:r>
      <w:r w:rsidRPr="00F22BA5">
        <w:rPr>
          <w:rFonts w:ascii="Times New Roman" w:hAnsi="Times New Roman" w:cs="Times New Roman"/>
          <w:iCs/>
          <w:sz w:val="26"/>
          <w:szCs w:val="26"/>
          <w:lang w:val="vi-VN"/>
        </w:rPr>
        <w:t>CTCP</w:t>
      </w:r>
      <w:r w:rsidRPr="007315EC">
        <w:rPr>
          <w:rFonts w:ascii="Times New Roman" w:hAnsi="Times New Roman" w:cs="Times New Roman"/>
          <w:sz w:val="26"/>
          <w:szCs w:val="26"/>
          <w:lang w:val="vi-VN"/>
        </w:rPr>
        <w:t xml:space="preserve"> </w:t>
      </w:r>
      <w:r w:rsidR="004642E6" w:rsidRPr="007315EC">
        <w:rPr>
          <w:rFonts w:ascii="Times New Roman" w:hAnsi="Times New Roman" w:cs="Times New Roman"/>
          <w:sz w:val="26"/>
          <w:szCs w:val="26"/>
          <w:lang w:val="vi-VN"/>
        </w:rPr>
        <w:t>Than Mông Dương tiếp tục duy trì xu hướng giảm đều và ổn định.</w:t>
      </w:r>
      <w:r w:rsidRPr="00F22BA5">
        <w:rPr>
          <w:rFonts w:ascii="Times New Roman" w:hAnsi="Times New Roman" w:cs="Times New Roman"/>
          <w:sz w:val="26"/>
          <w:szCs w:val="26"/>
          <w:lang w:val="vi-VN"/>
        </w:rPr>
        <w:t xml:space="preserve"> </w:t>
      </w:r>
      <w:r w:rsidR="004642E6" w:rsidRPr="007315EC">
        <w:rPr>
          <w:rFonts w:ascii="Times New Roman" w:hAnsi="Times New Roman" w:cs="Times New Roman"/>
          <w:iCs/>
          <w:sz w:val="26"/>
          <w:szCs w:val="26"/>
          <w:lang w:val="vi-VN"/>
        </w:rPr>
        <w:t>Năm 2023:</w:t>
      </w:r>
      <w:r w:rsidR="004642E6" w:rsidRPr="007315EC">
        <w:rPr>
          <w:rFonts w:ascii="Times New Roman" w:hAnsi="Times New Roman" w:cs="Times New Roman"/>
          <w:sz w:val="26"/>
          <w:szCs w:val="26"/>
          <w:lang w:val="vi-VN"/>
        </w:rPr>
        <w:t xml:space="preserve"> Đây là năm tất cả các công ty đều ghi nhận mức giảm đáng kể trong hệ số nợ/vốn chủ sở hữu. </w:t>
      </w:r>
      <w:r w:rsidRPr="00F22BA5">
        <w:rPr>
          <w:rFonts w:ascii="Times New Roman" w:hAnsi="Times New Roman" w:cs="Times New Roman"/>
          <w:iCs/>
          <w:sz w:val="26"/>
          <w:szCs w:val="26"/>
          <w:lang w:val="vi-VN"/>
        </w:rPr>
        <w:t>CTCP</w:t>
      </w:r>
      <w:r w:rsidRPr="007315EC">
        <w:rPr>
          <w:rFonts w:ascii="Times New Roman" w:hAnsi="Times New Roman" w:cs="Times New Roman"/>
          <w:sz w:val="26"/>
          <w:szCs w:val="26"/>
          <w:lang w:val="vi-VN"/>
        </w:rPr>
        <w:t xml:space="preserve"> </w:t>
      </w:r>
      <w:r w:rsidR="004642E6" w:rsidRPr="007315EC">
        <w:rPr>
          <w:rFonts w:ascii="Times New Roman" w:hAnsi="Times New Roman" w:cs="Times New Roman"/>
          <w:sz w:val="26"/>
          <w:szCs w:val="26"/>
          <w:lang w:val="vi-VN"/>
        </w:rPr>
        <w:t>Than Vàng Danh (2,00) và</w:t>
      </w:r>
      <w:r w:rsidRPr="00F22BA5">
        <w:rPr>
          <w:rFonts w:ascii="Times New Roman" w:hAnsi="Times New Roman" w:cs="Times New Roman"/>
          <w:iCs/>
          <w:sz w:val="26"/>
          <w:szCs w:val="26"/>
          <w:lang w:val="vi-VN"/>
        </w:rPr>
        <w:t xml:space="preserve"> CTCP</w:t>
      </w:r>
      <w:r w:rsidR="004642E6" w:rsidRPr="007315EC">
        <w:rPr>
          <w:rFonts w:ascii="Times New Roman" w:hAnsi="Times New Roman" w:cs="Times New Roman"/>
          <w:sz w:val="26"/>
          <w:szCs w:val="26"/>
          <w:lang w:val="vi-VN"/>
        </w:rPr>
        <w:t xml:space="preserve"> Than Mông Dương (2,25) là hai công ty có mức đòn bẩy thấp nhất, phản ánh sự ổn định về tài chính. Ngược lại, </w:t>
      </w:r>
      <w:r w:rsidRPr="00F22BA5">
        <w:rPr>
          <w:rFonts w:ascii="Times New Roman" w:hAnsi="Times New Roman" w:cs="Times New Roman"/>
          <w:iCs/>
          <w:sz w:val="26"/>
          <w:szCs w:val="26"/>
          <w:lang w:val="vi-VN"/>
        </w:rPr>
        <w:t>CTCP</w:t>
      </w:r>
      <w:r w:rsidRPr="007315EC">
        <w:rPr>
          <w:rFonts w:ascii="Times New Roman" w:hAnsi="Times New Roman" w:cs="Times New Roman"/>
          <w:sz w:val="26"/>
          <w:szCs w:val="26"/>
          <w:lang w:val="vi-VN"/>
        </w:rPr>
        <w:t xml:space="preserve"> </w:t>
      </w:r>
      <w:r w:rsidR="004642E6" w:rsidRPr="007315EC">
        <w:rPr>
          <w:rFonts w:ascii="Times New Roman" w:hAnsi="Times New Roman" w:cs="Times New Roman"/>
          <w:sz w:val="26"/>
          <w:szCs w:val="26"/>
          <w:lang w:val="vi-VN"/>
        </w:rPr>
        <w:t xml:space="preserve">Than Hà Tu (5,88) và </w:t>
      </w:r>
      <w:r w:rsidRPr="00F22BA5">
        <w:rPr>
          <w:rFonts w:ascii="Times New Roman" w:hAnsi="Times New Roman" w:cs="Times New Roman"/>
          <w:iCs/>
          <w:sz w:val="26"/>
          <w:szCs w:val="26"/>
          <w:lang w:val="vi-VN"/>
        </w:rPr>
        <w:t>CTCP</w:t>
      </w:r>
      <w:r w:rsidRPr="007315EC">
        <w:rPr>
          <w:rFonts w:ascii="Times New Roman" w:hAnsi="Times New Roman" w:cs="Times New Roman"/>
          <w:sz w:val="26"/>
          <w:szCs w:val="26"/>
          <w:lang w:val="vi-VN"/>
        </w:rPr>
        <w:t xml:space="preserve"> </w:t>
      </w:r>
      <w:r w:rsidR="004642E6" w:rsidRPr="007315EC">
        <w:rPr>
          <w:rFonts w:ascii="Times New Roman" w:hAnsi="Times New Roman" w:cs="Times New Roman"/>
          <w:sz w:val="26"/>
          <w:szCs w:val="26"/>
          <w:lang w:val="vi-VN"/>
        </w:rPr>
        <w:t>Hà Lầm (4,33) vẫn còn nhiều áp lực về nợ vay.</w:t>
      </w:r>
    </w:p>
    <w:p w14:paraId="02EBF8FE" w14:textId="1B72B548" w:rsidR="004642E6" w:rsidRPr="00F22BA5" w:rsidRDefault="007E0874" w:rsidP="004642E6">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Như vậy </w:t>
      </w:r>
      <w:r w:rsidR="004642E6" w:rsidRPr="00DC2FCF">
        <w:rPr>
          <w:rFonts w:ascii="Times New Roman" w:hAnsi="Times New Roman" w:cs="Times New Roman"/>
          <w:sz w:val="26"/>
          <w:szCs w:val="26"/>
          <w:lang w:val="vi-VN"/>
        </w:rPr>
        <w:t xml:space="preserve">Hệ số nợ trên vốn chủ sở hữu của các </w:t>
      </w:r>
      <w:r w:rsidRPr="00F22BA5">
        <w:rPr>
          <w:rFonts w:ascii="Times New Roman" w:hAnsi="Times New Roman" w:cs="Times New Roman"/>
          <w:sz w:val="26"/>
          <w:szCs w:val="26"/>
          <w:lang w:val="vi-VN"/>
        </w:rPr>
        <w:t>CTCP</w:t>
      </w:r>
      <w:r w:rsidR="004642E6" w:rsidRPr="00DC2FCF">
        <w:rPr>
          <w:rFonts w:ascii="Times New Roman" w:hAnsi="Times New Roman" w:cs="Times New Roman"/>
          <w:sz w:val="26"/>
          <w:szCs w:val="26"/>
          <w:lang w:val="vi-VN"/>
        </w:rPr>
        <w:t xml:space="preserve"> than </w:t>
      </w:r>
      <w:r w:rsidRPr="00F22BA5">
        <w:rPr>
          <w:rFonts w:ascii="Times New Roman" w:hAnsi="Times New Roman" w:cs="Times New Roman"/>
          <w:sz w:val="26"/>
          <w:szCs w:val="26"/>
          <w:lang w:val="vi-VN"/>
        </w:rPr>
        <w:t xml:space="preserve">niêm yết </w:t>
      </w:r>
      <w:r w:rsidR="004642E6" w:rsidRPr="00DC2FCF">
        <w:rPr>
          <w:rFonts w:ascii="Times New Roman" w:hAnsi="Times New Roman" w:cs="Times New Roman"/>
          <w:sz w:val="26"/>
          <w:szCs w:val="26"/>
          <w:lang w:val="vi-VN"/>
        </w:rPr>
        <w:t>trong giai đoạn 2019–2023</w:t>
      </w:r>
      <w:r w:rsidRPr="00F22BA5">
        <w:rPr>
          <w:rFonts w:ascii="Times New Roman" w:hAnsi="Times New Roman" w:cs="Times New Roman"/>
          <w:sz w:val="26"/>
          <w:szCs w:val="26"/>
          <w:lang w:val="vi-VN"/>
        </w:rPr>
        <w:t xml:space="preserve"> bình quân đều trên 3, cá biệt có một số công ty như CTCP Than Hà Lầm, CTCP Than Núi Béo có hệ số nợ trên vốn chủ sở hữu khá cao. Cho </w:t>
      </w:r>
      <w:r w:rsidR="004642E6" w:rsidRPr="00DC2FCF">
        <w:rPr>
          <w:rFonts w:ascii="Times New Roman" w:hAnsi="Times New Roman" w:cs="Times New Roman"/>
          <w:sz w:val="26"/>
          <w:szCs w:val="26"/>
          <w:lang w:val="vi-VN"/>
        </w:rPr>
        <w:t xml:space="preserve"> </w:t>
      </w:r>
      <w:r w:rsidRPr="00DC2FCF">
        <w:rPr>
          <w:rFonts w:ascii="Times New Roman" w:hAnsi="Times New Roman" w:cs="Times New Roman"/>
          <w:sz w:val="26"/>
          <w:szCs w:val="26"/>
          <w:lang w:val="vi-VN"/>
        </w:rPr>
        <w:t xml:space="preserve">thấy sự phụ thuộc </w:t>
      </w:r>
      <w:r w:rsidRPr="00F22BA5">
        <w:rPr>
          <w:rFonts w:ascii="Times New Roman" w:hAnsi="Times New Roman" w:cs="Times New Roman"/>
          <w:sz w:val="26"/>
          <w:szCs w:val="26"/>
          <w:lang w:val="vi-VN"/>
        </w:rPr>
        <w:t>rất lớn</w:t>
      </w:r>
      <w:r w:rsidRPr="00DC2FCF">
        <w:rPr>
          <w:rFonts w:ascii="Times New Roman" w:hAnsi="Times New Roman" w:cs="Times New Roman"/>
          <w:sz w:val="26"/>
          <w:szCs w:val="26"/>
          <w:lang w:val="vi-VN"/>
        </w:rPr>
        <w:t xml:space="preserve"> vào nguồn vốn vay</w:t>
      </w:r>
      <w:r w:rsidR="00395B91" w:rsidRPr="00F22BA5">
        <w:rPr>
          <w:rFonts w:ascii="Times New Roman" w:hAnsi="Times New Roman" w:cs="Times New Roman"/>
          <w:sz w:val="26"/>
          <w:szCs w:val="26"/>
          <w:lang w:val="vi-VN"/>
        </w:rPr>
        <w:t xml:space="preserve"> và ảnh hưởng đến an toàn tài chính của các đơn vị này.</w:t>
      </w:r>
    </w:p>
    <w:p w14:paraId="0EF5A5E9" w14:textId="325598BC" w:rsidR="004642E6" w:rsidRPr="008A5BBD" w:rsidRDefault="00DA4446" w:rsidP="008A5BBD">
      <w:pPr>
        <w:pStyle w:val="p3"/>
      </w:pPr>
      <w:bookmarkStart w:id="196" w:name="_Toc197781179"/>
      <w:bookmarkStart w:id="197" w:name="_Toc197781462"/>
      <w:bookmarkStart w:id="198" w:name="_Toc198281673"/>
      <w:bookmarkStart w:id="199" w:name="_Toc198284458"/>
      <w:bookmarkStart w:id="200" w:name="_Toc198284837"/>
      <w:bookmarkStart w:id="201" w:name="_Toc198709989"/>
      <w:r w:rsidRPr="00F22BA5">
        <w:t>+</w:t>
      </w:r>
      <w:r w:rsidR="004642E6" w:rsidRPr="008A5BBD">
        <w:t xml:space="preserve"> Tỷ suất đầu tư vào tài sản ngắn hạn</w:t>
      </w:r>
      <w:bookmarkEnd w:id="196"/>
      <w:bookmarkEnd w:id="197"/>
      <w:bookmarkEnd w:id="198"/>
      <w:bookmarkEnd w:id="199"/>
      <w:bookmarkEnd w:id="200"/>
      <w:bookmarkEnd w:id="201"/>
    </w:p>
    <w:p w14:paraId="00EA9532" w14:textId="33C7085D" w:rsidR="004642E6" w:rsidRPr="00F22BA5" w:rsidRDefault="00DC2FCF" w:rsidP="004642E6">
      <w:pPr>
        <w:spacing w:line="312" w:lineRule="auto"/>
        <w:ind w:firstLine="720"/>
        <w:jc w:val="both"/>
        <w:rPr>
          <w:rFonts w:ascii="Times New Roman" w:hAnsi="Times New Roman" w:cs="Times New Roman"/>
          <w:sz w:val="26"/>
          <w:szCs w:val="26"/>
          <w:lang w:val="vi-VN"/>
        </w:rPr>
      </w:pPr>
      <w:r w:rsidRPr="00973841">
        <w:rPr>
          <w:rFonts w:ascii="Times New Roman" w:hAnsi="Times New Roman" w:cs="Times New Roman"/>
          <w:sz w:val="26"/>
          <w:szCs w:val="26"/>
          <w:lang w:val="vi-VN"/>
        </w:rPr>
        <w:t>Chỉ tiêu</w:t>
      </w:r>
      <w:r w:rsidR="004642E6" w:rsidRPr="00973841">
        <w:rPr>
          <w:rFonts w:ascii="Times New Roman" w:hAnsi="Times New Roman" w:cs="Times New Roman"/>
          <w:sz w:val="26"/>
          <w:szCs w:val="26"/>
          <w:lang w:val="vi-VN"/>
        </w:rPr>
        <w:t xml:space="preserve"> tỷ </w:t>
      </w:r>
      <w:r w:rsidR="004642E6" w:rsidRPr="008A5BBD">
        <w:rPr>
          <w:rFonts w:ascii="Times New Roman" w:hAnsi="Times New Roman" w:cs="Times New Roman"/>
          <w:sz w:val="26"/>
          <w:szCs w:val="26"/>
          <w:lang w:val="vi-VN"/>
        </w:rPr>
        <w:t>suất đầu tư tài sản ngắn hạn phản ánh tỷ trọng tài sản ngắn hạn trong tổng tài sản, qua đó cho thấy</w:t>
      </w:r>
      <w:r w:rsidR="008A5BBD" w:rsidRPr="00F22BA5">
        <w:rPr>
          <w:rFonts w:ascii="Times New Roman" w:hAnsi="Times New Roman" w:cs="Times New Roman"/>
          <w:sz w:val="26"/>
          <w:szCs w:val="26"/>
          <w:lang w:val="vi-VN"/>
        </w:rPr>
        <w:t xml:space="preserve"> mức độ đầu tư vào tài sản ngắn hạn của doanh nghiệp</w:t>
      </w:r>
      <w:r w:rsidR="004642E6" w:rsidRPr="008A5BBD">
        <w:rPr>
          <w:rFonts w:ascii="Times New Roman" w:hAnsi="Times New Roman" w:cs="Times New Roman"/>
          <w:sz w:val="26"/>
          <w:szCs w:val="26"/>
          <w:lang w:val="vi-VN"/>
        </w:rPr>
        <w:t xml:space="preserve">. Việc theo dõi tỷ suất này giúp </w:t>
      </w:r>
      <w:r w:rsidR="008A5BBD" w:rsidRPr="00F22BA5">
        <w:rPr>
          <w:rFonts w:ascii="Times New Roman" w:hAnsi="Times New Roman" w:cs="Times New Roman"/>
          <w:sz w:val="26"/>
          <w:szCs w:val="26"/>
          <w:lang w:val="vi-VN"/>
        </w:rPr>
        <w:t>doanh nghiệp</w:t>
      </w:r>
      <w:r w:rsidR="004642E6" w:rsidRPr="008A5BBD">
        <w:rPr>
          <w:rFonts w:ascii="Times New Roman" w:hAnsi="Times New Roman" w:cs="Times New Roman"/>
          <w:sz w:val="26"/>
          <w:szCs w:val="26"/>
          <w:lang w:val="vi-VN"/>
        </w:rPr>
        <w:t xml:space="preserve"> cân đối hợp lý giữa đầu tư </w:t>
      </w:r>
      <w:r w:rsidR="004642E6" w:rsidRPr="008A5BBD">
        <w:rPr>
          <w:rFonts w:ascii="Times New Roman" w:hAnsi="Times New Roman" w:cs="Times New Roman"/>
          <w:sz w:val="26"/>
          <w:szCs w:val="26"/>
          <w:lang w:val="vi-VN"/>
        </w:rPr>
        <w:lastRenderedPageBreak/>
        <w:t xml:space="preserve">ngắn hạn và dài hạn, </w:t>
      </w:r>
      <w:r w:rsidR="008A5BBD" w:rsidRPr="00F22BA5">
        <w:rPr>
          <w:rFonts w:ascii="Times New Roman" w:hAnsi="Times New Roman" w:cs="Times New Roman"/>
          <w:sz w:val="26"/>
          <w:szCs w:val="26"/>
          <w:lang w:val="vi-VN"/>
        </w:rPr>
        <w:t>từ đó điều chỉnh cơ cấu tài sản phù hợp với ngành nghề, lĩnh vực kinh doanh.</w:t>
      </w:r>
    </w:p>
    <w:p w14:paraId="590503AE" w14:textId="66CB397D" w:rsidR="007064E6" w:rsidRPr="008A5BBD" w:rsidRDefault="007064E6" w:rsidP="007064E6">
      <w:pPr>
        <w:spacing w:line="312" w:lineRule="auto"/>
        <w:ind w:firstLine="720"/>
        <w:jc w:val="center"/>
        <w:rPr>
          <w:rFonts w:ascii="Times New Roman" w:hAnsi="Times New Roman" w:cs="Times New Roman"/>
          <w:b/>
          <w:sz w:val="26"/>
          <w:szCs w:val="26"/>
          <w:lang w:val="vi-VN"/>
        </w:rPr>
      </w:pPr>
      <w:r w:rsidRPr="008A5BBD">
        <w:rPr>
          <w:rFonts w:ascii="Times New Roman" w:hAnsi="Times New Roman" w:cs="Times New Roman"/>
          <w:b/>
          <w:sz w:val="26"/>
          <w:szCs w:val="26"/>
          <w:lang w:val="vi-VN"/>
        </w:rPr>
        <w:t>Bả</w:t>
      </w:r>
      <w:r w:rsidR="00621F59">
        <w:rPr>
          <w:rFonts w:ascii="Times New Roman" w:hAnsi="Times New Roman" w:cs="Times New Roman"/>
          <w:b/>
          <w:sz w:val="26"/>
          <w:szCs w:val="26"/>
          <w:lang w:val="vi-VN"/>
        </w:rPr>
        <w:t xml:space="preserve">ng </w:t>
      </w:r>
      <w:r w:rsidR="00621F59" w:rsidRPr="00F22BA5">
        <w:rPr>
          <w:rFonts w:ascii="Times New Roman" w:hAnsi="Times New Roman" w:cs="Times New Roman"/>
          <w:b/>
          <w:sz w:val="26"/>
          <w:szCs w:val="26"/>
          <w:lang w:val="vi-VN"/>
        </w:rPr>
        <w:t>2.9.</w:t>
      </w:r>
      <w:r w:rsidRPr="008A5BBD">
        <w:rPr>
          <w:rFonts w:ascii="Times New Roman" w:hAnsi="Times New Roman" w:cs="Times New Roman"/>
          <w:b/>
          <w:sz w:val="26"/>
          <w:szCs w:val="26"/>
          <w:lang w:val="vi-VN"/>
        </w:rPr>
        <w:t xml:space="preserve"> Tỷ suất đầu tư vào tài sản ngắn hạn của các CTCP niêm yết </w:t>
      </w:r>
    </w:p>
    <w:p w14:paraId="3061FA39" w14:textId="65D8FF3A" w:rsidR="007064E6" w:rsidRPr="008A5BBD" w:rsidRDefault="007064E6" w:rsidP="007064E6">
      <w:pPr>
        <w:spacing w:line="312" w:lineRule="auto"/>
        <w:ind w:firstLine="720"/>
        <w:jc w:val="center"/>
        <w:rPr>
          <w:rFonts w:ascii="Times New Roman" w:hAnsi="Times New Roman" w:cs="Times New Roman"/>
          <w:b/>
          <w:sz w:val="26"/>
          <w:szCs w:val="26"/>
          <w:lang w:val="vi-VN"/>
        </w:rPr>
      </w:pPr>
      <w:r w:rsidRPr="008A5BBD">
        <w:rPr>
          <w:rFonts w:ascii="Times New Roman" w:hAnsi="Times New Roman" w:cs="Times New Roman"/>
          <w:b/>
          <w:sz w:val="26"/>
          <w:szCs w:val="26"/>
          <w:lang w:val="vi-VN"/>
        </w:rPr>
        <w:t>thuộc TKV giai đoạn 2019 – 2023</w:t>
      </w:r>
    </w:p>
    <w:tbl>
      <w:tblPr>
        <w:tblStyle w:val="TableGrid"/>
        <w:tblW w:w="8789" w:type="dxa"/>
        <w:tblInd w:w="137" w:type="dxa"/>
        <w:tblLook w:val="04A0" w:firstRow="1" w:lastRow="0" w:firstColumn="1" w:lastColumn="0" w:noHBand="0" w:noVBand="1"/>
      </w:tblPr>
      <w:tblGrid>
        <w:gridCol w:w="567"/>
        <w:gridCol w:w="1524"/>
        <w:gridCol w:w="1062"/>
        <w:gridCol w:w="1122"/>
        <w:gridCol w:w="1062"/>
        <w:gridCol w:w="1122"/>
        <w:gridCol w:w="1250"/>
        <w:gridCol w:w="1080"/>
      </w:tblGrid>
      <w:tr w:rsidR="007064E6" w:rsidRPr="008A5BBD" w14:paraId="0561A547" w14:textId="77777777" w:rsidTr="00B1640A">
        <w:trPr>
          <w:trHeight w:val="211"/>
        </w:trPr>
        <w:tc>
          <w:tcPr>
            <w:tcW w:w="567" w:type="dxa"/>
            <w:tcBorders>
              <w:top w:val="single" w:sz="4" w:space="0" w:color="auto"/>
              <w:left w:val="single" w:sz="4" w:space="0" w:color="auto"/>
              <w:bottom w:val="single" w:sz="4" w:space="0" w:color="auto"/>
              <w:right w:val="single" w:sz="4" w:space="0" w:color="auto"/>
            </w:tcBorders>
          </w:tcPr>
          <w:p w14:paraId="0ECF34F6" w14:textId="6C2B3F6B" w:rsidR="007064E6" w:rsidRPr="008A5BBD" w:rsidRDefault="007064E6" w:rsidP="008344F6">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TT</w:t>
            </w:r>
          </w:p>
        </w:tc>
        <w:tc>
          <w:tcPr>
            <w:tcW w:w="1524" w:type="dxa"/>
            <w:tcBorders>
              <w:top w:val="single" w:sz="4" w:space="0" w:color="auto"/>
              <w:left w:val="single" w:sz="4" w:space="0" w:color="auto"/>
              <w:bottom w:val="single" w:sz="4" w:space="0" w:color="auto"/>
              <w:right w:val="single" w:sz="4" w:space="0" w:color="auto"/>
            </w:tcBorders>
            <w:vAlign w:val="center"/>
            <w:hideMark/>
          </w:tcPr>
          <w:p w14:paraId="18E2A2A8" w14:textId="2C52BB8F" w:rsidR="007064E6" w:rsidRPr="008A5BBD" w:rsidRDefault="0031049D"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Công ty</w:t>
            </w:r>
          </w:p>
        </w:tc>
        <w:tc>
          <w:tcPr>
            <w:tcW w:w="1062" w:type="dxa"/>
            <w:tcBorders>
              <w:top w:val="single" w:sz="4" w:space="0" w:color="auto"/>
              <w:left w:val="single" w:sz="4" w:space="0" w:color="auto"/>
              <w:bottom w:val="single" w:sz="4" w:space="0" w:color="auto"/>
              <w:right w:val="single" w:sz="4" w:space="0" w:color="auto"/>
            </w:tcBorders>
            <w:vAlign w:val="center"/>
            <w:hideMark/>
          </w:tcPr>
          <w:p w14:paraId="4986BD94" w14:textId="77777777" w:rsidR="007064E6" w:rsidRPr="008A5BBD" w:rsidRDefault="007064E6" w:rsidP="00897A44">
            <w:pPr>
              <w:spacing w:line="312" w:lineRule="auto"/>
              <w:jc w:val="both"/>
              <w:rPr>
                <w:rFonts w:ascii="Times New Roman" w:hAnsi="Times New Roman" w:cs="Times New Roman"/>
                <w:b/>
                <w:bCs/>
                <w:sz w:val="26"/>
                <w:szCs w:val="26"/>
              </w:rPr>
            </w:pPr>
            <w:r w:rsidRPr="008A5BBD">
              <w:rPr>
                <w:rFonts w:ascii="Times New Roman" w:hAnsi="Times New Roman" w:cs="Times New Roman"/>
                <w:b/>
                <w:bCs/>
                <w:sz w:val="26"/>
                <w:szCs w:val="26"/>
              </w:rPr>
              <w:t>2019</w:t>
            </w:r>
          </w:p>
        </w:tc>
        <w:tc>
          <w:tcPr>
            <w:tcW w:w="1122" w:type="dxa"/>
            <w:tcBorders>
              <w:top w:val="single" w:sz="4" w:space="0" w:color="auto"/>
              <w:left w:val="single" w:sz="4" w:space="0" w:color="auto"/>
              <w:bottom w:val="single" w:sz="4" w:space="0" w:color="auto"/>
              <w:right w:val="single" w:sz="4" w:space="0" w:color="auto"/>
            </w:tcBorders>
            <w:vAlign w:val="center"/>
            <w:hideMark/>
          </w:tcPr>
          <w:p w14:paraId="5123B998" w14:textId="77777777" w:rsidR="007064E6" w:rsidRPr="008A5BBD" w:rsidRDefault="007064E6" w:rsidP="00897A44">
            <w:pPr>
              <w:spacing w:line="312" w:lineRule="auto"/>
              <w:jc w:val="both"/>
              <w:rPr>
                <w:rFonts w:ascii="Times New Roman" w:hAnsi="Times New Roman" w:cs="Times New Roman"/>
                <w:b/>
                <w:bCs/>
                <w:sz w:val="26"/>
                <w:szCs w:val="26"/>
              </w:rPr>
            </w:pPr>
            <w:r w:rsidRPr="008A5BBD">
              <w:rPr>
                <w:rFonts w:ascii="Times New Roman" w:hAnsi="Times New Roman" w:cs="Times New Roman"/>
                <w:b/>
                <w:bCs/>
                <w:sz w:val="26"/>
                <w:szCs w:val="26"/>
              </w:rPr>
              <w:t>2020</w:t>
            </w:r>
          </w:p>
        </w:tc>
        <w:tc>
          <w:tcPr>
            <w:tcW w:w="1062" w:type="dxa"/>
            <w:tcBorders>
              <w:top w:val="single" w:sz="4" w:space="0" w:color="auto"/>
              <w:left w:val="single" w:sz="4" w:space="0" w:color="auto"/>
              <w:bottom w:val="single" w:sz="4" w:space="0" w:color="auto"/>
              <w:right w:val="single" w:sz="4" w:space="0" w:color="auto"/>
            </w:tcBorders>
            <w:vAlign w:val="center"/>
            <w:hideMark/>
          </w:tcPr>
          <w:p w14:paraId="6293EC76" w14:textId="77777777" w:rsidR="007064E6" w:rsidRPr="008A5BBD" w:rsidRDefault="007064E6" w:rsidP="00897A44">
            <w:pPr>
              <w:spacing w:line="312" w:lineRule="auto"/>
              <w:jc w:val="both"/>
              <w:rPr>
                <w:rFonts w:ascii="Times New Roman" w:hAnsi="Times New Roman" w:cs="Times New Roman"/>
                <w:b/>
                <w:bCs/>
                <w:sz w:val="26"/>
                <w:szCs w:val="26"/>
              </w:rPr>
            </w:pPr>
            <w:r w:rsidRPr="008A5BBD">
              <w:rPr>
                <w:rFonts w:ascii="Times New Roman" w:hAnsi="Times New Roman" w:cs="Times New Roman"/>
                <w:b/>
                <w:bCs/>
                <w:sz w:val="26"/>
                <w:szCs w:val="26"/>
              </w:rPr>
              <w:t>2021</w:t>
            </w:r>
          </w:p>
        </w:tc>
        <w:tc>
          <w:tcPr>
            <w:tcW w:w="1122" w:type="dxa"/>
            <w:tcBorders>
              <w:top w:val="single" w:sz="4" w:space="0" w:color="auto"/>
              <w:left w:val="single" w:sz="4" w:space="0" w:color="auto"/>
              <w:bottom w:val="single" w:sz="4" w:space="0" w:color="auto"/>
              <w:right w:val="single" w:sz="4" w:space="0" w:color="auto"/>
            </w:tcBorders>
            <w:vAlign w:val="center"/>
            <w:hideMark/>
          </w:tcPr>
          <w:p w14:paraId="5FE34873" w14:textId="77777777" w:rsidR="007064E6" w:rsidRPr="008A5BBD" w:rsidRDefault="007064E6" w:rsidP="00897A44">
            <w:pPr>
              <w:spacing w:line="312" w:lineRule="auto"/>
              <w:jc w:val="both"/>
              <w:rPr>
                <w:rFonts w:ascii="Times New Roman" w:hAnsi="Times New Roman" w:cs="Times New Roman"/>
                <w:b/>
                <w:bCs/>
                <w:sz w:val="26"/>
                <w:szCs w:val="26"/>
              </w:rPr>
            </w:pPr>
            <w:r w:rsidRPr="008A5BBD">
              <w:rPr>
                <w:rFonts w:ascii="Times New Roman" w:hAnsi="Times New Roman" w:cs="Times New Roman"/>
                <w:b/>
                <w:bCs/>
                <w:sz w:val="26"/>
                <w:szCs w:val="26"/>
              </w:rPr>
              <w:t>2022</w:t>
            </w:r>
          </w:p>
        </w:tc>
        <w:tc>
          <w:tcPr>
            <w:tcW w:w="1250" w:type="dxa"/>
            <w:tcBorders>
              <w:top w:val="single" w:sz="4" w:space="0" w:color="auto"/>
              <w:left w:val="single" w:sz="4" w:space="0" w:color="auto"/>
              <w:bottom w:val="single" w:sz="4" w:space="0" w:color="auto"/>
              <w:right w:val="single" w:sz="4" w:space="0" w:color="auto"/>
            </w:tcBorders>
            <w:vAlign w:val="center"/>
            <w:hideMark/>
          </w:tcPr>
          <w:p w14:paraId="2D5F5EF6" w14:textId="77777777" w:rsidR="007064E6" w:rsidRPr="008A5BBD" w:rsidRDefault="007064E6" w:rsidP="00897A44">
            <w:pPr>
              <w:spacing w:line="312" w:lineRule="auto"/>
              <w:jc w:val="both"/>
              <w:rPr>
                <w:rFonts w:ascii="Times New Roman" w:hAnsi="Times New Roman" w:cs="Times New Roman"/>
                <w:b/>
                <w:bCs/>
                <w:sz w:val="26"/>
                <w:szCs w:val="26"/>
              </w:rPr>
            </w:pPr>
            <w:r w:rsidRPr="008A5BBD">
              <w:rPr>
                <w:rFonts w:ascii="Times New Roman" w:hAnsi="Times New Roman" w:cs="Times New Roman"/>
                <w:b/>
                <w:bCs/>
                <w:sz w:val="26"/>
                <w:szCs w:val="26"/>
              </w:rPr>
              <w:t>2023</w:t>
            </w:r>
          </w:p>
        </w:tc>
        <w:tc>
          <w:tcPr>
            <w:tcW w:w="1080" w:type="dxa"/>
            <w:tcBorders>
              <w:top w:val="single" w:sz="4" w:space="0" w:color="auto"/>
              <w:left w:val="single" w:sz="4" w:space="0" w:color="auto"/>
              <w:bottom w:val="single" w:sz="4" w:space="0" w:color="auto"/>
              <w:right w:val="single" w:sz="4" w:space="0" w:color="auto"/>
            </w:tcBorders>
          </w:tcPr>
          <w:p w14:paraId="3ECACE85" w14:textId="77777777" w:rsidR="007064E6" w:rsidRPr="008A5BBD" w:rsidRDefault="007064E6" w:rsidP="00897A44">
            <w:pPr>
              <w:spacing w:line="312" w:lineRule="auto"/>
              <w:jc w:val="both"/>
              <w:rPr>
                <w:rFonts w:ascii="Times New Roman" w:hAnsi="Times New Roman" w:cs="Times New Roman"/>
                <w:b/>
                <w:bCs/>
                <w:sz w:val="26"/>
                <w:szCs w:val="26"/>
                <w:lang w:val="vi-VN"/>
              </w:rPr>
            </w:pPr>
            <w:r w:rsidRPr="008A5BBD">
              <w:rPr>
                <w:rFonts w:ascii="Times New Roman" w:hAnsi="Times New Roman" w:cs="Times New Roman"/>
                <w:b/>
                <w:bCs/>
                <w:sz w:val="26"/>
                <w:szCs w:val="26"/>
              </w:rPr>
              <w:t>Bình</w:t>
            </w:r>
            <w:r w:rsidRPr="008A5BBD">
              <w:rPr>
                <w:rFonts w:ascii="Times New Roman" w:hAnsi="Times New Roman" w:cs="Times New Roman"/>
                <w:b/>
                <w:bCs/>
                <w:sz w:val="26"/>
                <w:szCs w:val="26"/>
                <w:lang w:val="vi-VN"/>
              </w:rPr>
              <w:t xml:space="preserve"> quân</w:t>
            </w:r>
          </w:p>
        </w:tc>
      </w:tr>
      <w:tr w:rsidR="003331B9" w:rsidRPr="008A5BBD" w14:paraId="0C424261" w14:textId="77777777" w:rsidTr="00B1640A">
        <w:trPr>
          <w:trHeight w:val="228"/>
        </w:trPr>
        <w:tc>
          <w:tcPr>
            <w:tcW w:w="567" w:type="dxa"/>
            <w:tcBorders>
              <w:top w:val="single" w:sz="4" w:space="0" w:color="auto"/>
              <w:left w:val="single" w:sz="4" w:space="0" w:color="auto"/>
              <w:bottom w:val="single" w:sz="4" w:space="0" w:color="auto"/>
              <w:right w:val="single" w:sz="4" w:space="0" w:color="auto"/>
            </w:tcBorders>
          </w:tcPr>
          <w:p w14:paraId="405FB496" w14:textId="05CF51F6"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1</w:t>
            </w:r>
          </w:p>
        </w:tc>
        <w:tc>
          <w:tcPr>
            <w:tcW w:w="1524" w:type="dxa"/>
            <w:tcBorders>
              <w:top w:val="single" w:sz="4" w:space="0" w:color="auto"/>
              <w:left w:val="single" w:sz="4" w:space="0" w:color="auto"/>
              <w:bottom w:val="single" w:sz="4" w:space="0" w:color="auto"/>
              <w:right w:val="single" w:sz="4" w:space="0" w:color="auto"/>
            </w:tcBorders>
            <w:vAlign w:val="center"/>
            <w:hideMark/>
          </w:tcPr>
          <w:p w14:paraId="0E0E49EC" w14:textId="3C0AB665"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TVD</w:t>
            </w:r>
          </w:p>
        </w:tc>
        <w:tc>
          <w:tcPr>
            <w:tcW w:w="1062" w:type="dxa"/>
            <w:tcBorders>
              <w:top w:val="single" w:sz="4" w:space="0" w:color="auto"/>
              <w:left w:val="single" w:sz="4" w:space="0" w:color="auto"/>
              <w:bottom w:val="single" w:sz="4" w:space="0" w:color="auto"/>
              <w:right w:val="single" w:sz="4" w:space="0" w:color="auto"/>
            </w:tcBorders>
            <w:vAlign w:val="center"/>
            <w:hideMark/>
          </w:tcPr>
          <w:p w14:paraId="55368DE4"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19,82%</w:t>
            </w:r>
          </w:p>
        </w:tc>
        <w:tc>
          <w:tcPr>
            <w:tcW w:w="1122" w:type="dxa"/>
            <w:tcBorders>
              <w:top w:val="single" w:sz="4" w:space="0" w:color="auto"/>
              <w:left w:val="single" w:sz="4" w:space="0" w:color="auto"/>
              <w:bottom w:val="single" w:sz="4" w:space="0" w:color="auto"/>
              <w:right w:val="single" w:sz="4" w:space="0" w:color="auto"/>
            </w:tcBorders>
            <w:vAlign w:val="center"/>
            <w:hideMark/>
          </w:tcPr>
          <w:p w14:paraId="28EE55A5"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30,87%</w:t>
            </w:r>
          </w:p>
        </w:tc>
        <w:tc>
          <w:tcPr>
            <w:tcW w:w="1062" w:type="dxa"/>
            <w:tcBorders>
              <w:top w:val="single" w:sz="4" w:space="0" w:color="auto"/>
              <w:left w:val="single" w:sz="4" w:space="0" w:color="auto"/>
              <w:bottom w:val="single" w:sz="4" w:space="0" w:color="auto"/>
              <w:right w:val="single" w:sz="4" w:space="0" w:color="auto"/>
            </w:tcBorders>
            <w:vAlign w:val="center"/>
            <w:hideMark/>
          </w:tcPr>
          <w:p w14:paraId="5A587168"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32,56%</w:t>
            </w:r>
          </w:p>
        </w:tc>
        <w:tc>
          <w:tcPr>
            <w:tcW w:w="1122" w:type="dxa"/>
            <w:tcBorders>
              <w:top w:val="single" w:sz="4" w:space="0" w:color="auto"/>
              <w:left w:val="single" w:sz="4" w:space="0" w:color="auto"/>
              <w:bottom w:val="single" w:sz="4" w:space="0" w:color="auto"/>
              <w:right w:val="single" w:sz="4" w:space="0" w:color="auto"/>
            </w:tcBorders>
            <w:vAlign w:val="center"/>
            <w:hideMark/>
          </w:tcPr>
          <w:p w14:paraId="0E039427"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59,62%</w:t>
            </w:r>
          </w:p>
        </w:tc>
        <w:tc>
          <w:tcPr>
            <w:tcW w:w="1250" w:type="dxa"/>
            <w:tcBorders>
              <w:top w:val="single" w:sz="4" w:space="0" w:color="auto"/>
              <w:left w:val="single" w:sz="4" w:space="0" w:color="auto"/>
              <w:bottom w:val="single" w:sz="4" w:space="0" w:color="auto"/>
              <w:right w:val="single" w:sz="4" w:space="0" w:color="auto"/>
            </w:tcBorders>
            <w:vAlign w:val="center"/>
            <w:hideMark/>
          </w:tcPr>
          <w:p w14:paraId="3A5748D3"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54,35%</w:t>
            </w:r>
          </w:p>
        </w:tc>
        <w:tc>
          <w:tcPr>
            <w:tcW w:w="1080" w:type="dxa"/>
            <w:tcBorders>
              <w:top w:val="single" w:sz="4" w:space="0" w:color="auto"/>
              <w:left w:val="nil"/>
              <w:bottom w:val="single" w:sz="4" w:space="0" w:color="auto"/>
              <w:right w:val="single" w:sz="4" w:space="0" w:color="auto"/>
            </w:tcBorders>
            <w:shd w:val="clear" w:color="auto" w:fill="auto"/>
            <w:vAlign w:val="center"/>
          </w:tcPr>
          <w:p w14:paraId="4191AA62" w14:textId="77777777" w:rsidR="003331B9" w:rsidRPr="008A5BBD" w:rsidRDefault="003331B9" w:rsidP="003331B9">
            <w:pPr>
              <w:spacing w:line="312" w:lineRule="auto"/>
              <w:jc w:val="both"/>
              <w:rPr>
                <w:rFonts w:ascii="Times New Roman" w:hAnsi="Times New Roman" w:cs="Times New Roman"/>
                <w:sz w:val="28"/>
                <w:szCs w:val="28"/>
              </w:rPr>
            </w:pPr>
            <w:r w:rsidRPr="008A5BBD">
              <w:rPr>
                <w:rFonts w:ascii="Times New Roman" w:hAnsi="Times New Roman" w:cs="Times New Roman"/>
                <w:color w:val="000000"/>
                <w:sz w:val="28"/>
                <w:szCs w:val="28"/>
              </w:rPr>
              <w:t>39,44%</w:t>
            </w:r>
          </w:p>
        </w:tc>
      </w:tr>
      <w:tr w:rsidR="003331B9" w:rsidRPr="008A5BBD" w14:paraId="670A5AD8" w14:textId="77777777" w:rsidTr="00B1640A">
        <w:trPr>
          <w:trHeight w:val="211"/>
        </w:trPr>
        <w:tc>
          <w:tcPr>
            <w:tcW w:w="567" w:type="dxa"/>
            <w:tcBorders>
              <w:top w:val="single" w:sz="4" w:space="0" w:color="auto"/>
              <w:left w:val="single" w:sz="4" w:space="0" w:color="auto"/>
              <w:bottom w:val="single" w:sz="4" w:space="0" w:color="auto"/>
              <w:right w:val="single" w:sz="4" w:space="0" w:color="auto"/>
            </w:tcBorders>
          </w:tcPr>
          <w:p w14:paraId="3327B54C" w14:textId="61DB15D1"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2</w:t>
            </w:r>
          </w:p>
        </w:tc>
        <w:tc>
          <w:tcPr>
            <w:tcW w:w="1524" w:type="dxa"/>
            <w:tcBorders>
              <w:top w:val="single" w:sz="4" w:space="0" w:color="auto"/>
              <w:left w:val="single" w:sz="4" w:space="0" w:color="auto"/>
              <w:bottom w:val="single" w:sz="4" w:space="0" w:color="auto"/>
              <w:right w:val="single" w:sz="4" w:space="0" w:color="auto"/>
            </w:tcBorders>
            <w:vAlign w:val="center"/>
            <w:hideMark/>
          </w:tcPr>
          <w:p w14:paraId="64F92F5E" w14:textId="7412D2B6"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MDC</w:t>
            </w:r>
          </w:p>
        </w:tc>
        <w:tc>
          <w:tcPr>
            <w:tcW w:w="1062" w:type="dxa"/>
            <w:tcBorders>
              <w:top w:val="single" w:sz="4" w:space="0" w:color="auto"/>
              <w:left w:val="single" w:sz="4" w:space="0" w:color="auto"/>
              <w:bottom w:val="single" w:sz="4" w:space="0" w:color="auto"/>
              <w:right w:val="single" w:sz="4" w:space="0" w:color="auto"/>
            </w:tcBorders>
            <w:vAlign w:val="center"/>
            <w:hideMark/>
          </w:tcPr>
          <w:p w14:paraId="469B28D3" w14:textId="77777777" w:rsidR="003331B9" w:rsidRPr="008A5BBD" w:rsidRDefault="003331B9" w:rsidP="003331B9">
            <w:pPr>
              <w:spacing w:line="312" w:lineRule="auto"/>
              <w:jc w:val="both"/>
              <w:rPr>
                <w:rFonts w:ascii="Times New Roman" w:hAnsi="Times New Roman" w:cs="Times New Roman"/>
                <w:b/>
                <w:bCs/>
                <w:sz w:val="26"/>
                <w:szCs w:val="26"/>
              </w:rPr>
            </w:pPr>
            <w:r w:rsidRPr="008A5BBD">
              <w:rPr>
                <w:rFonts w:ascii="Times New Roman" w:hAnsi="Times New Roman" w:cs="Times New Roman"/>
                <w:sz w:val="26"/>
                <w:szCs w:val="26"/>
              </w:rPr>
              <w:t>23,33%</w:t>
            </w:r>
          </w:p>
        </w:tc>
        <w:tc>
          <w:tcPr>
            <w:tcW w:w="1122" w:type="dxa"/>
            <w:tcBorders>
              <w:top w:val="single" w:sz="4" w:space="0" w:color="auto"/>
              <w:left w:val="nil"/>
              <w:bottom w:val="single" w:sz="4" w:space="0" w:color="auto"/>
              <w:right w:val="single" w:sz="4" w:space="0" w:color="auto"/>
            </w:tcBorders>
            <w:vAlign w:val="center"/>
            <w:hideMark/>
          </w:tcPr>
          <w:p w14:paraId="497A1446" w14:textId="77777777" w:rsidR="003331B9" w:rsidRPr="008A5BBD" w:rsidRDefault="003331B9" w:rsidP="003331B9">
            <w:pPr>
              <w:spacing w:line="312" w:lineRule="auto"/>
              <w:jc w:val="both"/>
              <w:rPr>
                <w:rFonts w:ascii="Times New Roman" w:hAnsi="Times New Roman" w:cs="Times New Roman"/>
                <w:b/>
                <w:bCs/>
                <w:sz w:val="26"/>
                <w:szCs w:val="26"/>
              </w:rPr>
            </w:pPr>
            <w:r w:rsidRPr="008A5BBD">
              <w:rPr>
                <w:rFonts w:ascii="Times New Roman" w:hAnsi="Times New Roman" w:cs="Times New Roman"/>
                <w:sz w:val="26"/>
                <w:szCs w:val="26"/>
              </w:rPr>
              <w:t>29,53%</w:t>
            </w:r>
          </w:p>
        </w:tc>
        <w:tc>
          <w:tcPr>
            <w:tcW w:w="1062" w:type="dxa"/>
            <w:tcBorders>
              <w:top w:val="single" w:sz="4" w:space="0" w:color="auto"/>
              <w:left w:val="nil"/>
              <w:bottom w:val="single" w:sz="4" w:space="0" w:color="auto"/>
              <w:right w:val="single" w:sz="4" w:space="0" w:color="auto"/>
            </w:tcBorders>
            <w:vAlign w:val="center"/>
            <w:hideMark/>
          </w:tcPr>
          <w:p w14:paraId="6B68914D" w14:textId="77777777" w:rsidR="003331B9" w:rsidRPr="008A5BBD" w:rsidRDefault="003331B9" w:rsidP="003331B9">
            <w:pPr>
              <w:spacing w:line="312" w:lineRule="auto"/>
              <w:jc w:val="both"/>
              <w:rPr>
                <w:rFonts w:ascii="Times New Roman" w:hAnsi="Times New Roman" w:cs="Times New Roman"/>
                <w:b/>
                <w:bCs/>
                <w:sz w:val="26"/>
                <w:szCs w:val="26"/>
              </w:rPr>
            </w:pPr>
            <w:r w:rsidRPr="008A5BBD">
              <w:rPr>
                <w:rFonts w:ascii="Times New Roman" w:hAnsi="Times New Roman" w:cs="Times New Roman"/>
                <w:sz w:val="26"/>
                <w:szCs w:val="26"/>
              </w:rPr>
              <w:t>26,27%</w:t>
            </w:r>
          </w:p>
        </w:tc>
        <w:tc>
          <w:tcPr>
            <w:tcW w:w="1122" w:type="dxa"/>
            <w:tcBorders>
              <w:top w:val="single" w:sz="4" w:space="0" w:color="auto"/>
              <w:left w:val="nil"/>
              <w:bottom w:val="single" w:sz="4" w:space="0" w:color="auto"/>
              <w:right w:val="single" w:sz="4" w:space="0" w:color="auto"/>
            </w:tcBorders>
            <w:vAlign w:val="center"/>
            <w:hideMark/>
          </w:tcPr>
          <w:p w14:paraId="259B28F1" w14:textId="77777777" w:rsidR="003331B9" w:rsidRPr="008A5BBD" w:rsidRDefault="003331B9" w:rsidP="003331B9">
            <w:pPr>
              <w:spacing w:line="312" w:lineRule="auto"/>
              <w:jc w:val="both"/>
              <w:rPr>
                <w:rFonts w:ascii="Times New Roman" w:hAnsi="Times New Roman" w:cs="Times New Roman"/>
                <w:b/>
                <w:bCs/>
                <w:sz w:val="26"/>
                <w:szCs w:val="26"/>
              </w:rPr>
            </w:pPr>
            <w:r w:rsidRPr="008A5BBD">
              <w:rPr>
                <w:rFonts w:ascii="Times New Roman" w:hAnsi="Times New Roman" w:cs="Times New Roman"/>
                <w:sz w:val="26"/>
                <w:szCs w:val="26"/>
              </w:rPr>
              <w:t>52,47%</w:t>
            </w:r>
          </w:p>
        </w:tc>
        <w:tc>
          <w:tcPr>
            <w:tcW w:w="1250" w:type="dxa"/>
            <w:tcBorders>
              <w:top w:val="single" w:sz="4" w:space="0" w:color="auto"/>
              <w:left w:val="nil"/>
              <w:bottom w:val="single" w:sz="4" w:space="0" w:color="auto"/>
              <w:right w:val="single" w:sz="4" w:space="0" w:color="auto"/>
            </w:tcBorders>
            <w:vAlign w:val="center"/>
            <w:hideMark/>
          </w:tcPr>
          <w:p w14:paraId="4C7E63AA" w14:textId="77777777" w:rsidR="003331B9" w:rsidRPr="008A5BBD" w:rsidRDefault="003331B9" w:rsidP="003331B9">
            <w:pPr>
              <w:spacing w:line="312" w:lineRule="auto"/>
              <w:jc w:val="both"/>
              <w:rPr>
                <w:rFonts w:ascii="Times New Roman" w:hAnsi="Times New Roman" w:cs="Times New Roman"/>
                <w:b/>
                <w:bCs/>
                <w:sz w:val="26"/>
                <w:szCs w:val="26"/>
              </w:rPr>
            </w:pPr>
            <w:r w:rsidRPr="008A5BBD">
              <w:rPr>
                <w:rFonts w:ascii="Times New Roman" w:hAnsi="Times New Roman" w:cs="Times New Roman"/>
                <w:sz w:val="26"/>
                <w:szCs w:val="26"/>
              </w:rPr>
              <w:t>39,09%</w:t>
            </w:r>
          </w:p>
        </w:tc>
        <w:tc>
          <w:tcPr>
            <w:tcW w:w="1080" w:type="dxa"/>
            <w:tcBorders>
              <w:top w:val="single" w:sz="4" w:space="0" w:color="auto"/>
              <w:left w:val="nil"/>
              <w:bottom w:val="single" w:sz="4" w:space="0" w:color="auto"/>
              <w:right w:val="single" w:sz="4" w:space="0" w:color="auto"/>
            </w:tcBorders>
            <w:shd w:val="clear" w:color="auto" w:fill="auto"/>
            <w:vAlign w:val="center"/>
          </w:tcPr>
          <w:p w14:paraId="27C260DA" w14:textId="77777777" w:rsidR="003331B9" w:rsidRPr="008A5BBD" w:rsidRDefault="003331B9" w:rsidP="003331B9">
            <w:pPr>
              <w:spacing w:line="312" w:lineRule="auto"/>
              <w:jc w:val="both"/>
              <w:rPr>
                <w:rFonts w:ascii="Times New Roman" w:hAnsi="Times New Roman" w:cs="Times New Roman"/>
                <w:sz w:val="28"/>
                <w:szCs w:val="28"/>
              </w:rPr>
            </w:pPr>
            <w:r w:rsidRPr="008A5BBD">
              <w:rPr>
                <w:rFonts w:ascii="Times New Roman" w:hAnsi="Times New Roman" w:cs="Times New Roman"/>
                <w:color w:val="000000"/>
                <w:sz w:val="28"/>
                <w:szCs w:val="28"/>
              </w:rPr>
              <w:t>34,14%</w:t>
            </w:r>
          </w:p>
        </w:tc>
      </w:tr>
      <w:tr w:rsidR="003331B9" w:rsidRPr="008A5BBD" w14:paraId="469AD294" w14:textId="77777777" w:rsidTr="00B1640A">
        <w:trPr>
          <w:trHeight w:val="243"/>
        </w:trPr>
        <w:tc>
          <w:tcPr>
            <w:tcW w:w="567" w:type="dxa"/>
            <w:tcBorders>
              <w:top w:val="single" w:sz="4" w:space="0" w:color="auto"/>
              <w:left w:val="single" w:sz="4" w:space="0" w:color="auto"/>
              <w:bottom w:val="single" w:sz="4" w:space="0" w:color="auto"/>
              <w:right w:val="single" w:sz="4" w:space="0" w:color="auto"/>
            </w:tcBorders>
          </w:tcPr>
          <w:p w14:paraId="0D618626" w14:textId="35779CE0"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3</w:t>
            </w:r>
          </w:p>
        </w:tc>
        <w:tc>
          <w:tcPr>
            <w:tcW w:w="1524" w:type="dxa"/>
            <w:tcBorders>
              <w:top w:val="single" w:sz="4" w:space="0" w:color="auto"/>
              <w:left w:val="single" w:sz="4" w:space="0" w:color="auto"/>
              <w:bottom w:val="single" w:sz="4" w:space="0" w:color="auto"/>
              <w:right w:val="single" w:sz="4" w:space="0" w:color="auto"/>
            </w:tcBorders>
            <w:vAlign w:val="center"/>
            <w:hideMark/>
          </w:tcPr>
          <w:p w14:paraId="134BED88" w14:textId="2768940E"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HLC</w:t>
            </w:r>
          </w:p>
        </w:tc>
        <w:tc>
          <w:tcPr>
            <w:tcW w:w="1062" w:type="dxa"/>
            <w:tcBorders>
              <w:top w:val="single" w:sz="4" w:space="0" w:color="auto"/>
              <w:left w:val="single" w:sz="4" w:space="0" w:color="auto"/>
              <w:bottom w:val="single" w:sz="4" w:space="0" w:color="auto"/>
              <w:right w:val="single" w:sz="4" w:space="0" w:color="auto"/>
            </w:tcBorders>
            <w:vAlign w:val="center"/>
            <w:hideMark/>
          </w:tcPr>
          <w:p w14:paraId="62E444CF"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6,43%</w:t>
            </w:r>
          </w:p>
        </w:tc>
        <w:tc>
          <w:tcPr>
            <w:tcW w:w="1122" w:type="dxa"/>
            <w:tcBorders>
              <w:top w:val="single" w:sz="4" w:space="0" w:color="auto"/>
              <w:left w:val="single" w:sz="4" w:space="0" w:color="auto"/>
              <w:bottom w:val="single" w:sz="4" w:space="0" w:color="auto"/>
              <w:right w:val="single" w:sz="4" w:space="0" w:color="auto"/>
            </w:tcBorders>
            <w:vAlign w:val="center"/>
            <w:hideMark/>
          </w:tcPr>
          <w:p w14:paraId="6A30A133" w14:textId="77777777" w:rsidR="003331B9" w:rsidRPr="008A5BBD" w:rsidRDefault="003331B9" w:rsidP="003331B9">
            <w:pPr>
              <w:spacing w:line="312" w:lineRule="auto"/>
              <w:jc w:val="both"/>
              <w:rPr>
                <w:rFonts w:ascii="Times New Roman" w:hAnsi="Times New Roman" w:cs="Times New Roman"/>
                <w:b/>
                <w:bCs/>
                <w:sz w:val="26"/>
                <w:szCs w:val="26"/>
              </w:rPr>
            </w:pPr>
            <w:r w:rsidRPr="008A5BBD">
              <w:rPr>
                <w:rFonts w:ascii="Times New Roman" w:hAnsi="Times New Roman" w:cs="Times New Roman"/>
                <w:sz w:val="26"/>
                <w:szCs w:val="26"/>
              </w:rPr>
              <w:t>25,42%</w:t>
            </w:r>
          </w:p>
        </w:tc>
        <w:tc>
          <w:tcPr>
            <w:tcW w:w="1062" w:type="dxa"/>
            <w:tcBorders>
              <w:top w:val="single" w:sz="4" w:space="0" w:color="auto"/>
              <w:left w:val="single" w:sz="4" w:space="0" w:color="auto"/>
              <w:bottom w:val="single" w:sz="4" w:space="0" w:color="auto"/>
              <w:right w:val="single" w:sz="4" w:space="0" w:color="auto"/>
            </w:tcBorders>
            <w:vAlign w:val="center"/>
            <w:hideMark/>
          </w:tcPr>
          <w:p w14:paraId="66A4FFDC"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30,33%</w:t>
            </w:r>
          </w:p>
        </w:tc>
        <w:tc>
          <w:tcPr>
            <w:tcW w:w="1122" w:type="dxa"/>
            <w:tcBorders>
              <w:top w:val="single" w:sz="4" w:space="0" w:color="auto"/>
              <w:left w:val="single" w:sz="4" w:space="0" w:color="auto"/>
              <w:bottom w:val="single" w:sz="4" w:space="0" w:color="auto"/>
              <w:right w:val="single" w:sz="4" w:space="0" w:color="auto"/>
            </w:tcBorders>
            <w:vAlign w:val="center"/>
            <w:hideMark/>
          </w:tcPr>
          <w:p w14:paraId="62F88F0F"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37,45%</w:t>
            </w:r>
          </w:p>
        </w:tc>
        <w:tc>
          <w:tcPr>
            <w:tcW w:w="1250" w:type="dxa"/>
            <w:tcBorders>
              <w:top w:val="single" w:sz="4" w:space="0" w:color="auto"/>
              <w:left w:val="single" w:sz="4" w:space="0" w:color="auto"/>
              <w:bottom w:val="single" w:sz="4" w:space="0" w:color="auto"/>
              <w:right w:val="single" w:sz="4" w:space="0" w:color="auto"/>
            </w:tcBorders>
            <w:vAlign w:val="center"/>
            <w:hideMark/>
          </w:tcPr>
          <w:p w14:paraId="7495211E"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42,98%</w:t>
            </w:r>
          </w:p>
        </w:tc>
        <w:tc>
          <w:tcPr>
            <w:tcW w:w="1080" w:type="dxa"/>
            <w:tcBorders>
              <w:top w:val="single" w:sz="4" w:space="0" w:color="auto"/>
              <w:left w:val="nil"/>
              <w:bottom w:val="single" w:sz="4" w:space="0" w:color="auto"/>
              <w:right w:val="single" w:sz="4" w:space="0" w:color="auto"/>
            </w:tcBorders>
            <w:shd w:val="clear" w:color="auto" w:fill="auto"/>
            <w:vAlign w:val="center"/>
          </w:tcPr>
          <w:p w14:paraId="1824609B" w14:textId="77777777" w:rsidR="003331B9" w:rsidRPr="008A5BBD" w:rsidRDefault="003331B9" w:rsidP="003331B9">
            <w:pPr>
              <w:spacing w:line="312" w:lineRule="auto"/>
              <w:jc w:val="both"/>
              <w:rPr>
                <w:rFonts w:ascii="Times New Roman" w:hAnsi="Times New Roman" w:cs="Times New Roman"/>
                <w:sz w:val="28"/>
                <w:szCs w:val="28"/>
              </w:rPr>
            </w:pPr>
            <w:r w:rsidRPr="008A5BBD">
              <w:rPr>
                <w:rFonts w:ascii="Times New Roman" w:hAnsi="Times New Roman" w:cs="Times New Roman"/>
                <w:color w:val="000000"/>
                <w:sz w:val="28"/>
                <w:szCs w:val="28"/>
              </w:rPr>
              <w:t>28,52%</w:t>
            </w:r>
          </w:p>
        </w:tc>
      </w:tr>
      <w:tr w:rsidR="003331B9" w:rsidRPr="008A5BBD" w14:paraId="6C251AC4" w14:textId="77777777" w:rsidTr="00B1640A">
        <w:trPr>
          <w:trHeight w:val="211"/>
        </w:trPr>
        <w:tc>
          <w:tcPr>
            <w:tcW w:w="567" w:type="dxa"/>
            <w:tcBorders>
              <w:top w:val="single" w:sz="4" w:space="0" w:color="auto"/>
              <w:left w:val="single" w:sz="4" w:space="0" w:color="auto"/>
              <w:bottom w:val="single" w:sz="4" w:space="0" w:color="auto"/>
              <w:right w:val="single" w:sz="4" w:space="0" w:color="auto"/>
            </w:tcBorders>
          </w:tcPr>
          <w:p w14:paraId="27D43C5D" w14:textId="28AB338E"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4</w:t>
            </w:r>
          </w:p>
        </w:tc>
        <w:tc>
          <w:tcPr>
            <w:tcW w:w="1524" w:type="dxa"/>
            <w:tcBorders>
              <w:top w:val="single" w:sz="4" w:space="0" w:color="auto"/>
              <w:left w:val="single" w:sz="4" w:space="0" w:color="auto"/>
              <w:bottom w:val="single" w:sz="4" w:space="0" w:color="auto"/>
              <w:right w:val="single" w:sz="4" w:space="0" w:color="auto"/>
            </w:tcBorders>
            <w:vAlign w:val="center"/>
            <w:hideMark/>
          </w:tcPr>
          <w:p w14:paraId="3C8D616A" w14:textId="363E7E0F"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THT</w:t>
            </w:r>
          </w:p>
        </w:tc>
        <w:tc>
          <w:tcPr>
            <w:tcW w:w="1062" w:type="dxa"/>
            <w:tcBorders>
              <w:top w:val="single" w:sz="4" w:space="0" w:color="auto"/>
              <w:left w:val="single" w:sz="4" w:space="0" w:color="auto"/>
              <w:bottom w:val="single" w:sz="4" w:space="0" w:color="auto"/>
              <w:right w:val="single" w:sz="4" w:space="0" w:color="auto"/>
            </w:tcBorders>
            <w:vAlign w:val="center"/>
            <w:hideMark/>
          </w:tcPr>
          <w:p w14:paraId="16DEFDB2"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43,21%</w:t>
            </w:r>
          </w:p>
        </w:tc>
        <w:tc>
          <w:tcPr>
            <w:tcW w:w="1122" w:type="dxa"/>
            <w:tcBorders>
              <w:top w:val="single" w:sz="4" w:space="0" w:color="auto"/>
              <w:left w:val="single" w:sz="4" w:space="0" w:color="auto"/>
              <w:bottom w:val="single" w:sz="4" w:space="0" w:color="auto"/>
              <w:right w:val="single" w:sz="4" w:space="0" w:color="auto"/>
            </w:tcBorders>
            <w:vAlign w:val="center"/>
            <w:hideMark/>
          </w:tcPr>
          <w:p w14:paraId="03B75582"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45,93%</w:t>
            </w:r>
          </w:p>
        </w:tc>
        <w:tc>
          <w:tcPr>
            <w:tcW w:w="1062" w:type="dxa"/>
            <w:tcBorders>
              <w:top w:val="single" w:sz="4" w:space="0" w:color="auto"/>
              <w:left w:val="single" w:sz="4" w:space="0" w:color="auto"/>
              <w:bottom w:val="single" w:sz="4" w:space="0" w:color="auto"/>
              <w:right w:val="single" w:sz="4" w:space="0" w:color="auto"/>
            </w:tcBorders>
            <w:vAlign w:val="center"/>
            <w:hideMark/>
          </w:tcPr>
          <w:p w14:paraId="2B58066A"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35,39%</w:t>
            </w:r>
          </w:p>
        </w:tc>
        <w:tc>
          <w:tcPr>
            <w:tcW w:w="1122" w:type="dxa"/>
            <w:tcBorders>
              <w:top w:val="single" w:sz="4" w:space="0" w:color="auto"/>
              <w:left w:val="single" w:sz="4" w:space="0" w:color="auto"/>
              <w:bottom w:val="single" w:sz="4" w:space="0" w:color="auto"/>
              <w:right w:val="single" w:sz="4" w:space="0" w:color="auto"/>
            </w:tcBorders>
            <w:vAlign w:val="center"/>
            <w:hideMark/>
          </w:tcPr>
          <w:p w14:paraId="6AFACE19"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49,21%</w:t>
            </w:r>
          </w:p>
        </w:tc>
        <w:tc>
          <w:tcPr>
            <w:tcW w:w="1250" w:type="dxa"/>
            <w:tcBorders>
              <w:top w:val="single" w:sz="4" w:space="0" w:color="auto"/>
              <w:left w:val="single" w:sz="4" w:space="0" w:color="auto"/>
              <w:bottom w:val="single" w:sz="4" w:space="0" w:color="auto"/>
              <w:right w:val="single" w:sz="4" w:space="0" w:color="auto"/>
            </w:tcBorders>
            <w:vAlign w:val="center"/>
            <w:hideMark/>
          </w:tcPr>
          <w:p w14:paraId="32C17AC3"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43,11%</w:t>
            </w:r>
          </w:p>
        </w:tc>
        <w:tc>
          <w:tcPr>
            <w:tcW w:w="1080" w:type="dxa"/>
            <w:tcBorders>
              <w:top w:val="single" w:sz="4" w:space="0" w:color="auto"/>
              <w:left w:val="nil"/>
              <w:bottom w:val="single" w:sz="4" w:space="0" w:color="auto"/>
              <w:right w:val="single" w:sz="4" w:space="0" w:color="auto"/>
            </w:tcBorders>
            <w:shd w:val="clear" w:color="auto" w:fill="auto"/>
            <w:vAlign w:val="center"/>
          </w:tcPr>
          <w:p w14:paraId="438F510C" w14:textId="77777777" w:rsidR="003331B9" w:rsidRPr="008A5BBD" w:rsidRDefault="003331B9" w:rsidP="003331B9">
            <w:pPr>
              <w:spacing w:line="312" w:lineRule="auto"/>
              <w:jc w:val="both"/>
              <w:rPr>
                <w:rFonts w:ascii="Times New Roman" w:hAnsi="Times New Roman" w:cs="Times New Roman"/>
                <w:sz w:val="28"/>
                <w:szCs w:val="28"/>
              </w:rPr>
            </w:pPr>
            <w:r w:rsidRPr="008A5BBD">
              <w:rPr>
                <w:rFonts w:ascii="Times New Roman" w:hAnsi="Times New Roman" w:cs="Times New Roman"/>
                <w:color w:val="000000"/>
                <w:sz w:val="28"/>
                <w:szCs w:val="28"/>
              </w:rPr>
              <w:t>43,37%</w:t>
            </w:r>
          </w:p>
        </w:tc>
      </w:tr>
      <w:tr w:rsidR="003331B9" w:rsidRPr="008A5BBD" w14:paraId="3B934840" w14:textId="77777777" w:rsidTr="00B1640A">
        <w:trPr>
          <w:trHeight w:val="211"/>
        </w:trPr>
        <w:tc>
          <w:tcPr>
            <w:tcW w:w="567" w:type="dxa"/>
            <w:tcBorders>
              <w:top w:val="single" w:sz="4" w:space="0" w:color="auto"/>
              <w:left w:val="single" w:sz="4" w:space="0" w:color="auto"/>
              <w:bottom w:val="single" w:sz="4" w:space="0" w:color="auto"/>
              <w:right w:val="single" w:sz="4" w:space="0" w:color="auto"/>
            </w:tcBorders>
          </w:tcPr>
          <w:p w14:paraId="25718626" w14:textId="27F805E5"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5</w:t>
            </w:r>
          </w:p>
        </w:tc>
        <w:tc>
          <w:tcPr>
            <w:tcW w:w="1524" w:type="dxa"/>
            <w:tcBorders>
              <w:top w:val="single" w:sz="4" w:space="0" w:color="auto"/>
              <w:left w:val="single" w:sz="4" w:space="0" w:color="auto"/>
              <w:bottom w:val="single" w:sz="4" w:space="0" w:color="auto"/>
              <w:right w:val="single" w:sz="4" w:space="0" w:color="auto"/>
            </w:tcBorders>
            <w:vAlign w:val="center"/>
            <w:hideMark/>
          </w:tcPr>
          <w:p w14:paraId="6680B023" w14:textId="6A0D63CB"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NBC</w:t>
            </w:r>
          </w:p>
        </w:tc>
        <w:tc>
          <w:tcPr>
            <w:tcW w:w="1062" w:type="dxa"/>
            <w:tcBorders>
              <w:top w:val="single" w:sz="4" w:space="0" w:color="auto"/>
              <w:left w:val="single" w:sz="4" w:space="0" w:color="auto"/>
              <w:bottom w:val="single" w:sz="4" w:space="0" w:color="auto"/>
              <w:right w:val="single" w:sz="4" w:space="0" w:color="auto"/>
            </w:tcBorders>
            <w:vAlign w:val="center"/>
            <w:hideMark/>
          </w:tcPr>
          <w:p w14:paraId="71F20DF2"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22,15%</w:t>
            </w:r>
          </w:p>
        </w:tc>
        <w:tc>
          <w:tcPr>
            <w:tcW w:w="1122" w:type="dxa"/>
            <w:tcBorders>
              <w:top w:val="single" w:sz="4" w:space="0" w:color="auto"/>
              <w:left w:val="nil"/>
              <w:bottom w:val="single" w:sz="4" w:space="0" w:color="auto"/>
              <w:right w:val="single" w:sz="4" w:space="0" w:color="auto"/>
            </w:tcBorders>
            <w:vAlign w:val="center"/>
            <w:hideMark/>
          </w:tcPr>
          <w:p w14:paraId="6E0DF7F2"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24,74%</w:t>
            </w:r>
          </w:p>
        </w:tc>
        <w:tc>
          <w:tcPr>
            <w:tcW w:w="1062" w:type="dxa"/>
            <w:tcBorders>
              <w:top w:val="single" w:sz="4" w:space="0" w:color="auto"/>
              <w:left w:val="nil"/>
              <w:bottom w:val="single" w:sz="4" w:space="0" w:color="auto"/>
              <w:right w:val="single" w:sz="4" w:space="0" w:color="auto"/>
            </w:tcBorders>
            <w:vAlign w:val="center"/>
            <w:hideMark/>
          </w:tcPr>
          <w:p w14:paraId="28EDE2A5"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23,51%</w:t>
            </w:r>
          </w:p>
        </w:tc>
        <w:tc>
          <w:tcPr>
            <w:tcW w:w="1122" w:type="dxa"/>
            <w:tcBorders>
              <w:top w:val="single" w:sz="4" w:space="0" w:color="auto"/>
              <w:left w:val="nil"/>
              <w:bottom w:val="single" w:sz="4" w:space="0" w:color="auto"/>
              <w:right w:val="single" w:sz="4" w:space="0" w:color="auto"/>
            </w:tcBorders>
            <w:vAlign w:val="center"/>
            <w:hideMark/>
          </w:tcPr>
          <w:p w14:paraId="491CA4CA" w14:textId="77777777" w:rsidR="003331B9" w:rsidRPr="008A5BBD" w:rsidRDefault="003331B9" w:rsidP="003331B9">
            <w:pPr>
              <w:spacing w:line="312" w:lineRule="auto"/>
              <w:jc w:val="both"/>
              <w:rPr>
                <w:rFonts w:ascii="Times New Roman" w:hAnsi="Times New Roman" w:cs="Times New Roman"/>
                <w:sz w:val="26"/>
                <w:szCs w:val="26"/>
              </w:rPr>
            </w:pPr>
            <w:r w:rsidRPr="008A5BBD">
              <w:rPr>
                <w:rFonts w:ascii="Times New Roman" w:hAnsi="Times New Roman" w:cs="Times New Roman"/>
                <w:sz w:val="26"/>
                <w:szCs w:val="26"/>
              </w:rPr>
              <w:t>36,04%</w:t>
            </w:r>
          </w:p>
        </w:tc>
        <w:tc>
          <w:tcPr>
            <w:tcW w:w="1250" w:type="dxa"/>
            <w:tcBorders>
              <w:top w:val="single" w:sz="4" w:space="0" w:color="auto"/>
              <w:left w:val="nil"/>
              <w:bottom w:val="single" w:sz="4" w:space="0" w:color="auto"/>
              <w:right w:val="single" w:sz="4" w:space="0" w:color="auto"/>
            </w:tcBorders>
            <w:shd w:val="clear" w:color="auto" w:fill="FFFFFF"/>
            <w:vAlign w:val="center"/>
            <w:hideMark/>
          </w:tcPr>
          <w:p w14:paraId="6AEAB2D8" w14:textId="77777777" w:rsidR="003331B9" w:rsidRPr="008A5BBD" w:rsidRDefault="003331B9" w:rsidP="003331B9">
            <w:pPr>
              <w:spacing w:line="312" w:lineRule="auto"/>
              <w:jc w:val="both"/>
              <w:rPr>
                <w:rFonts w:ascii="Times New Roman" w:hAnsi="Times New Roman" w:cs="Times New Roman"/>
                <w:b/>
                <w:bCs/>
                <w:sz w:val="26"/>
                <w:szCs w:val="26"/>
              </w:rPr>
            </w:pPr>
            <w:r w:rsidRPr="008A5BBD">
              <w:rPr>
                <w:rFonts w:ascii="Times New Roman" w:hAnsi="Times New Roman" w:cs="Times New Roman"/>
                <w:sz w:val="26"/>
                <w:szCs w:val="26"/>
              </w:rPr>
              <w:t>32,27%</w:t>
            </w:r>
          </w:p>
        </w:tc>
        <w:tc>
          <w:tcPr>
            <w:tcW w:w="1080" w:type="dxa"/>
            <w:tcBorders>
              <w:top w:val="single" w:sz="4" w:space="0" w:color="auto"/>
              <w:left w:val="nil"/>
              <w:bottom w:val="single" w:sz="4" w:space="0" w:color="auto"/>
              <w:right w:val="single" w:sz="4" w:space="0" w:color="auto"/>
            </w:tcBorders>
            <w:shd w:val="clear" w:color="auto" w:fill="auto"/>
            <w:vAlign w:val="center"/>
          </w:tcPr>
          <w:p w14:paraId="48DC0406" w14:textId="77777777" w:rsidR="003331B9" w:rsidRPr="008A5BBD" w:rsidRDefault="003331B9" w:rsidP="003331B9">
            <w:pPr>
              <w:spacing w:line="312" w:lineRule="auto"/>
              <w:jc w:val="both"/>
              <w:rPr>
                <w:rFonts w:ascii="Times New Roman" w:hAnsi="Times New Roman" w:cs="Times New Roman"/>
                <w:sz w:val="28"/>
                <w:szCs w:val="28"/>
              </w:rPr>
            </w:pPr>
            <w:r w:rsidRPr="008A5BBD">
              <w:rPr>
                <w:rFonts w:ascii="Times New Roman" w:hAnsi="Times New Roman" w:cs="Times New Roman"/>
                <w:color w:val="000000"/>
                <w:sz w:val="28"/>
                <w:szCs w:val="28"/>
              </w:rPr>
              <w:t>27,74%</w:t>
            </w:r>
          </w:p>
        </w:tc>
      </w:tr>
    </w:tbl>
    <w:p w14:paraId="52FB0FA8" w14:textId="59FF1F41" w:rsidR="007064E6" w:rsidRPr="008A5BBD" w:rsidRDefault="00B1640A" w:rsidP="00B1640A">
      <w:pPr>
        <w:spacing w:after="160" w:line="278" w:lineRule="auto"/>
        <w:jc w:val="right"/>
        <w:rPr>
          <w:rFonts w:ascii="Times New Roman" w:hAnsi="Times New Roman" w:cs="Times New Roman"/>
          <w:bCs/>
          <w:i/>
          <w:sz w:val="26"/>
          <w:szCs w:val="26"/>
        </w:rPr>
      </w:pPr>
      <w:r w:rsidRPr="008A5BBD">
        <w:rPr>
          <w:rFonts w:ascii="Times New Roman" w:hAnsi="Times New Roman" w:cs="Times New Roman"/>
          <w:bCs/>
          <w:i/>
          <w:sz w:val="26"/>
          <w:szCs w:val="26"/>
        </w:rPr>
        <w:t>(Nguồn: Tổng hợp từ BCTC các công ty giai đoạn 2019-2023)</w:t>
      </w:r>
    </w:p>
    <w:p w14:paraId="5BC68171" w14:textId="3528D836" w:rsidR="00B93611" w:rsidRDefault="007064E6" w:rsidP="00CA6AC4">
      <w:pPr>
        <w:jc w:val="both"/>
        <w:rPr>
          <w:rFonts w:ascii="Times New Roman" w:hAnsi="Times New Roman" w:cs="Times New Roman"/>
          <w:sz w:val="26"/>
          <w:szCs w:val="26"/>
          <w:lang w:val="vi-VN"/>
        </w:rPr>
      </w:pPr>
      <w:r w:rsidRPr="008A5BBD">
        <w:rPr>
          <w:noProof/>
          <w:lang w:eastAsia="en-US"/>
        </w:rPr>
        <w:drawing>
          <wp:inline distT="0" distB="0" distL="0" distR="0" wp14:anchorId="2C997A9E" wp14:editId="7AFB4F4E">
            <wp:extent cx="5791200" cy="2910840"/>
            <wp:effectExtent l="0" t="0" r="0" b="3810"/>
            <wp:docPr id="1216065735"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23625EF9" w14:textId="77777777" w:rsidR="00B93611" w:rsidRPr="008A5BBD" w:rsidRDefault="00B93611" w:rsidP="00CA6AC4">
      <w:pPr>
        <w:jc w:val="both"/>
        <w:rPr>
          <w:rFonts w:ascii="Times New Roman" w:hAnsi="Times New Roman" w:cs="Times New Roman"/>
          <w:sz w:val="26"/>
          <w:szCs w:val="26"/>
          <w:lang w:val="vi-VN"/>
        </w:rPr>
      </w:pPr>
    </w:p>
    <w:p w14:paraId="0371CD08" w14:textId="6F87E311" w:rsidR="007064E6" w:rsidRPr="008A5BBD" w:rsidRDefault="00323194" w:rsidP="007064E6">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Qua bảng trên cho thấy </w:t>
      </w:r>
      <w:r w:rsidR="007064E6" w:rsidRPr="008A5BBD">
        <w:rPr>
          <w:rFonts w:ascii="Times New Roman" w:hAnsi="Times New Roman" w:cs="Times New Roman"/>
          <w:sz w:val="26"/>
          <w:szCs w:val="26"/>
          <w:lang w:val="vi-VN"/>
        </w:rPr>
        <w:t xml:space="preserve">Tỷ suất đầu tư vào tài sản ngắn hạn của các </w:t>
      </w:r>
      <w:r w:rsidR="00DC2FCF" w:rsidRPr="00F22BA5">
        <w:rPr>
          <w:rFonts w:ascii="Times New Roman" w:hAnsi="Times New Roman" w:cs="Times New Roman"/>
          <w:sz w:val="26"/>
          <w:szCs w:val="26"/>
          <w:lang w:val="vi-VN"/>
        </w:rPr>
        <w:t>CTCP</w:t>
      </w:r>
      <w:r w:rsidR="007064E6" w:rsidRPr="008A5BBD">
        <w:rPr>
          <w:rFonts w:ascii="Times New Roman" w:hAnsi="Times New Roman" w:cs="Times New Roman"/>
          <w:sz w:val="26"/>
          <w:szCs w:val="26"/>
          <w:lang w:val="vi-VN"/>
        </w:rPr>
        <w:t xml:space="preserve"> than </w:t>
      </w:r>
      <w:r w:rsidR="00DC2FCF" w:rsidRPr="00F22BA5">
        <w:rPr>
          <w:rFonts w:ascii="Times New Roman" w:hAnsi="Times New Roman" w:cs="Times New Roman"/>
          <w:sz w:val="26"/>
          <w:szCs w:val="26"/>
          <w:lang w:val="vi-VN"/>
        </w:rPr>
        <w:t xml:space="preserve">niêm yết </w:t>
      </w:r>
      <w:r w:rsidR="007064E6" w:rsidRPr="008A5BBD">
        <w:rPr>
          <w:rFonts w:ascii="Times New Roman" w:hAnsi="Times New Roman" w:cs="Times New Roman"/>
          <w:sz w:val="26"/>
          <w:szCs w:val="26"/>
          <w:lang w:val="vi-VN"/>
        </w:rPr>
        <w:t>trong giai đoạn 2019–2023</w:t>
      </w:r>
      <w:r w:rsidR="00DC2FCF" w:rsidRPr="00F22BA5">
        <w:rPr>
          <w:rFonts w:ascii="Times New Roman" w:hAnsi="Times New Roman" w:cs="Times New Roman"/>
          <w:sz w:val="26"/>
          <w:szCs w:val="26"/>
          <w:lang w:val="vi-VN"/>
        </w:rPr>
        <w:t xml:space="preserve"> có hệ số trung bình chiếm khoảng  trên 30% và có </w:t>
      </w:r>
      <w:r w:rsidR="007064E6" w:rsidRPr="008A5BBD">
        <w:rPr>
          <w:rFonts w:ascii="Times New Roman" w:hAnsi="Times New Roman" w:cs="Times New Roman"/>
          <w:sz w:val="26"/>
          <w:szCs w:val="26"/>
          <w:lang w:val="vi-VN"/>
        </w:rPr>
        <w:t>xu hướng tăng khá rõ rệt, đặc biệt trong các năm 2020</w:t>
      </w:r>
      <w:r w:rsidR="00A9641B" w:rsidRPr="008A5BBD">
        <w:rPr>
          <w:rFonts w:ascii="Times New Roman" w:hAnsi="Times New Roman" w:cs="Times New Roman"/>
          <w:sz w:val="26"/>
          <w:szCs w:val="26"/>
          <w:lang w:val="vi-VN"/>
        </w:rPr>
        <w:t xml:space="preserve"> - </w:t>
      </w:r>
      <w:r w:rsidR="007064E6" w:rsidRPr="008A5BBD">
        <w:rPr>
          <w:rFonts w:ascii="Times New Roman" w:hAnsi="Times New Roman" w:cs="Times New Roman"/>
          <w:sz w:val="26"/>
          <w:szCs w:val="26"/>
          <w:lang w:val="vi-VN"/>
        </w:rPr>
        <w:t>2022.</w:t>
      </w:r>
      <w:r w:rsidR="00DC2FCF" w:rsidRPr="00F22BA5">
        <w:rPr>
          <w:rFonts w:ascii="Times New Roman" w:hAnsi="Times New Roman" w:cs="Times New Roman"/>
          <w:sz w:val="26"/>
          <w:szCs w:val="26"/>
          <w:lang w:val="vi-VN"/>
        </w:rPr>
        <w:t xml:space="preserve"> Đây là giai đoạn các doanh nghiệp phải chống chọi với đại dịch Covid – 19, sản xuất kinh doanh gặp nhiều khó khăn, giá trị tài sản ngắn hạn tăng cao do lượng than tồn kho của các đơn vị này khá lớn. Điều này cũng gây khó </w:t>
      </w:r>
      <w:r w:rsidR="00DD1665" w:rsidRPr="00F22BA5">
        <w:rPr>
          <w:rFonts w:ascii="Times New Roman" w:hAnsi="Times New Roman" w:cs="Times New Roman"/>
          <w:sz w:val="26"/>
          <w:szCs w:val="26"/>
          <w:lang w:val="vi-VN"/>
        </w:rPr>
        <w:t>khăn</w:t>
      </w:r>
      <w:r w:rsidR="00DC2FCF" w:rsidRPr="00F22BA5">
        <w:rPr>
          <w:rFonts w:ascii="Times New Roman" w:hAnsi="Times New Roman" w:cs="Times New Roman"/>
          <w:sz w:val="26"/>
          <w:szCs w:val="26"/>
          <w:lang w:val="vi-VN"/>
        </w:rPr>
        <w:t xml:space="preserve"> nhất định đến tình hình tài chính của các doanh nghiệp nhưng mặt khác vi</w:t>
      </w:r>
      <w:r w:rsidR="007064E6" w:rsidRPr="008A5BBD">
        <w:rPr>
          <w:rFonts w:ascii="Times New Roman" w:hAnsi="Times New Roman" w:cs="Times New Roman"/>
          <w:sz w:val="26"/>
          <w:szCs w:val="26"/>
          <w:lang w:val="vi-VN"/>
        </w:rPr>
        <w:t>ệ</w:t>
      </w:r>
      <w:r w:rsidR="005543F8" w:rsidRPr="008A5BBD">
        <w:rPr>
          <w:rFonts w:ascii="Times New Roman" w:hAnsi="Times New Roman" w:cs="Times New Roman"/>
          <w:sz w:val="26"/>
          <w:szCs w:val="26"/>
          <w:lang w:val="vi-VN"/>
        </w:rPr>
        <w:t xml:space="preserve">c tăng </w:t>
      </w:r>
      <w:r w:rsidR="005543F8" w:rsidRPr="00F22BA5">
        <w:rPr>
          <w:rFonts w:ascii="Times New Roman" w:hAnsi="Times New Roman" w:cs="Times New Roman"/>
          <w:sz w:val="26"/>
          <w:szCs w:val="26"/>
          <w:lang w:val="vi-VN"/>
        </w:rPr>
        <w:t>tỷ trọng đầu tư</w:t>
      </w:r>
      <w:r w:rsidR="007064E6" w:rsidRPr="008A5BBD">
        <w:rPr>
          <w:rFonts w:ascii="Times New Roman" w:hAnsi="Times New Roman" w:cs="Times New Roman"/>
          <w:sz w:val="26"/>
          <w:szCs w:val="26"/>
          <w:lang w:val="vi-VN"/>
        </w:rPr>
        <w:t xml:space="preserve"> tài sản ngắn hạn </w:t>
      </w:r>
      <w:r w:rsidR="005543F8" w:rsidRPr="00F22BA5">
        <w:rPr>
          <w:rFonts w:ascii="Times New Roman" w:hAnsi="Times New Roman" w:cs="Times New Roman"/>
          <w:sz w:val="26"/>
          <w:szCs w:val="26"/>
          <w:lang w:val="vi-VN"/>
        </w:rPr>
        <w:t xml:space="preserve">cũng </w:t>
      </w:r>
      <w:r w:rsidR="007064E6" w:rsidRPr="008A5BBD">
        <w:rPr>
          <w:rFonts w:ascii="Times New Roman" w:hAnsi="Times New Roman" w:cs="Times New Roman"/>
          <w:sz w:val="26"/>
          <w:szCs w:val="26"/>
          <w:lang w:val="vi-VN"/>
        </w:rPr>
        <w:t>giúp các công ty đảm bảo thanh khoản và khả năng phản ứng nhanh với biến động thị trường.</w:t>
      </w:r>
    </w:p>
    <w:p w14:paraId="3FD36D8B" w14:textId="1C15B692" w:rsidR="007064E6" w:rsidRPr="00F22BA5" w:rsidRDefault="007064E6" w:rsidP="007064E6">
      <w:pPr>
        <w:spacing w:line="312" w:lineRule="auto"/>
        <w:ind w:firstLine="720"/>
        <w:jc w:val="both"/>
        <w:rPr>
          <w:rFonts w:ascii="Times New Roman" w:hAnsi="Times New Roman" w:cs="Times New Roman"/>
          <w:sz w:val="26"/>
          <w:szCs w:val="26"/>
          <w:lang w:val="vi-VN"/>
        </w:rPr>
      </w:pPr>
      <w:r w:rsidRPr="008A5BBD">
        <w:rPr>
          <w:rFonts w:ascii="Times New Roman" w:hAnsi="Times New Roman" w:cs="Times New Roman"/>
          <w:sz w:val="26"/>
          <w:szCs w:val="26"/>
          <w:lang w:val="vi-VN"/>
        </w:rPr>
        <w:lastRenderedPageBreak/>
        <w:t xml:space="preserve">Tuy nhiên, </w:t>
      </w:r>
      <w:r w:rsidR="008A5BBD" w:rsidRPr="00F22BA5">
        <w:rPr>
          <w:rFonts w:ascii="Times New Roman" w:hAnsi="Times New Roman" w:cs="Times New Roman"/>
          <w:sz w:val="26"/>
          <w:szCs w:val="26"/>
          <w:lang w:val="vi-VN"/>
        </w:rPr>
        <w:t>tỷ trọng này</w:t>
      </w:r>
      <w:r w:rsidRPr="008A5BBD">
        <w:rPr>
          <w:rFonts w:ascii="Times New Roman" w:hAnsi="Times New Roman" w:cs="Times New Roman"/>
          <w:sz w:val="26"/>
          <w:szCs w:val="26"/>
          <w:lang w:val="vi-VN"/>
        </w:rPr>
        <w:t xml:space="preserve"> giảm trong năm 2023 ở một số doanh nghiệp cho thấ</w:t>
      </w:r>
      <w:r w:rsidR="008A5BBD">
        <w:rPr>
          <w:rFonts w:ascii="Times New Roman" w:hAnsi="Times New Roman" w:cs="Times New Roman"/>
          <w:sz w:val="26"/>
          <w:szCs w:val="26"/>
          <w:lang w:val="vi-VN"/>
        </w:rPr>
        <w:t>y</w:t>
      </w:r>
      <w:r w:rsidRPr="008A5BBD">
        <w:rPr>
          <w:rFonts w:ascii="Times New Roman" w:hAnsi="Times New Roman" w:cs="Times New Roman"/>
          <w:sz w:val="26"/>
          <w:szCs w:val="26"/>
          <w:lang w:val="vi-VN"/>
        </w:rPr>
        <w:t xml:space="preserve"> bắt đầu</w:t>
      </w:r>
      <w:r w:rsidR="008A5BBD" w:rsidRPr="00F22BA5">
        <w:rPr>
          <w:rFonts w:ascii="Times New Roman" w:hAnsi="Times New Roman" w:cs="Times New Roman"/>
          <w:sz w:val="26"/>
          <w:szCs w:val="26"/>
          <w:lang w:val="vi-VN"/>
        </w:rPr>
        <w:t xml:space="preserve"> có xu</w:t>
      </w:r>
      <w:r w:rsidRPr="008A5BBD">
        <w:rPr>
          <w:rFonts w:ascii="Times New Roman" w:hAnsi="Times New Roman" w:cs="Times New Roman"/>
          <w:sz w:val="26"/>
          <w:szCs w:val="26"/>
          <w:lang w:val="vi-VN"/>
        </w:rPr>
        <w:t xml:space="preserve"> hướng đến việc cân bằng </w:t>
      </w:r>
      <w:r w:rsidR="008A5BBD" w:rsidRPr="00F22BA5">
        <w:rPr>
          <w:rFonts w:ascii="Times New Roman" w:hAnsi="Times New Roman" w:cs="Times New Roman"/>
          <w:sz w:val="26"/>
          <w:szCs w:val="26"/>
          <w:lang w:val="vi-VN"/>
        </w:rPr>
        <w:t xml:space="preserve">giảm đầu tư tài sản ngắn hạn để hướng tới tăng đầu tư tài sản dài hạn trọng cơ cấu tài sản. </w:t>
      </w:r>
      <w:r w:rsidRPr="008A5BBD">
        <w:rPr>
          <w:rFonts w:ascii="Times New Roman" w:hAnsi="Times New Roman" w:cs="Times New Roman"/>
          <w:sz w:val="26"/>
          <w:szCs w:val="26"/>
          <w:lang w:val="vi-VN"/>
        </w:rPr>
        <w:t xml:space="preserve">Các công ty như </w:t>
      </w:r>
      <w:r w:rsidR="008A5BBD" w:rsidRPr="00F22BA5">
        <w:rPr>
          <w:rFonts w:ascii="Times New Roman" w:hAnsi="Times New Roman" w:cs="Times New Roman"/>
          <w:sz w:val="26"/>
          <w:szCs w:val="26"/>
          <w:lang w:val="vi-VN"/>
        </w:rPr>
        <w:t xml:space="preserve">CTCP </w:t>
      </w:r>
      <w:r w:rsidRPr="008A5BBD">
        <w:rPr>
          <w:rFonts w:ascii="Times New Roman" w:hAnsi="Times New Roman" w:cs="Times New Roman"/>
          <w:sz w:val="26"/>
          <w:szCs w:val="26"/>
          <w:lang w:val="vi-VN"/>
        </w:rPr>
        <w:t xml:space="preserve">Than Vàng Danh và </w:t>
      </w:r>
      <w:r w:rsidR="008A5BBD" w:rsidRPr="00F22BA5">
        <w:rPr>
          <w:rFonts w:ascii="Times New Roman" w:hAnsi="Times New Roman" w:cs="Times New Roman"/>
          <w:sz w:val="26"/>
          <w:szCs w:val="26"/>
          <w:lang w:val="vi-VN"/>
        </w:rPr>
        <w:t xml:space="preserve">CTCP </w:t>
      </w:r>
      <w:r w:rsidRPr="008A5BBD">
        <w:rPr>
          <w:rFonts w:ascii="Times New Roman" w:hAnsi="Times New Roman" w:cs="Times New Roman"/>
          <w:sz w:val="26"/>
          <w:szCs w:val="26"/>
          <w:lang w:val="vi-VN"/>
        </w:rPr>
        <w:t xml:space="preserve">Than </w:t>
      </w:r>
      <w:r w:rsidR="008A5BBD" w:rsidRPr="00F22BA5">
        <w:rPr>
          <w:rFonts w:ascii="Times New Roman" w:hAnsi="Times New Roman" w:cs="Times New Roman"/>
          <w:sz w:val="26"/>
          <w:szCs w:val="26"/>
          <w:lang w:val="vi-VN"/>
        </w:rPr>
        <w:t>Mông Dương</w:t>
      </w:r>
      <w:r w:rsidRPr="008A5BBD">
        <w:rPr>
          <w:rFonts w:ascii="Times New Roman" w:hAnsi="Times New Roman" w:cs="Times New Roman"/>
          <w:sz w:val="26"/>
          <w:szCs w:val="26"/>
          <w:lang w:val="vi-VN"/>
        </w:rPr>
        <w:t xml:space="preserve"> nổi bật với tốc độ điều chỉnh lớn</w:t>
      </w:r>
      <w:r w:rsidR="008A5BBD" w:rsidRPr="00F22BA5">
        <w:rPr>
          <w:rFonts w:ascii="Times New Roman" w:hAnsi="Times New Roman" w:cs="Times New Roman"/>
          <w:sz w:val="26"/>
          <w:szCs w:val="26"/>
          <w:lang w:val="vi-VN"/>
        </w:rPr>
        <w:t xml:space="preserve"> tỷ suất đầu tư tài sản ngắn hạn</w:t>
      </w:r>
      <w:r w:rsidRPr="008A5BBD">
        <w:rPr>
          <w:rFonts w:ascii="Times New Roman" w:hAnsi="Times New Roman" w:cs="Times New Roman"/>
          <w:sz w:val="26"/>
          <w:szCs w:val="26"/>
          <w:lang w:val="vi-VN"/>
        </w:rPr>
        <w:t xml:space="preserve">, trong khi </w:t>
      </w:r>
      <w:r w:rsidR="008A5BBD" w:rsidRPr="00F22BA5">
        <w:rPr>
          <w:rFonts w:ascii="Times New Roman" w:hAnsi="Times New Roman" w:cs="Times New Roman"/>
          <w:sz w:val="26"/>
          <w:szCs w:val="26"/>
          <w:lang w:val="vi-VN"/>
        </w:rPr>
        <w:t xml:space="preserve"> CTCP </w:t>
      </w:r>
      <w:r w:rsidRPr="008A5BBD">
        <w:rPr>
          <w:rFonts w:ascii="Times New Roman" w:hAnsi="Times New Roman" w:cs="Times New Roman"/>
          <w:sz w:val="26"/>
          <w:szCs w:val="26"/>
          <w:lang w:val="vi-VN"/>
        </w:rPr>
        <w:t xml:space="preserve">Than Hà Tu duy trì mức đầu tư </w:t>
      </w:r>
      <w:r w:rsidR="008A5BBD" w:rsidRPr="00F22BA5">
        <w:rPr>
          <w:rFonts w:ascii="Times New Roman" w:hAnsi="Times New Roman" w:cs="Times New Roman"/>
          <w:sz w:val="26"/>
          <w:szCs w:val="26"/>
          <w:lang w:val="vi-VN"/>
        </w:rPr>
        <w:t xml:space="preserve"> khá cao.</w:t>
      </w:r>
    </w:p>
    <w:p w14:paraId="5944B734" w14:textId="1D866978" w:rsidR="00222BA7" w:rsidRPr="008A5BBD" w:rsidRDefault="00DA4446" w:rsidP="008A5BBD">
      <w:pPr>
        <w:pStyle w:val="p3"/>
      </w:pPr>
      <w:bookmarkStart w:id="202" w:name="_Toc197781180"/>
      <w:bookmarkStart w:id="203" w:name="_Toc197781463"/>
      <w:bookmarkStart w:id="204" w:name="_Toc198281674"/>
      <w:bookmarkStart w:id="205" w:name="_Toc198284459"/>
      <w:bookmarkStart w:id="206" w:name="_Toc198284838"/>
      <w:bookmarkStart w:id="207" w:name="_Toc198709990"/>
      <w:r w:rsidRPr="00F22BA5">
        <w:t>+</w:t>
      </w:r>
      <w:r w:rsidR="00222BA7" w:rsidRPr="008A5BBD">
        <w:t xml:space="preserve"> Tỷ suất đầu tư vào tài sản dài hạn</w:t>
      </w:r>
      <w:bookmarkEnd w:id="202"/>
      <w:bookmarkEnd w:id="203"/>
      <w:bookmarkEnd w:id="204"/>
      <w:bookmarkEnd w:id="205"/>
      <w:bookmarkEnd w:id="206"/>
      <w:bookmarkEnd w:id="207"/>
    </w:p>
    <w:p w14:paraId="3C351A69" w14:textId="77777777" w:rsidR="00222BA7" w:rsidRPr="008A5BBD" w:rsidRDefault="00222BA7" w:rsidP="00222BA7">
      <w:pPr>
        <w:spacing w:line="312" w:lineRule="auto"/>
        <w:ind w:firstLine="720"/>
        <w:jc w:val="both"/>
        <w:rPr>
          <w:rFonts w:ascii="Times New Roman" w:hAnsi="Times New Roman" w:cs="Times New Roman"/>
          <w:sz w:val="26"/>
          <w:szCs w:val="26"/>
          <w:lang w:val="vi-VN"/>
        </w:rPr>
      </w:pPr>
      <w:r w:rsidRPr="008A5BBD">
        <w:rPr>
          <w:rFonts w:ascii="Times New Roman" w:hAnsi="Times New Roman" w:cs="Times New Roman"/>
          <w:sz w:val="26"/>
          <w:szCs w:val="26"/>
          <w:lang w:val="vi-VN"/>
        </w:rPr>
        <w:t>Tỷ suất đầu tư tài sản dài hạn đánh giá mức độ tập trung vốn vào các tài sản phục vụ cho hoạt động sản xuất kinh doanh lâu dài như máy móc, thiết bị, mỏ khai thác,... Đây là chỉ tiêu quan trọng giúp xác định chiến lược phát triển bền vững và năng lực sản xuất trong tương lai của công ty. Tỷ suất này cũng phản ánh mức độ ổn định và cam kết đầu tư dài hạn, từ đó giúp nhà đầu tư và các bên liên quan hiểu rõ hơn về định hướng tăng trưởng và khả năng tạo ra lợi nhuận ổn định trong dài hạn.</w:t>
      </w:r>
    </w:p>
    <w:p w14:paraId="121E8C28" w14:textId="75CEDC5E" w:rsidR="00222BA7" w:rsidRPr="008A5BBD" w:rsidRDefault="00222BA7" w:rsidP="009C5163">
      <w:pPr>
        <w:spacing w:after="160" w:line="259" w:lineRule="auto"/>
        <w:jc w:val="center"/>
        <w:rPr>
          <w:rFonts w:ascii="Times New Roman" w:hAnsi="Times New Roman" w:cs="Times New Roman"/>
          <w:b/>
          <w:sz w:val="26"/>
          <w:szCs w:val="26"/>
          <w:lang w:val="vi-VN"/>
        </w:rPr>
      </w:pPr>
      <w:r w:rsidRPr="008A5BBD">
        <w:rPr>
          <w:rFonts w:ascii="Times New Roman" w:hAnsi="Times New Roman" w:cs="Times New Roman"/>
          <w:b/>
          <w:sz w:val="26"/>
          <w:szCs w:val="26"/>
          <w:lang w:val="vi-VN"/>
        </w:rPr>
        <w:t>Bả</w:t>
      </w:r>
      <w:r w:rsidR="00621F59">
        <w:rPr>
          <w:rFonts w:ascii="Times New Roman" w:hAnsi="Times New Roman" w:cs="Times New Roman"/>
          <w:b/>
          <w:sz w:val="26"/>
          <w:szCs w:val="26"/>
          <w:lang w:val="vi-VN"/>
        </w:rPr>
        <w:t xml:space="preserve">ng </w:t>
      </w:r>
      <w:r w:rsidR="00621F59" w:rsidRPr="00F22BA5">
        <w:rPr>
          <w:rFonts w:ascii="Times New Roman" w:hAnsi="Times New Roman" w:cs="Times New Roman"/>
          <w:b/>
          <w:sz w:val="26"/>
          <w:szCs w:val="26"/>
          <w:lang w:val="vi-VN"/>
        </w:rPr>
        <w:t>2.10</w:t>
      </w:r>
      <w:r w:rsidRPr="008A5BBD">
        <w:rPr>
          <w:rFonts w:ascii="Times New Roman" w:hAnsi="Times New Roman" w:cs="Times New Roman"/>
          <w:b/>
          <w:sz w:val="26"/>
          <w:szCs w:val="26"/>
          <w:lang w:val="vi-VN"/>
        </w:rPr>
        <w:t>. Tỷ suất đầu tư vào tài sản dài hạn của các CTCP niêm yết</w:t>
      </w:r>
    </w:p>
    <w:p w14:paraId="37F45C98" w14:textId="7436213C" w:rsidR="00222BA7" w:rsidRPr="008A5BBD" w:rsidRDefault="00222BA7" w:rsidP="00222BA7">
      <w:pPr>
        <w:spacing w:line="312" w:lineRule="auto"/>
        <w:ind w:firstLine="720"/>
        <w:jc w:val="center"/>
        <w:rPr>
          <w:rFonts w:ascii="Times New Roman" w:hAnsi="Times New Roman" w:cs="Times New Roman"/>
          <w:b/>
          <w:sz w:val="26"/>
          <w:szCs w:val="26"/>
          <w:lang w:val="vi-VN"/>
        </w:rPr>
      </w:pPr>
      <w:r w:rsidRPr="008A5BBD">
        <w:rPr>
          <w:rFonts w:ascii="Times New Roman" w:hAnsi="Times New Roman" w:cs="Times New Roman"/>
          <w:b/>
          <w:sz w:val="26"/>
          <w:szCs w:val="26"/>
          <w:lang w:val="vi-VN"/>
        </w:rPr>
        <w:t>thuộc TKV giai đoạn 2019 – 2023</w:t>
      </w:r>
    </w:p>
    <w:tbl>
      <w:tblPr>
        <w:tblStyle w:val="TableGrid"/>
        <w:tblW w:w="9082" w:type="dxa"/>
        <w:tblInd w:w="-5" w:type="dxa"/>
        <w:tblLook w:val="04A0" w:firstRow="1" w:lastRow="0" w:firstColumn="1" w:lastColumn="0" w:noHBand="0" w:noVBand="1"/>
      </w:tblPr>
      <w:tblGrid>
        <w:gridCol w:w="564"/>
        <w:gridCol w:w="1606"/>
        <w:gridCol w:w="1087"/>
        <w:gridCol w:w="1018"/>
        <w:gridCol w:w="1070"/>
        <w:gridCol w:w="1113"/>
        <w:gridCol w:w="1250"/>
        <w:gridCol w:w="1374"/>
      </w:tblGrid>
      <w:tr w:rsidR="00222BA7" w:rsidRPr="008A5BBD" w14:paraId="6EF9AC42" w14:textId="42136A76" w:rsidTr="00111E4D">
        <w:trPr>
          <w:trHeight w:val="219"/>
        </w:trPr>
        <w:tc>
          <w:tcPr>
            <w:tcW w:w="558" w:type="dxa"/>
            <w:tcBorders>
              <w:top w:val="single" w:sz="4" w:space="0" w:color="auto"/>
              <w:left w:val="single" w:sz="4" w:space="0" w:color="auto"/>
              <w:bottom w:val="single" w:sz="4" w:space="0" w:color="auto"/>
              <w:right w:val="single" w:sz="4" w:space="0" w:color="auto"/>
            </w:tcBorders>
          </w:tcPr>
          <w:p w14:paraId="79959B9F" w14:textId="0C1C88FF" w:rsidR="00222BA7" w:rsidRPr="008A5BBD" w:rsidRDefault="00222BA7" w:rsidP="00426BBE">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TT</w:t>
            </w:r>
          </w:p>
        </w:tc>
        <w:tc>
          <w:tcPr>
            <w:tcW w:w="1614" w:type="dxa"/>
            <w:tcBorders>
              <w:top w:val="single" w:sz="4" w:space="0" w:color="auto"/>
              <w:left w:val="single" w:sz="4" w:space="0" w:color="auto"/>
              <w:bottom w:val="single" w:sz="4" w:space="0" w:color="auto"/>
              <w:right w:val="single" w:sz="4" w:space="0" w:color="auto"/>
            </w:tcBorders>
            <w:vAlign w:val="center"/>
            <w:hideMark/>
          </w:tcPr>
          <w:p w14:paraId="10F54002" w14:textId="170C70F8" w:rsidR="00222BA7" w:rsidRPr="008A5BBD" w:rsidRDefault="0031049D" w:rsidP="00426BBE">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Công ty</w:t>
            </w:r>
          </w:p>
        </w:tc>
        <w:tc>
          <w:tcPr>
            <w:tcW w:w="1088" w:type="dxa"/>
            <w:tcBorders>
              <w:top w:val="single" w:sz="4" w:space="0" w:color="auto"/>
              <w:left w:val="single" w:sz="4" w:space="0" w:color="auto"/>
              <w:bottom w:val="single" w:sz="4" w:space="0" w:color="auto"/>
              <w:right w:val="single" w:sz="4" w:space="0" w:color="auto"/>
            </w:tcBorders>
            <w:vAlign w:val="center"/>
            <w:hideMark/>
          </w:tcPr>
          <w:p w14:paraId="2BA5593B" w14:textId="77777777" w:rsidR="00222BA7" w:rsidRPr="008A5BBD" w:rsidRDefault="00222BA7" w:rsidP="00426BBE">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2019</w:t>
            </w:r>
          </w:p>
        </w:tc>
        <w:tc>
          <w:tcPr>
            <w:tcW w:w="1007" w:type="dxa"/>
            <w:tcBorders>
              <w:top w:val="single" w:sz="4" w:space="0" w:color="auto"/>
              <w:left w:val="single" w:sz="4" w:space="0" w:color="auto"/>
              <w:bottom w:val="single" w:sz="4" w:space="0" w:color="auto"/>
              <w:right w:val="single" w:sz="4" w:space="0" w:color="auto"/>
            </w:tcBorders>
            <w:vAlign w:val="center"/>
            <w:hideMark/>
          </w:tcPr>
          <w:p w14:paraId="015CF15F" w14:textId="77777777" w:rsidR="00222BA7" w:rsidRPr="008A5BBD" w:rsidRDefault="00222BA7" w:rsidP="00426BBE">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2020</w:t>
            </w:r>
          </w:p>
        </w:tc>
        <w:tc>
          <w:tcPr>
            <w:tcW w:w="1071" w:type="dxa"/>
            <w:tcBorders>
              <w:top w:val="single" w:sz="4" w:space="0" w:color="auto"/>
              <w:left w:val="single" w:sz="4" w:space="0" w:color="auto"/>
              <w:bottom w:val="single" w:sz="4" w:space="0" w:color="auto"/>
              <w:right w:val="single" w:sz="4" w:space="0" w:color="auto"/>
            </w:tcBorders>
            <w:vAlign w:val="center"/>
            <w:hideMark/>
          </w:tcPr>
          <w:p w14:paraId="65A4812E" w14:textId="77777777" w:rsidR="00222BA7" w:rsidRPr="008A5BBD" w:rsidRDefault="00222BA7" w:rsidP="00426BBE">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2021</w:t>
            </w:r>
          </w:p>
        </w:tc>
        <w:tc>
          <w:tcPr>
            <w:tcW w:w="1114" w:type="dxa"/>
            <w:tcBorders>
              <w:top w:val="single" w:sz="4" w:space="0" w:color="auto"/>
              <w:left w:val="single" w:sz="4" w:space="0" w:color="auto"/>
              <w:bottom w:val="single" w:sz="4" w:space="0" w:color="auto"/>
              <w:right w:val="single" w:sz="4" w:space="0" w:color="auto"/>
            </w:tcBorders>
            <w:vAlign w:val="center"/>
            <w:hideMark/>
          </w:tcPr>
          <w:p w14:paraId="72FCC057" w14:textId="77777777" w:rsidR="00222BA7" w:rsidRPr="008A5BBD" w:rsidRDefault="00222BA7" w:rsidP="00426BBE">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2022</w:t>
            </w:r>
          </w:p>
        </w:tc>
        <w:tc>
          <w:tcPr>
            <w:tcW w:w="1252" w:type="dxa"/>
            <w:tcBorders>
              <w:top w:val="single" w:sz="4" w:space="0" w:color="auto"/>
              <w:left w:val="single" w:sz="4" w:space="0" w:color="auto"/>
              <w:bottom w:val="single" w:sz="4" w:space="0" w:color="auto"/>
              <w:right w:val="single" w:sz="4" w:space="0" w:color="auto"/>
            </w:tcBorders>
            <w:vAlign w:val="center"/>
            <w:hideMark/>
          </w:tcPr>
          <w:p w14:paraId="656BADDC" w14:textId="77777777" w:rsidR="00222BA7" w:rsidRPr="008A5BBD" w:rsidRDefault="00222BA7" w:rsidP="00426BBE">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2023</w:t>
            </w:r>
          </w:p>
        </w:tc>
        <w:tc>
          <w:tcPr>
            <w:tcW w:w="1378" w:type="dxa"/>
            <w:tcBorders>
              <w:top w:val="single" w:sz="4" w:space="0" w:color="auto"/>
              <w:left w:val="single" w:sz="4" w:space="0" w:color="auto"/>
              <w:bottom w:val="single" w:sz="4" w:space="0" w:color="auto"/>
              <w:right w:val="single" w:sz="4" w:space="0" w:color="auto"/>
            </w:tcBorders>
          </w:tcPr>
          <w:p w14:paraId="7DE80F33" w14:textId="13EE8904" w:rsidR="00222BA7" w:rsidRPr="008A5BBD" w:rsidRDefault="00222BA7" w:rsidP="00426BBE">
            <w:pPr>
              <w:spacing w:line="312" w:lineRule="auto"/>
              <w:jc w:val="center"/>
              <w:rPr>
                <w:rFonts w:ascii="Times New Roman" w:hAnsi="Times New Roman" w:cs="Times New Roman"/>
                <w:b/>
                <w:bCs/>
                <w:sz w:val="26"/>
                <w:szCs w:val="26"/>
                <w:lang w:val="vi-VN"/>
              </w:rPr>
            </w:pPr>
            <w:r w:rsidRPr="008A5BBD">
              <w:rPr>
                <w:rFonts w:ascii="Times New Roman" w:hAnsi="Times New Roman" w:cs="Times New Roman"/>
                <w:b/>
                <w:bCs/>
                <w:sz w:val="26"/>
                <w:szCs w:val="26"/>
              </w:rPr>
              <w:t>Bình</w:t>
            </w:r>
            <w:r w:rsidRPr="008A5BBD">
              <w:rPr>
                <w:rFonts w:ascii="Times New Roman" w:hAnsi="Times New Roman" w:cs="Times New Roman"/>
                <w:b/>
                <w:bCs/>
                <w:sz w:val="26"/>
                <w:szCs w:val="26"/>
                <w:lang w:val="vi-VN"/>
              </w:rPr>
              <w:t xml:space="preserve"> quân</w:t>
            </w:r>
          </w:p>
        </w:tc>
      </w:tr>
      <w:tr w:rsidR="003331B9" w:rsidRPr="008A5BBD" w14:paraId="11443C0D" w14:textId="4A9C0BAA" w:rsidTr="00111E4D">
        <w:trPr>
          <w:trHeight w:val="236"/>
        </w:trPr>
        <w:tc>
          <w:tcPr>
            <w:tcW w:w="558" w:type="dxa"/>
            <w:tcBorders>
              <w:top w:val="single" w:sz="4" w:space="0" w:color="auto"/>
              <w:left w:val="single" w:sz="4" w:space="0" w:color="auto"/>
              <w:bottom w:val="single" w:sz="4" w:space="0" w:color="auto"/>
              <w:right w:val="single" w:sz="4" w:space="0" w:color="auto"/>
            </w:tcBorders>
          </w:tcPr>
          <w:p w14:paraId="7DF26DAA" w14:textId="11BB2FDC"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1</w:t>
            </w:r>
          </w:p>
        </w:tc>
        <w:tc>
          <w:tcPr>
            <w:tcW w:w="1614" w:type="dxa"/>
            <w:tcBorders>
              <w:top w:val="single" w:sz="4" w:space="0" w:color="auto"/>
              <w:left w:val="single" w:sz="4" w:space="0" w:color="auto"/>
              <w:bottom w:val="single" w:sz="4" w:space="0" w:color="auto"/>
              <w:right w:val="single" w:sz="4" w:space="0" w:color="auto"/>
            </w:tcBorders>
            <w:vAlign w:val="center"/>
            <w:hideMark/>
          </w:tcPr>
          <w:p w14:paraId="7B5249EC" w14:textId="1F9EBA62"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TVD</w:t>
            </w:r>
          </w:p>
        </w:tc>
        <w:tc>
          <w:tcPr>
            <w:tcW w:w="1088" w:type="dxa"/>
            <w:tcBorders>
              <w:top w:val="single" w:sz="4" w:space="0" w:color="auto"/>
              <w:left w:val="single" w:sz="4" w:space="0" w:color="auto"/>
              <w:bottom w:val="single" w:sz="4" w:space="0" w:color="auto"/>
              <w:right w:val="single" w:sz="4" w:space="0" w:color="auto"/>
            </w:tcBorders>
            <w:vAlign w:val="center"/>
            <w:hideMark/>
          </w:tcPr>
          <w:p w14:paraId="1EEADCF2"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80,18%</w:t>
            </w:r>
          </w:p>
        </w:tc>
        <w:tc>
          <w:tcPr>
            <w:tcW w:w="1007" w:type="dxa"/>
            <w:tcBorders>
              <w:top w:val="single" w:sz="4" w:space="0" w:color="auto"/>
              <w:left w:val="single" w:sz="4" w:space="0" w:color="auto"/>
              <w:bottom w:val="single" w:sz="4" w:space="0" w:color="auto"/>
              <w:right w:val="single" w:sz="4" w:space="0" w:color="auto"/>
            </w:tcBorders>
            <w:vAlign w:val="center"/>
            <w:hideMark/>
          </w:tcPr>
          <w:p w14:paraId="332AED48"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69,13%</w:t>
            </w:r>
          </w:p>
        </w:tc>
        <w:tc>
          <w:tcPr>
            <w:tcW w:w="1071" w:type="dxa"/>
            <w:tcBorders>
              <w:top w:val="single" w:sz="4" w:space="0" w:color="auto"/>
              <w:left w:val="single" w:sz="4" w:space="0" w:color="auto"/>
              <w:bottom w:val="single" w:sz="4" w:space="0" w:color="auto"/>
              <w:right w:val="single" w:sz="4" w:space="0" w:color="auto"/>
            </w:tcBorders>
            <w:vAlign w:val="center"/>
            <w:hideMark/>
          </w:tcPr>
          <w:p w14:paraId="10DDB3EF"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67,44%</w:t>
            </w:r>
          </w:p>
        </w:tc>
        <w:tc>
          <w:tcPr>
            <w:tcW w:w="1114" w:type="dxa"/>
            <w:tcBorders>
              <w:top w:val="single" w:sz="4" w:space="0" w:color="auto"/>
              <w:left w:val="single" w:sz="4" w:space="0" w:color="auto"/>
              <w:bottom w:val="single" w:sz="4" w:space="0" w:color="auto"/>
              <w:right w:val="single" w:sz="4" w:space="0" w:color="auto"/>
            </w:tcBorders>
            <w:vAlign w:val="center"/>
            <w:hideMark/>
          </w:tcPr>
          <w:p w14:paraId="244C83F6"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40,38%</w:t>
            </w:r>
          </w:p>
        </w:tc>
        <w:tc>
          <w:tcPr>
            <w:tcW w:w="1252" w:type="dxa"/>
            <w:tcBorders>
              <w:top w:val="single" w:sz="4" w:space="0" w:color="auto"/>
              <w:left w:val="single" w:sz="4" w:space="0" w:color="auto"/>
              <w:bottom w:val="single" w:sz="4" w:space="0" w:color="auto"/>
              <w:right w:val="single" w:sz="4" w:space="0" w:color="auto"/>
            </w:tcBorders>
            <w:vAlign w:val="center"/>
            <w:hideMark/>
          </w:tcPr>
          <w:p w14:paraId="266F2752"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45,65%</w:t>
            </w:r>
          </w:p>
        </w:tc>
        <w:tc>
          <w:tcPr>
            <w:tcW w:w="1378" w:type="dxa"/>
            <w:tcBorders>
              <w:top w:val="single" w:sz="4" w:space="0" w:color="auto"/>
              <w:left w:val="single" w:sz="4" w:space="0" w:color="auto"/>
              <w:bottom w:val="single" w:sz="4" w:space="0" w:color="auto"/>
              <w:right w:val="single" w:sz="4" w:space="0" w:color="auto"/>
            </w:tcBorders>
            <w:vAlign w:val="center"/>
          </w:tcPr>
          <w:p w14:paraId="5F786793" w14:textId="0BB6DC68"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rPr>
              <w:t>60,56%</w:t>
            </w:r>
          </w:p>
        </w:tc>
      </w:tr>
      <w:tr w:rsidR="003331B9" w:rsidRPr="008A5BBD" w14:paraId="2FA2F8EF" w14:textId="292A650B" w:rsidTr="00111E4D">
        <w:trPr>
          <w:trHeight w:val="219"/>
        </w:trPr>
        <w:tc>
          <w:tcPr>
            <w:tcW w:w="558" w:type="dxa"/>
            <w:tcBorders>
              <w:top w:val="single" w:sz="4" w:space="0" w:color="auto"/>
              <w:left w:val="single" w:sz="4" w:space="0" w:color="auto"/>
              <w:bottom w:val="single" w:sz="4" w:space="0" w:color="auto"/>
              <w:right w:val="single" w:sz="4" w:space="0" w:color="auto"/>
            </w:tcBorders>
          </w:tcPr>
          <w:p w14:paraId="5D098F19" w14:textId="13EC9201"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2</w:t>
            </w:r>
          </w:p>
        </w:tc>
        <w:tc>
          <w:tcPr>
            <w:tcW w:w="1614" w:type="dxa"/>
            <w:tcBorders>
              <w:top w:val="single" w:sz="4" w:space="0" w:color="auto"/>
              <w:left w:val="single" w:sz="4" w:space="0" w:color="auto"/>
              <w:bottom w:val="single" w:sz="4" w:space="0" w:color="auto"/>
              <w:right w:val="single" w:sz="4" w:space="0" w:color="auto"/>
            </w:tcBorders>
            <w:vAlign w:val="center"/>
            <w:hideMark/>
          </w:tcPr>
          <w:p w14:paraId="01C0683D" w14:textId="50C02E3E"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MDC</w:t>
            </w:r>
          </w:p>
        </w:tc>
        <w:tc>
          <w:tcPr>
            <w:tcW w:w="1088" w:type="dxa"/>
            <w:tcBorders>
              <w:top w:val="single" w:sz="4" w:space="0" w:color="auto"/>
              <w:left w:val="single" w:sz="4" w:space="0" w:color="auto"/>
              <w:bottom w:val="single" w:sz="4" w:space="0" w:color="auto"/>
              <w:right w:val="single" w:sz="4" w:space="0" w:color="auto"/>
            </w:tcBorders>
            <w:vAlign w:val="center"/>
            <w:hideMark/>
          </w:tcPr>
          <w:p w14:paraId="4D6B9166" w14:textId="77777777"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sz w:val="26"/>
                <w:szCs w:val="26"/>
              </w:rPr>
              <w:t>76,67%</w:t>
            </w:r>
          </w:p>
        </w:tc>
        <w:tc>
          <w:tcPr>
            <w:tcW w:w="1007" w:type="dxa"/>
            <w:tcBorders>
              <w:top w:val="single" w:sz="4" w:space="0" w:color="auto"/>
              <w:left w:val="nil"/>
              <w:bottom w:val="single" w:sz="4" w:space="0" w:color="auto"/>
              <w:right w:val="single" w:sz="4" w:space="0" w:color="auto"/>
            </w:tcBorders>
            <w:vAlign w:val="center"/>
            <w:hideMark/>
          </w:tcPr>
          <w:p w14:paraId="32B5DA76" w14:textId="77777777"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sz w:val="26"/>
                <w:szCs w:val="26"/>
              </w:rPr>
              <w:t>70,47%</w:t>
            </w:r>
          </w:p>
        </w:tc>
        <w:tc>
          <w:tcPr>
            <w:tcW w:w="1071" w:type="dxa"/>
            <w:tcBorders>
              <w:top w:val="single" w:sz="4" w:space="0" w:color="auto"/>
              <w:left w:val="nil"/>
              <w:bottom w:val="single" w:sz="4" w:space="0" w:color="auto"/>
              <w:right w:val="single" w:sz="4" w:space="0" w:color="auto"/>
            </w:tcBorders>
            <w:vAlign w:val="center"/>
            <w:hideMark/>
          </w:tcPr>
          <w:p w14:paraId="058ABAA3" w14:textId="77777777"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sz w:val="26"/>
                <w:szCs w:val="26"/>
              </w:rPr>
              <w:t>73,73%</w:t>
            </w:r>
          </w:p>
        </w:tc>
        <w:tc>
          <w:tcPr>
            <w:tcW w:w="1114" w:type="dxa"/>
            <w:tcBorders>
              <w:top w:val="single" w:sz="4" w:space="0" w:color="auto"/>
              <w:left w:val="nil"/>
              <w:bottom w:val="single" w:sz="4" w:space="0" w:color="auto"/>
              <w:right w:val="single" w:sz="4" w:space="0" w:color="auto"/>
            </w:tcBorders>
            <w:vAlign w:val="center"/>
            <w:hideMark/>
          </w:tcPr>
          <w:p w14:paraId="3626A38E" w14:textId="77777777"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sz w:val="26"/>
                <w:szCs w:val="26"/>
              </w:rPr>
              <w:t>47,53%</w:t>
            </w:r>
          </w:p>
        </w:tc>
        <w:tc>
          <w:tcPr>
            <w:tcW w:w="1252" w:type="dxa"/>
            <w:tcBorders>
              <w:top w:val="single" w:sz="4" w:space="0" w:color="auto"/>
              <w:left w:val="nil"/>
              <w:bottom w:val="single" w:sz="4" w:space="0" w:color="auto"/>
              <w:right w:val="single" w:sz="4" w:space="0" w:color="auto"/>
            </w:tcBorders>
            <w:vAlign w:val="center"/>
            <w:hideMark/>
          </w:tcPr>
          <w:p w14:paraId="035D5C1A" w14:textId="77777777"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sz w:val="26"/>
                <w:szCs w:val="26"/>
              </w:rPr>
              <w:t>60,91%</w:t>
            </w:r>
          </w:p>
        </w:tc>
        <w:tc>
          <w:tcPr>
            <w:tcW w:w="1378" w:type="dxa"/>
            <w:tcBorders>
              <w:top w:val="single" w:sz="4" w:space="0" w:color="auto"/>
              <w:left w:val="nil"/>
              <w:bottom w:val="single" w:sz="4" w:space="0" w:color="auto"/>
              <w:right w:val="single" w:sz="4" w:space="0" w:color="auto"/>
            </w:tcBorders>
            <w:vAlign w:val="center"/>
          </w:tcPr>
          <w:p w14:paraId="5A732D63" w14:textId="013239C2"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rPr>
              <w:t>65,86%</w:t>
            </w:r>
          </w:p>
        </w:tc>
      </w:tr>
      <w:tr w:rsidR="003331B9" w:rsidRPr="008A5BBD" w14:paraId="69085511" w14:textId="0FA1195E" w:rsidTr="00111E4D">
        <w:trPr>
          <w:trHeight w:val="253"/>
        </w:trPr>
        <w:tc>
          <w:tcPr>
            <w:tcW w:w="558" w:type="dxa"/>
            <w:tcBorders>
              <w:top w:val="single" w:sz="4" w:space="0" w:color="auto"/>
              <w:left w:val="single" w:sz="4" w:space="0" w:color="auto"/>
              <w:bottom w:val="single" w:sz="4" w:space="0" w:color="auto"/>
              <w:right w:val="single" w:sz="4" w:space="0" w:color="auto"/>
            </w:tcBorders>
          </w:tcPr>
          <w:p w14:paraId="3556F1D4" w14:textId="21F5BC09"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3</w:t>
            </w:r>
          </w:p>
        </w:tc>
        <w:tc>
          <w:tcPr>
            <w:tcW w:w="1614" w:type="dxa"/>
            <w:tcBorders>
              <w:top w:val="single" w:sz="4" w:space="0" w:color="auto"/>
              <w:left w:val="single" w:sz="4" w:space="0" w:color="auto"/>
              <w:bottom w:val="single" w:sz="4" w:space="0" w:color="auto"/>
              <w:right w:val="single" w:sz="4" w:space="0" w:color="auto"/>
            </w:tcBorders>
            <w:vAlign w:val="center"/>
            <w:hideMark/>
          </w:tcPr>
          <w:p w14:paraId="1A34B81A" w14:textId="584C1CF4"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HLC</w:t>
            </w:r>
          </w:p>
        </w:tc>
        <w:tc>
          <w:tcPr>
            <w:tcW w:w="1088" w:type="dxa"/>
            <w:tcBorders>
              <w:top w:val="single" w:sz="4" w:space="0" w:color="auto"/>
              <w:left w:val="single" w:sz="4" w:space="0" w:color="auto"/>
              <w:bottom w:val="single" w:sz="4" w:space="0" w:color="auto"/>
              <w:right w:val="single" w:sz="4" w:space="0" w:color="auto"/>
            </w:tcBorders>
            <w:vAlign w:val="center"/>
          </w:tcPr>
          <w:p w14:paraId="738777A9"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93,57%</w:t>
            </w:r>
          </w:p>
        </w:tc>
        <w:tc>
          <w:tcPr>
            <w:tcW w:w="1007" w:type="dxa"/>
            <w:tcBorders>
              <w:top w:val="single" w:sz="4" w:space="0" w:color="auto"/>
              <w:left w:val="single" w:sz="4" w:space="0" w:color="auto"/>
              <w:bottom w:val="single" w:sz="4" w:space="0" w:color="auto"/>
              <w:right w:val="single" w:sz="4" w:space="0" w:color="auto"/>
            </w:tcBorders>
            <w:vAlign w:val="center"/>
          </w:tcPr>
          <w:p w14:paraId="2F0693C5"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74,58%</w:t>
            </w:r>
          </w:p>
        </w:tc>
        <w:tc>
          <w:tcPr>
            <w:tcW w:w="1071" w:type="dxa"/>
            <w:tcBorders>
              <w:top w:val="single" w:sz="4" w:space="0" w:color="auto"/>
              <w:left w:val="single" w:sz="4" w:space="0" w:color="auto"/>
              <w:bottom w:val="single" w:sz="4" w:space="0" w:color="auto"/>
              <w:right w:val="single" w:sz="4" w:space="0" w:color="auto"/>
            </w:tcBorders>
            <w:vAlign w:val="center"/>
          </w:tcPr>
          <w:p w14:paraId="2A5FAC55"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69,67%</w:t>
            </w:r>
          </w:p>
        </w:tc>
        <w:tc>
          <w:tcPr>
            <w:tcW w:w="1114" w:type="dxa"/>
            <w:tcBorders>
              <w:top w:val="single" w:sz="4" w:space="0" w:color="auto"/>
              <w:left w:val="single" w:sz="4" w:space="0" w:color="auto"/>
              <w:bottom w:val="single" w:sz="4" w:space="0" w:color="auto"/>
              <w:right w:val="single" w:sz="4" w:space="0" w:color="auto"/>
            </w:tcBorders>
            <w:vAlign w:val="center"/>
          </w:tcPr>
          <w:p w14:paraId="33630276"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62,51%</w:t>
            </w:r>
          </w:p>
        </w:tc>
        <w:tc>
          <w:tcPr>
            <w:tcW w:w="1252" w:type="dxa"/>
            <w:tcBorders>
              <w:top w:val="single" w:sz="4" w:space="0" w:color="auto"/>
              <w:left w:val="single" w:sz="4" w:space="0" w:color="auto"/>
              <w:bottom w:val="single" w:sz="4" w:space="0" w:color="auto"/>
              <w:right w:val="single" w:sz="4" w:space="0" w:color="auto"/>
            </w:tcBorders>
            <w:vAlign w:val="center"/>
          </w:tcPr>
          <w:p w14:paraId="78622A94"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57,02%</w:t>
            </w:r>
          </w:p>
        </w:tc>
        <w:tc>
          <w:tcPr>
            <w:tcW w:w="1378" w:type="dxa"/>
            <w:tcBorders>
              <w:top w:val="single" w:sz="4" w:space="0" w:color="auto"/>
              <w:left w:val="single" w:sz="4" w:space="0" w:color="auto"/>
              <w:bottom w:val="single" w:sz="4" w:space="0" w:color="auto"/>
              <w:right w:val="single" w:sz="4" w:space="0" w:color="auto"/>
            </w:tcBorders>
            <w:vAlign w:val="center"/>
          </w:tcPr>
          <w:p w14:paraId="3256DBEE" w14:textId="7EDE6EE3"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rPr>
              <w:t>71,47%</w:t>
            </w:r>
          </w:p>
        </w:tc>
      </w:tr>
      <w:tr w:rsidR="003331B9" w:rsidRPr="008A5BBD" w14:paraId="10751419" w14:textId="493FF674" w:rsidTr="00111E4D">
        <w:trPr>
          <w:trHeight w:val="219"/>
        </w:trPr>
        <w:tc>
          <w:tcPr>
            <w:tcW w:w="558" w:type="dxa"/>
            <w:tcBorders>
              <w:top w:val="single" w:sz="4" w:space="0" w:color="auto"/>
              <w:left w:val="single" w:sz="4" w:space="0" w:color="auto"/>
              <w:bottom w:val="single" w:sz="4" w:space="0" w:color="auto"/>
              <w:right w:val="single" w:sz="4" w:space="0" w:color="auto"/>
            </w:tcBorders>
          </w:tcPr>
          <w:p w14:paraId="75B49405" w14:textId="7A178978"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4</w:t>
            </w:r>
          </w:p>
        </w:tc>
        <w:tc>
          <w:tcPr>
            <w:tcW w:w="1614" w:type="dxa"/>
            <w:tcBorders>
              <w:top w:val="single" w:sz="4" w:space="0" w:color="auto"/>
              <w:left w:val="single" w:sz="4" w:space="0" w:color="auto"/>
              <w:bottom w:val="single" w:sz="4" w:space="0" w:color="auto"/>
              <w:right w:val="single" w:sz="4" w:space="0" w:color="auto"/>
            </w:tcBorders>
            <w:vAlign w:val="center"/>
            <w:hideMark/>
          </w:tcPr>
          <w:p w14:paraId="7FB45D31" w14:textId="3BF1AAB3"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THT</w:t>
            </w:r>
          </w:p>
        </w:tc>
        <w:tc>
          <w:tcPr>
            <w:tcW w:w="1088" w:type="dxa"/>
            <w:tcBorders>
              <w:top w:val="single" w:sz="4" w:space="0" w:color="auto"/>
              <w:left w:val="single" w:sz="4" w:space="0" w:color="auto"/>
              <w:bottom w:val="single" w:sz="4" w:space="0" w:color="auto"/>
              <w:right w:val="single" w:sz="4" w:space="0" w:color="auto"/>
            </w:tcBorders>
            <w:vAlign w:val="center"/>
            <w:hideMark/>
          </w:tcPr>
          <w:p w14:paraId="45680FD8"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56,78%</w:t>
            </w:r>
          </w:p>
        </w:tc>
        <w:tc>
          <w:tcPr>
            <w:tcW w:w="1007" w:type="dxa"/>
            <w:tcBorders>
              <w:top w:val="single" w:sz="4" w:space="0" w:color="auto"/>
              <w:left w:val="single" w:sz="4" w:space="0" w:color="auto"/>
              <w:bottom w:val="single" w:sz="4" w:space="0" w:color="auto"/>
              <w:right w:val="single" w:sz="4" w:space="0" w:color="auto"/>
            </w:tcBorders>
            <w:vAlign w:val="center"/>
            <w:hideMark/>
          </w:tcPr>
          <w:p w14:paraId="4434B2CD"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54,06%</w:t>
            </w:r>
          </w:p>
        </w:tc>
        <w:tc>
          <w:tcPr>
            <w:tcW w:w="1071" w:type="dxa"/>
            <w:tcBorders>
              <w:top w:val="single" w:sz="4" w:space="0" w:color="auto"/>
              <w:left w:val="single" w:sz="4" w:space="0" w:color="auto"/>
              <w:bottom w:val="single" w:sz="4" w:space="0" w:color="auto"/>
              <w:right w:val="single" w:sz="4" w:space="0" w:color="auto"/>
            </w:tcBorders>
            <w:vAlign w:val="center"/>
            <w:hideMark/>
          </w:tcPr>
          <w:p w14:paraId="34BC3A71"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64,60%</w:t>
            </w:r>
          </w:p>
        </w:tc>
        <w:tc>
          <w:tcPr>
            <w:tcW w:w="1114" w:type="dxa"/>
            <w:tcBorders>
              <w:top w:val="single" w:sz="4" w:space="0" w:color="auto"/>
              <w:left w:val="single" w:sz="4" w:space="0" w:color="auto"/>
              <w:bottom w:val="single" w:sz="4" w:space="0" w:color="auto"/>
              <w:right w:val="single" w:sz="4" w:space="0" w:color="auto"/>
            </w:tcBorders>
            <w:vAlign w:val="center"/>
            <w:hideMark/>
          </w:tcPr>
          <w:p w14:paraId="341ABDF8"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50,78%</w:t>
            </w:r>
          </w:p>
        </w:tc>
        <w:tc>
          <w:tcPr>
            <w:tcW w:w="1252" w:type="dxa"/>
            <w:tcBorders>
              <w:top w:val="single" w:sz="4" w:space="0" w:color="auto"/>
              <w:left w:val="single" w:sz="4" w:space="0" w:color="auto"/>
              <w:bottom w:val="single" w:sz="4" w:space="0" w:color="auto"/>
              <w:right w:val="single" w:sz="4" w:space="0" w:color="auto"/>
            </w:tcBorders>
            <w:vAlign w:val="center"/>
            <w:hideMark/>
          </w:tcPr>
          <w:p w14:paraId="00F6A06D"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56,88%</w:t>
            </w:r>
          </w:p>
        </w:tc>
        <w:tc>
          <w:tcPr>
            <w:tcW w:w="1378" w:type="dxa"/>
            <w:tcBorders>
              <w:top w:val="single" w:sz="4" w:space="0" w:color="auto"/>
              <w:left w:val="single" w:sz="4" w:space="0" w:color="auto"/>
              <w:bottom w:val="single" w:sz="4" w:space="0" w:color="auto"/>
              <w:right w:val="single" w:sz="4" w:space="0" w:color="auto"/>
            </w:tcBorders>
            <w:vAlign w:val="center"/>
          </w:tcPr>
          <w:p w14:paraId="35DE9470" w14:textId="3650E923"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rPr>
              <w:t>56,62%</w:t>
            </w:r>
          </w:p>
        </w:tc>
      </w:tr>
      <w:tr w:rsidR="003331B9" w:rsidRPr="008A5BBD" w14:paraId="49D6A7B0" w14:textId="36F14D6D" w:rsidTr="00111E4D">
        <w:trPr>
          <w:trHeight w:val="219"/>
        </w:trPr>
        <w:tc>
          <w:tcPr>
            <w:tcW w:w="558" w:type="dxa"/>
            <w:tcBorders>
              <w:top w:val="single" w:sz="4" w:space="0" w:color="auto"/>
              <w:left w:val="single" w:sz="4" w:space="0" w:color="auto"/>
              <w:bottom w:val="single" w:sz="4" w:space="0" w:color="auto"/>
              <w:right w:val="single" w:sz="4" w:space="0" w:color="auto"/>
            </w:tcBorders>
          </w:tcPr>
          <w:p w14:paraId="1DD590D1" w14:textId="226C05A3"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5</w:t>
            </w:r>
          </w:p>
        </w:tc>
        <w:tc>
          <w:tcPr>
            <w:tcW w:w="1614" w:type="dxa"/>
            <w:tcBorders>
              <w:top w:val="single" w:sz="4" w:space="0" w:color="auto"/>
              <w:left w:val="single" w:sz="4" w:space="0" w:color="auto"/>
              <w:bottom w:val="single" w:sz="4" w:space="0" w:color="auto"/>
              <w:right w:val="single" w:sz="4" w:space="0" w:color="auto"/>
            </w:tcBorders>
            <w:vAlign w:val="center"/>
            <w:hideMark/>
          </w:tcPr>
          <w:p w14:paraId="7690B3C9" w14:textId="2B71A291" w:rsidR="003331B9" w:rsidRPr="008A5BBD" w:rsidRDefault="003331B9" w:rsidP="00383389">
            <w:pPr>
              <w:spacing w:line="312" w:lineRule="auto"/>
              <w:jc w:val="center"/>
              <w:rPr>
                <w:rFonts w:ascii="Times New Roman" w:hAnsi="Times New Roman" w:cs="Times New Roman"/>
                <w:b/>
                <w:bCs/>
                <w:sz w:val="26"/>
                <w:szCs w:val="26"/>
              </w:rPr>
            </w:pPr>
            <w:r w:rsidRPr="008A5BBD">
              <w:rPr>
                <w:rFonts w:ascii="Times New Roman" w:hAnsi="Times New Roman" w:cs="Times New Roman"/>
                <w:b/>
                <w:bCs/>
                <w:sz w:val="26"/>
                <w:szCs w:val="26"/>
              </w:rPr>
              <w:t>NBC</w:t>
            </w:r>
          </w:p>
        </w:tc>
        <w:tc>
          <w:tcPr>
            <w:tcW w:w="1088" w:type="dxa"/>
            <w:tcBorders>
              <w:top w:val="single" w:sz="4" w:space="0" w:color="auto"/>
              <w:left w:val="single" w:sz="4" w:space="0" w:color="auto"/>
              <w:bottom w:val="single" w:sz="4" w:space="0" w:color="auto"/>
              <w:right w:val="single" w:sz="4" w:space="0" w:color="auto"/>
            </w:tcBorders>
            <w:vAlign w:val="center"/>
            <w:hideMark/>
          </w:tcPr>
          <w:p w14:paraId="284E0DE9"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77,85%</w:t>
            </w:r>
          </w:p>
        </w:tc>
        <w:tc>
          <w:tcPr>
            <w:tcW w:w="1007" w:type="dxa"/>
            <w:tcBorders>
              <w:top w:val="single" w:sz="4" w:space="0" w:color="auto"/>
              <w:left w:val="nil"/>
              <w:bottom w:val="single" w:sz="4" w:space="0" w:color="auto"/>
              <w:right w:val="single" w:sz="4" w:space="0" w:color="auto"/>
            </w:tcBorders>
            <w:vAlign w:val="center"/>
            <w:hideMark/>
          </w:tcPr>
          <w:p w14:paraId="55786475"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75,26%</w:t>
            </w:r>
          </w:p>
        </w:tc>
        <w:tc>
          <w:tcPr>
            <w:tcW w:w="1071" w:type="dxa"/>
            <w:tcBorders>
              <w:top w:val="single" w:sz="4" w:space="0" w:color="auto"/>
              <w:left w:val="nil"/>
              <w:bottom w:val="single" w:sz="4" w:space="0" w:color="auto"/>
              <w:right w:val="single" w:sz="4" w:space="0" w:color="auto"/>
            </w:tcBorders>
            <w:vAlign w:val="center"/>
            <w:hideMark/>
          </w:tcPr>
          <w:p w14:paraId="06B2BAEB"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76,49%</w:t>
            </w:r>
          </w:p>
        </w:tc>
        <w:tc>
          <w:tcPr>
            <w:tcW w:w="1114" w:type="dxa"/>
            <w:tcBorders>
              <w:top w:val="single" w:sz="4" w:space="0" w:color="auto"/>
              <w:left w:val="nil"/>
              <w:bottom w:val="single" w:sz="4" w:space="0" w:color="auto"/>
              <w:right w:val="single" w:sz="4" w:space="0" w:color="auto"/>
            </w:tcBorders>
            <w:vAlign w:val="center"/>
            <w:hideMark/>
          </w:tcPr>
          <w:p w14:paraId="11B977C1" w14:textId="77777777"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sz w:val="26"/>
                <w:szCs w:val="26"/>
              </w:rPr>
              <w:t>63,96%</w:t>
            </w:r>
          </w:p>
        </w:tc>
        <w:tc>
          <w:tcPr>
            <w:tcW w:w="1252" w:type="dxa"/>
            <w:tcBorders>
              <w:top w:val="single" w:sz="4" w:space="0" w:color="auto"/>
              <w:left w:val="nil"/>
              <w:bottom w:val="single" w:sz="4" w:space="0" w:color="auto"/>
              <w:right w:val="single" w:sz="4" w:space="0" w:color="auto"/>
            </w:tcBorders>
            <w:shd w:val="clear" w:color="auto" w:fill="FFFFFF"/>
            <w:vAlign w:val="center"/>
            <w:hideMark/>
          </w:tcPr>
          <w:p w14:paraId="1333EB4D" w14:textId="77777777" w:rsidR="003331B9" w:rsidRPr="008A5BBD" w:rsidRDefault="003331B9" w:rsidP="003331B9">
            <w:pPr>
              <w:spacing w:line="312" w:lineRule="auto"/>
              <w:jc w:val="center"/>
              <w:rPr>
                <w:rFonts w:ascii="Times New Roman" w:hAnsi="Times New Roman" w:cs="Times New Roman"/>
                <w:b/>
                <w:bCs/>
                <w:sz w:val="26"/>
                <w:szCs w:val="26"/>
              </w:rPr>
            </w:pPr>
            <w:r w:rsidRPr="008A5BBD">
              <w:rPr>
                <w:rFonts w:ascii="Times New Roman" w:hAnsi="Times New Roman" w:cs="Times New Roman"/>
                <w:sz w:val="26"/>
                <w:szCs w:val="26"/>
              </w:rPr>
              <w:t>67,73%</w:t>
            </w:r>
          </w:p>
        </w:tc>
        <w:tc>
          <w:tcPr>
            <w:tcW w:w="1378" w:type="dxa"/>
            <w:tcBorders>
              <w:top w:val="single" w:sz="4" w:space="0" w:color="auto"/>
              <w:left w:val="nil"/>
              <w:bottom w:val="single" w:sz="4" w:space="0" w:color="auto"/>
              <w:right w:val="single" w:sz="4" w:space="0" w:color="auto"/>
            </w:tcBorders>
            <w:shd w:val="clear" w:color="auto" w:fill="FFFFFF"/>
            <w:vAlign w:val="center"/>
          </w:tcPr>
          <w:p w14:paraId="6234260A" w14:textId="590CADAB" w:rsidR="003331B9" w:rsidRPr="008A5BBD" w:rsidRDefault="003331B9" w:rsidP="003331B9">
            <w:pPr>
              <w:spacing w:line="312" w:lineRule="auto"/>
              <w:jc w:val="center"/>
              <w:rPr>
                <w:rFonts w:ascii="Times New Roman" w:hAnsi="Times New Roman" w:cs="Times New Roman"/>
                <w:sz w:val="26"/>
                <w:szCs w:val="26"/>
              </w:rPr>
            </w:pPr>
            <w:r w:rsidRPr="008A5BBD">
              <w:rPr>
                <w:rFonts w:ascii="Times New Roman" w:hAnsi="Times New Roman" w:cs="Times New Roman"/>
              </w:rPr>
              <w:t>72,26%</w:t>
            </w:r>
          </w:p>
        </w:tc>
      </w:tr>
    </w:tbl>
    <w:p w14:paraId="08D08CB8" w14:textId="3CF8A7B8" w:rsidR="00222BA7" w:rsidRPr="00973841" w:rsidRDefault="00B1640A" w:rsidP="00973841">
      <w:pPr>
        <w:spacing w:after="160" w:line="278" w:lineRule="auto"/>
        <w:jc w:val="right"/>
        <w:rPr>
          <w:rFonts w:ascii="Times New Roman" w:hAnsi="Times New Roman" w:cs="Times New Roman"/>
          <w:bCs/>
          <w:i/>
          <w:sz w:val="26"/>
          <w:szCs w:val="26"/>
          <w:lang w:val="vi-VN"/>
        </w:rPr>
      </w:pPr>
      <w:r w:rsidRPr="008A5BBD">
        <w:rPr>
          <w:rFonts w:ascii="Times New Roman" w:hAnsi="Times New Roman" w:cs="Times New Roman"/>
          <w:bCs/>
          <w:i/>
          <w:sz w:val="26"/>
          <w:szCs w:val="26"/>
        </w:rPr>
        <w:t>(Nguồn: Tổng hợp từ BCTC các công ty giai đoạn 2019-2023)</w:t>
      </w:r>
    </w:p>
    <w:p w14:paraId="6C10F5A7" w14:textId="4AD8BAD0" w:rsidR="00426BBE" w:rsidRPr="008A5BBD" w:rsidRDefault="00111E4D" w:rsidP="00973841">
      <w:pPr>
        <w:spacing w:line="312" w:lineRule="auto"/>
        <w:jc w:val="both"/>
        <w:rPr>
          <w:rFonts w:ascii="Times New Roman" w:hAnsi="Times New Roman" w:cs="Times New Roman"/>
          <w:color w:val="FF0000"/>
          <w:sz w:val="26"/>
          <w:szCs w:val="26"/>
          <w:lang w:val="vi-VN"/>
        </w:rPr>
      </w:pPr>
      <w:r>
        <w:rPr>
          <w:rFonts w:ascii="Times New Roman" w:hAnsi="Times New Roman" w:cs="Times New Roman"/>
          <w:color w:val="FF0000"/>
          <w:sz w:val="26"/>
          <w:szCs w:val="26"/>
          <w:lang w:val="vi-VN"/>
        </w:rPr>
        <w:t xml:space="preserve">   </w:t>
      </w:r>
      <w:r w:rsidR="00426BBE" w:rsidRPr="008A5BBD">
        <w:rPr>
          <w:noProof/>
          <w:lang w:eastAsia="en-US"/>
        </w:rPr>
        <w:drawing>
          <wp:inline distT="0" distB="0" distL="0" distR="0" wp14:anchorId="7D43D160" wp14:editId="2623C06B">
            <wp:extent cx="5585460" cy="2529840"/>
            <wp:effectExtent l="0" t="0" r="15240" b="3810"/>
            <wp:docPr id="303441598" name="Chart 303441598"/>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367B2B83" w14:textId="55992EBC" w:rsidR="008A5BBD" w:rsidRPr="00F22BA5" w:rsidRDefault="008A5BBD" w:rsidP="00B233B7">
      <w:pPr>
        <w:spacing w:line="312" w:lineRule="auto"/>
        <w:ind w:firstLine="720"/>
        <w:jc w:val="both"/>
        <w:rPr>
          <w:rFonts w:ascii="Times New Roman" w:hAnsi="Times New Roman" w:cs="Times New Roman"/>
          <w:sz w:val="26"/>
          <w:szCs w:val="26"/>
          <w:lang w:val="vi-VN"/>
        </w:rPr>
      </w:pPr>
      <w:r w:rsidRPr="008A5BBD">
        <w:rPr>
          <w:rFonts w:ascii="Times New Roman" w:hAnsi="Times New Roman" w:cs="Times New Roman"/>
          <w:sz w:val="26"/>
          <w:szCs w:val="26"/>
          <w:lang w:val="vi-VN"/>
        </w:rPr>
        <w:lastRenderedPageBreak/>
        <w:t xml:space="preserve">Tỷ suất đầu tư vào tài sản dài hạn của các </w:t>
      </w:r>
      <w:r w:rsidR="00D0499A" w:rsidRPr="00F22BA5">
        <w:rPr>
          <w:rFonts w:ascii="Times New Roman" w:hAnsi="Times New Roman" w:cs="Times New Roman"/>
          <w:sz w:val="26"/>
          <w:szCs w:val="26"/>
          <w:lang w:val="vi-VN"/>
        </w:rPr>
        <w:t>CTCP</w:t>
      </w:r>
      <w:r w:rsidRPr="008A5BBD">
        <w:rPr>
          <w:rFonts w:ascii="Times New Roman" w:hAnsi="Times New Roman" w:cs="Times New Roman"/>
          <w:sz w:val="26"/>
          <w:szCs w:val="26"/>
          <w:lang w:val="vi-VN"/>
        </w:rPr>
        <w:t xml:space="preserve"> than </w:t>
      </w:r>
      <w:r w:rsidR="00D0499A" w:rsidRPr="00F22BA5">
        <w:rPr>
          <w:rFonts w:ascii="Times New Roman" w:hAnsi="Times New Roman" w:cs="Times New Roman"/>
          <w:sz w:val="26"/>
          <w:szCs w:val="26"/>
          <w:lang w:val="vi-VN"/>
        </w:rPr>
        <w:t xml:space="preserve">cho thấy trong cơ cấu tài sản thì trung bình các công ty dành đầu tư tới khoảng 60% cho tài sản dài hạn. Nếu xét theo từng năm thì CTCP </w:t>
      </w:r>
      <w:r w:rsidR="00D0499A" w:rsidRPr="008A5BBD">
        <w:rPr>
          <w:rFonts w:ascii="Times New Roman" w:hAnsi="Times New Roman" w:cs="Times New Roman"/>
          <w:sz w:val="26"/>
          <w:szCs w:val="26"/>
          <w:lang w:val="vi-VN"/>
        </w:rPr>
        <w:t>Than Hà Lầm có tỷ lệ đầu tư vào tài sản dài hạn cao nhấ</w:t>
      </w:r>
      <w:r w:rsidR="00D0499A">
        <w:rPr>
          <w:rFonts w:ascii="Times New Roman" w:hAnsi="Times New Roman" w:cs="Times New Roman"/>
          <w:sz w:val="26"/>
          <w:szCs w:val="26"/>
          <w:lang w:val="vi-VN"/>
        </w:rPr>
        <w:t>t (93,57%)</w:t>
      </w:r>
      <w:r w:rsidR="00D0499A" w:rsidRPr="00F22BA5">
        <w:rPr>
          <w:rFonts w:ascii="Times New Roman" w:hAnsi="Times New Roman" w:cs="Times New Roman"/>
          <w:sz w:val="26"/>
          <w:szCs w:val="26"/>
          <w:lang w:val="vi-VN"/>
        </w:rPr>
        <w:t xml:space="preserve"> ở thời điểm cuối năm 2019 và thấp nhất là CTCP Than Hà Tu (57,78%).</w:t>
      </w:r>
      <w:r w:rsidR="00D0499A" w:rsidRPr="008A5BBD">
        <w:rPr>
          <w:rFonts w:ascii="Times New Roman" w:hAnsi="Times New Roman" w:cs="Times New Roman"/>
          <w:sz w:val="26"/>
          <w:szCs w:val="26"/>
          <w:lang w:val="vi-VN"/>
        </w:rPr>
        <w:t xml:space="preserve"> </w:t>
      </w:r>
      <w:r w:rsidR="00D0499A" w:rsidRPr="00D0499A">
        <w:rPr>
          <w:rFonts w:ascii="Times New Roman" w:hAnsi="Times New Roman" w:cs="Times New Roman"/>
          <w:iCs/>
          <w:sz w:val="26"/>
          <w:szCs w:val="26"/>
          <w:lang w:val="vi-VN"/>
        </w:rPr>
        <w:t>Năm 2020-</w:t>
      </w:r>
      <w:r w:rsidR="00D0499A">
        <w:rPr>
          <w:rFonts w:ascii="Times New Roman" w:hAnsi="Times New Roman" w:cs="Times New Roman"/>
          <w:iCs/>
          <w:sz w:val="26"/>
          <w:szCs w:val="26"/>
          <w:lang w:val="vi-VN"/>
        </w:rPr>
        <w:t>202</w:t>
      </w:r>
      <w:r w:rsidR="00D0499A" w:rsidRPr="00F22BA5">
        <w:rPr>
          <w:rFonts w:ascii="Times New Roman" w:hAnsi="Times New Roman" w:cs="Times New Roman"/>
          <w:iCs/>
          <w:sz w:val="26"/>
          <w:szCs w:val="26"/>
          <w:lang w:val="vi-VN"/>
        </w:rPr>
        <w:t>2, c</w:t>
      </w:r>
      <w:r w:rsidR="00D0499A" w:rsidRPr="00D0499A">
        <w:rPr>
          <w:rFonts w:ascii="Times New Roman" w:hAnsi="Times New Roman" w:cs="Times New Roman"/>
          <w:sz w:val="26"/>
          <w:szCs w:val="26"/>
          <w:lang w:val="vi-VN"/>
        </w:rPr>
        <w:t xml:space="preserve">ác công ty đều có xu hướng giảm tỷ trọng tài sản dài hạn. Đây </w:t>
      </w:r>
      <w:r w:rsidR="00D0499A" w:rsidRPr="00F22BA5">
        <w:rPr>
          <w:rFonts w:ascii="Times New Roman" w:hAnsi="Times New Roman" w:cs="Times New Roman"/>
          <w:sz w:val="26"/>
          <w:szCs w:val="26"/>
          <w:lang w:val="vi-VN"/>
        </w:rPr>
        <w:t>cũng là những năm các công ty chịu tác động</w:t>
      </w:r>
      <w:r w:rsidR="00D0499A" w:rsidRPr="008A5BBD">
        <w:rPr>
          <w:rFonts w:ascii="Times New Roman" w:hAnsi="Times New Roman" w:cs="Times New Roman"/>
          <w:sz w:val="26"/>
          <w:szCs w:val="26"/>
          <w:lang w:val="vi-VN"/>
        </w:rPr>
        <w:t xml:space="preserve"> từ đại dịch COVID-19</w:t>
      </w:r>
      <w:r w:rsidR="00D0499A" w:rsidRPr="00F22BA5">
        <w:rPr>
          <w:rFonts w:ascii="Times New Roman" w:hAnsi="Times New Roman" w:cs="Times New Roman"/>
          <w:sz w:val="26"/>
          <w:szCs w:val="26"/>
          <w:lang w:val="vi-VN"/>
        </w:rPr>
        <w:t xml:space="preserve"> buộc phải giảm mức độ đầu tư tài sản dài hạn nên tỷ lệ đầu tư tài sản dài hạn nhìn chung khá thấp, thấp nhất ở </w:t>
      </w:r>
      <w:r w:rsidR="00D0499A" w:rsidRPr="008A5BBD">
        <w:rPr>
          <w:rFonts w:ascii="Times New Roman" w:hAnsi="Times New Roman" w:cs="Times New Roman"/>
          <w:sz w:val="26"/>
          <w:szCs w:val="26"/>
          <w:lang w:val="vi-VN"/>
        </w:rPr>
        <w:t xml:space="preserve"> </w:t>
      </w:r>
      <w:r w:rsidR="00D0499A" w:rsidRPr="00F22BA5">
        <w:rPr>
          <w:rFonts w:ascii="Times New Roman" w:hAnsi="Times New Roman" w:cs="Times New Roman"/>
          <w:sz w:val="26"/>
          <w:szCs w:val="26"/>
          <w:lang w:val="vi-VN"/>
        </w:rPr>
        <w:t xml:space="preserve">là </w:t>
      </w:r>
      <w:r w:rsidR="00D0499A" w:rsidRPr="008A5BBD">
        <w:rPr>
          <w:rFonts w:ascii="Times New Roman" w:hAnsi="Times New Roman" w:cs="Times New Roman"/>
          <w:sz w:val="26"/>
          <w:szCs w:val="26"/>
          <w:lang w:val="vi-VN"/>
        </w:rPr>
        <w:t xml:space="preserve"> </w:t>
      </w:r>
      <w:r w:rsidR="00D0499A" w:rsidRPr="00F22BA5">
        <w:rPr>
          <w:rFonts w:ascii="Times New Roman" w:hAnsi="Times New Roman" w:cs="Times New Roman"/>
          <w:sz w:val="26"/>
          <w:szCs w:val="26"/>
          <w:lang w:val="vi-VN"/>
        </w:rPr>
        <w:t xml:space="preserve">CTCP </w:t>
      </w:r>
      <w:r w:rsidR="00D0499A" w:rsidRPr="008A5BBD">
        <w:rPr>
          <w:rFonts w:ascii="Times New Roman" w:hAnsi="Times New Roman" w:cs="Times New Roman"/>
          <w:sz w:val="26"/>
          <w:szCs w:val="26"/>
          <w:lang w:val="vi-VN"/>
        </w:rPr>
        <w:t>Than Vàng Danh</w:t>
      </w:r>
      <w:r w:rsidR="00D0499A" w:rsidRPr="00F22BA5">
        <w:rPr>
          <w:rFonts w:ascii="Times New Roman" w:hAnsi="Times New Roman" w:cs="Times New Roman"/>
          <w:sz w:val="26"/>
          <w:szCs w:val="26"/>
          <w:lang w:val="vi-VN"/>
        </w:rPr>
        <w:t xml:space="preserve"> (40,38%)</w:t>
      </w:r>
      <w:r w:rsidR="00D0499A" w:rsidRPr="008A5BBD">
        <w:rPr>
          <w:rFonts w:ascii="Times New Roman" w:hAnsi="Times New Roman" w:cs="Times New Roman"/>
          <w:sz w:val="26"/>
          <w:szCs w:val="26"/>
          <w:lang w:val="vi-VN"/>
        </w:rPr>
        <w:t xml:space="preserve"> và </w:t>
      </w:r>
      <w:r w:rsidR="00D0499A" w:rsidRPr="00F22BA5">
        <w:rPr>
          <w:rFonts w:ascii="Times New Roman" w:hAnsi="Times New Roman" w:cs="Times New Roman"/>
          <w:sz w:val="26"/>
          <w:szCs w:val="26"/>
          <w:lang w:val="vi-VN"/>
        </w:rPr>
        <w:t xml:space="preserve">CTCP </w:t>
      </w:r>
      <w:r w:rsidR="00D0499A" w:rsidRPr="008A5BBD">
        <w:rPr>
          <w:rFonts w:ascii="Times New Roman" w:hAnsi="Times New Roman" w:cs="Times New Roman"/>
          <w:sz w:val="26"/>
          <w:szCs w:val="26"/>
          <w:lang w:val="vi-VN"/>
        </w:rPr>
        <w:t xml:space="preserve">Than </w:t>
      </w:r>
      <w:r w:rsidR="00D0499A" w:rsidRPr="00F22BA5">
        <w:rPr>
          <w:rFonts w:ascii="Times New Roman" w:hAnsi="Times New Roman" w:cs="Times New Roman"/>
          <w:sz w:val="26"/>
          <w:szCs w:val="26"/>
          <w:lang w:val="vi-VN"/>
        </w:rPr>
        <w:t xml:space="preserve">Mông Dương (47,53%). Tỷ trọng đầu tư tài sản dài hạn giảm cho thấy sự thu hẹp quy mô tài sản dài hạn của các công ty. Với đặc thù của các doanh nghiệp khai thác than luôn có tỷ trọng tài sản dài hạn lớn thì tỷ suất đầu tư tài sản dài hạn giảm </w:t>
      </w:r>
      <w:r w:rsidR="00B233B7" w:rsidRPr="00F22BA5">
        <w:rPr>
          <w:rFonts w:ascii="Times New Roman" w:hAnsi="Times New Roman" w:cs="Times New Roman"/>
          <w:sz w:val="26"/>
          <w:szCs w:val="26"/>
          <w:lang w:val="vi-VN"/>
        </w:rPr>
        <w:t>mạnh cho thấy cơ cấu đầu tư tài sản chưa hợp lý. Điều này có thể dẫn tới giảm năng lực khai thác tại các đơn vị này từ đó tác động tới hiệu quả hoạt động cũng như khả năng sinh lời của các công ty.</w:t>
      </w:r>
    </w:p>
    <w:p w14:paraId="07082AAE" w14:textId="4D681DAB" w:rsidR="00222BA7" w:rsidRPr="00B564BE" w:rsidRDefault="00222BA7" w:rsidP="005B0517">
      <w:pPr>
        <w:pStyle w:val="Heading3"/>
        <w:rPr>
          <w:lang w:val="vi-VN"/>
        </w:rPr>
      </w:pPr>
      <w:bookmarkStart w:id="208" w:name="_Toc197781181"/>
      <w:bookmarkStart w:id="209" w:name="_Toc197781464"/>
      <w:bookmarkStart w:id="210" w:name="_Toc198284839"/>
      <w:bookmarkStart w:id="211" w:name="_Toc198709991"/>
      <w:r w:rsidRPr="00B564BE">
        <w:rPr>
          <w:lang w:val="vi-VN"/>
        </w:rPr>
        <w:t>2.3.3. Hiệu suất hoạt động</w:t>
      </w:r>
      <w:bookmarkEnd w:id="208"/>
      <w:bookmarkEnd w:id="209"/>
      <w:bookmarkEnd w:id="210"/>
      <w:r w:rsidR="007541B0">
        <w:rPr>
          <w:lang w:val="vi-VN"/>
        </w:rPr>
        <w:t xml:space="preserve"> của các công ty</w:t>
      </w:r>
      <w:bookmarkEnd w:id="211"/>
    </w:p>
    <w:p w14:paraId="5F5A0F0E" w14:textId="068938A5" w:rsidR="00222BA7" w:rsidRPr="00EC6124" w:rsidRDefault="00DA4446" w:rsidP="008A5BBD">
      <w:pPr>
        <w:pStyle w:val="p3"/>
      </w:pPr>
      <w:bookmarkStart w:id="212" w:name="_Toc197781182"/>
      <w:bookmarkStart w:id="213" w:name="_Toc197781465"/>
      <w:bookmarkStart w:id="214" w:name="_Toc198281675"/>
      <w:bookmarkStart w:id="215" w:name="_Toc198284460"/>
      <w:bookmarkStart w:id="216" w:name="_Toc198284840"/>
      <w:bookmarkStart w:id="217" w:name="_Toc198709992"/>
      <w:r w:rsidRPr="00F22BA5">
        <w:t>+</w:t>
      </w:r>
      <w:r w:rsidR="00222BA7" w:rsidRPr="00EC6124">
        <w:t xml:space="preserve"> Vòng quay hàng tồn kho</w:t>
      </w:r>
      <w:bookmarkEnd w:id="212"/>
      <w:bookmarkEnd w:id="213"/>
      <w:bookmarkEnd w:id="214"/>
      <w:bookmarkEnd w:id="215"/>
      <w:bookmarkEnd w:id="216"/>
      <w:bookmarkEnd w:id="217"/>
    </w:p>
    <w:p w14:paraId="1D006E9E" w14:textId="770A6039" w:rsidR="00222BA7" w:rsidRDefault="00222BA7" w:rsidP="00222BA7">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Vòng quay hàng tồn kho giúp đánh giá hiệu quả trong việc quản lý và tiêu thụ hàng hóa, đặc biệt là than và khoáng sản – những sản phẩm chủ lực có giá trị lớn và chịu ảnh hưởng bởi biến động thị trường. Chỉ tiêu này cho biết tốc độ luân chuyển hàng tồn kho trong kỳ, từ đó giúp công ty xác định khả năng chuyển hàng hóa thành doanh thu. Vòng quay hàng tồn kho hợp lý giúp giảm chi phí lưu kho, tránh tồn đọng vốn và rủi ro giảm giá trị hàng hóa, đồng thời cải thiện dòng tiền và hiệu quả kinh doanh</w:t>
      </w:r>
      <w:r w:rsidR="009C63E9" w:rsidRPr="00F22BA5">
        <w:rPr>
          <w:rFonts w:ascii="Times New Roman" w:hAnsi="Times New Roman" w:cs="Times New Roman"/>
          <w:sz w:val="26"/>
          <w:szCs w:val="26"/>
          <w:lang w:val="vi-VN"/>
        </w:rPr>
        <w:t xml:space="preserve"> qua đó nâng cao khả năng an toàn tài chính của doanh nghiệp</w:t>
      </w:r>
      <w:r w:rsidRPr="00AF3D5D">
        <w:rPr>
          <w:rFonts w:ascii="Times New Roman" w:hAnsi="Times New Roman" w:cs="Times New Roman"/>
          <w:sz w:val="26"/>
          <w:szCs w:val="26"/>
          <w:lang w:val="vi-VN"/>
        </w:rPr>
        <w:t>.</w:t>
      </w:r>
    </w:p>
    <w:p w14:paraId="799B0DA5" w14:textId="3F621CAC" w:rsidR="00222BA7" w:rsidRDefault="00222BA7" w:rsidP="00222BA7">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 xml:space="preserve">Bảng </w:t>
      </w:r>
      <w:r w:rsidR="00621F59" w:rsidRPr="00F22BA5">
        <w:rPr>
          <w:rFonts w:ascii="Times New Roman" w:hAnsi="Times New Roman" w:cs="Times New Roman"/>
          <w:b/>
          <w:sz w:val="26"/>
          <w:szCs w:val="26"/>
          <w:lang w:val="vi-VN"/>
        </w:rPr>
        <w:t>2.11</w:t>
      </w:r>
      <w:r w:rsidRPr="0002299B">
        <w:rPr>
          <w:rFonts w:ascii="Times New Roman" w:hAnsi="Times New Roman" w:cs="Times New Roman"/>
          <w:b/>
          <w:sz w:val="26"/>
          <w:szCs w:val="26"/>
          <w:lang w:val="vi-VN"/>
        </w:rPr>
        <w:t xml:space="preserve">. </w:t>
      </w:r>
      <w:r>
        <w:rPr>
          <w:rFonts w:ascii="Times New Roman" w:hAnsi="Times New Roman" w:cs="Times New Roman"/>
          <w:b/>
          <w:sz w:val="26"/>
          <w:szCs w:val="26"/>
          <w:lang w:val="vi-VN"/>
        </w:rPr>
        <w:t xml:space="preserve">Vòng quay hàng tồn kho </w:t>
      </w:r>
      <w:r w:rsidRPr="0002299B">
        <w:rPr>
          <w:rFonts w:ascii="Times New Roman" w:hAnsi="Times New Roman" w:cs="Times New Roman"/>
          <w:b/>
          <w:sz w:val="26"/>
          <w:szCs w:val="26"/>
          <w:lang w:val="vi-VN"/>
        </w:rPr>
        <w:t xml:space="preserve">của các CTCP niêm yết </w:t>
      </w:r>
    </w:p>
    <w:p w14:paraId="2F8070E1" w14:textId="1DD679FC" w:rsidR="00383389" w:rsidRPr="00222BA7" w:rsidRDefault="00222BA7" w:rsidP="00656441">
      <w:pPr>
        <w:spacing w:line="312" w:lineRule="auto"/>
        <w:ind w:firstLine="720"/>
        <w:jc w:val="center"/>
        <w:rPr>
          <w:rFonts w:ascii="Times New Roman" w:hAnsi="Times New Roman" w:cs="Times New Roman"/>
          <w:b/>
          <w:sz w:val="26"/>
          <w:szCs w:val="26"/>
          <w:lang w:val="vi-VN"/>
        </w:rPr>
      </w:pPr>
      <w:r w:rsidRPr="0002299B">
        <w:rPr>
          <w:rFonts w:ascii="Times New Roman" w:hAnsi="Times New Roman" w:cs="Times New Roman"/>
          <w:b/>
          <w:sz w:val="26"/>
          <w:szCs w:val="26"/>
          <w:lang w:val="vi-VN"/>
        </w:rPr>
        <w:t>thuộc TKV</w:t>
      </w:r>
      <w:r>
        <w:rPr>
          <w:rFonts w:ascii="Times New Roman" w:hAnsi="Times New Roman" w:cs="Times New Roman"/>
          <w:b/>
          <w:sz w:val="26"/>
          <w:szCs w:val="26"/>
          <w:lang w:val="vi-VN"/>
        </w:rPr>
        <w:t xml:space="preserve"> giai đoạn 2019 – 2023</w:t>
      </w:r>
    </w:p>
    <w:tbl>
      <w:tblPr>
        <w:tblStyle w:val="TableGrid"/>
        <w:tblW w:w="8582" w:type="dxa"/>
        <w:tblInd w:w="279" w:type="dxa"/>
        <w:tblLook w:val="04A0" w:firstRow="1" w:lastRow="0" w:firstColumn="1" w:lastColumn="0" w:noHBand="0" w:noVBand="1"/>
      </w:tblPr>
      <w:tblGrid>
        <w:gridCol w:w="709"/>
        <w:gridCol w:w="1422"/>
        <w:gridCol w:w="959"/>
        <w:gridCol w:w="1031"/>
        <w:gridCol w:w="1031"/>
        <w:gridCol w:w="1031"/>
        <w:gridCol w:w="1031"/>
        <w:gridCol w:w="1368"/>
      </w:tblGrid>
      <w:tr w:rsidR="004A1CD3" w:rsidRPr="001909AC" w14:paraId="47388A08" w14:textId="77777777" w:rsidTr="00383389">
        <w:trPr>
          <w:trHeight w:val="248"/>
        </w:trPr>
        <w:tc>
          <w:tcPr>
            <w:tcW w:w="709" w:type="dxa"/>
            <w:tcBorders>
              <w:top w:val="single" w:sz="4" w:space="0" w:color="auto"/>
              <w:left w:val="single" w:sz="4" w:space="0" w:color="auto"/>
              <w:bottom w:val="single" w:sz="4" w:space="0" w:color="auto"/>
              <w:right w:val="single" w:sz="4" w:space="0" w:color="auto"/>
            </w:tcBorders>
          </w:tcPr>
          <w:p w14:paraId="7EE09BE6" w14:textId="79CBAE53" w:rsidR="004A1CD3" w:rsidRPr="001909AC" w:rsidRDefault="004A1CD3" w:rsidP="008344F6">
            <w:pPr>
              <w:spacing w:after="160" w:line="259" w:lineRule="auto"/>
              <w:jc w:val="center"/>
              <w:rPr>
                <w:rFonts w:ascii="Times New Roman" w:hAnsi="Times New Roman" w:cs="Times New Roman"/>
                <w:b/>
                <w:bCs/>
              </w:rPr>
            </w:pPr>
            <w:r>
              <w:rPr>
                <w:rFonts w:ascii="Times New Roman" w:hAnsi="Times New Roman" w:cs="Times New Roman"/>
                <w:b/>
                <w:bCs/>
              </w:rPr>
              <w:t>TT</w:t>
            </w:r>
          </w:p>
        </w:tc>
        <w:tc>
          <w:tcPr>
            <w:tcW w:w="1422" w:type="dxa"/>
            <w:tcBorders>
              <w:top w:val="single" w:sz="4" w:space="0" w:color="auto"/>
              <w:left w:val="single" w:sz="4" w:space="0" w:color="auto"/>
              <w:bottom w:val="single" w:sz="4" w:space="0" w:color="auto"/>
              <w:right w:val="single" w:sz="4" w:space="0" w:color="auto"/>
            </w:tcBorders>
            <w:vAlign w:val="center"/>
            <w:hideMark/>
          </w:tcPr>
          <w:p w14:paraId="4055736C" w14:textId="4E3A610C" w:rsidR="004A1CD3" w:rsidRPr="001909AC" w:rsidRDefault="0031049D"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Công ty</w:t>
            </w:r>
          </w:p>
        </w:tc>
        <w:tc>
          <w:tcPr>
            <w:tcW w:w="959" w:type="dxa"/>
            <w:tcBorders>
              <w:top w:val="single" w:sz="4" w:space="0" w:color="auto"/>
              <w:left w:val="single" w:sz="4" w:space="0" w:color="auto"/>
              <w:bottom w:val="single" w:sz="4" w:space="0" w:color="auto"/>
              <w:right w:val="single" w:sz="4" w:space="0" w:color="auto"/>
            </w:tcBorders>
            <w:vAlign w:val="center"/>
            <w:hideMark/>
          </w:tcPr>
          <w:p w14:paraId="2939D1A6" w14:textId="77777777" w:rsidR="004A1CD3" w:rsidRPr="001909AC" w:rsidRDefault="004A1CD3"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2019</w:t>
            </w:r>
          </w:p>
        </w:tc>
        <w:tc>
          <w:tcPr>
            <w:tcW w:w="1031" w:type="dxa"/>
            <w:tcBorders>
              <w:top w:val="single" w:sz="4" w:space="0" w:color="auto"/>
              <w:left w:val="single" w:sz="4" w:space="0" w:color="auto"/>
              <w:bottom w:val="single" w:sz="4" w:space="0" w:color="auto"/>
              <w:right w:val="single" w:sz="4" w:space="0" w:color="auto"/>
            </w:tcBorders>
            <w:vAlign w:val="center"/>
            <w:hideMark/>
          </w:tcPr>
          <w:p w14:paraId="2A2CA353" w14:textId="77777777" w:rsidR="004A1CD3" w:rsidRPr="001909AC" w:rsidRDefault="004A1CD3"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2020</w:t>
            </w:r>
          </w:p>
        </w:tc>
        <w:tc>
          <w:tcPr>
            <w:tcW w:w="1031" w:type="dxa"/>
            <w:tcBorders>
              <w:top w:val="single" w:sz="4" w:space="0" w:color="auto"/>
              <w:left w:val="single" w:sz="4" w:space="0" w:color="auto"/>
              <w:bottom w:val="single" w:sz="4" w:space="0" w:color="auto"/>
              <w:right w:val="single" w:sz="4" w:space="0" w:color="auto"/>
            </w:tcBorders>
            <w:vAlign w:val="center"/>
            <w:hideMark/>
          </w:tcPr>
          <w:p w14:paraId="0D826EB6" w14:textId="77777777" w:rsidR="004A1CD3" w:rsidRPr="001909AC" w:rsidRDefault="004A1CD3"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2021</w:t>
            </w:r>
          </w:p>
        </w:tc>
        <w:tc>
          <w:tcPr>
            <w:tcW w:w="1031" w:type="dxa"/>
            <w:tcBorders>
              <w:top w:val="single" w:sz="4" w:space="0" w:color="auto"/>
              <w:left w:val="single" w:sz="4" w:space="0" w:color="auto"/>
              <w:bottom w:val="single" w:sz="4" w:space="0" w:color="auto"/>
              <w:right w:val="single" w:sz="4" w:space="0" w:color="auto"/>
            </w:tcBorders>
            <w:vAlign w:val="center"/>
            <w:hideMark/>
          </w:tcPr>
          <w:p w14:paraId="5FDE0180" w14:textId="77777777" w:rsidR="004A1CD3" w:rsidRPr="001909AC" w:rsidRDefault="004A1CD3"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2022</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2EC6CFB" w14:textId="77777777" w:rsidR="004A1CD3" w:rsidRPr="001909AC" w:rsidRDefault="004A1CD3"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2023</w:t>
            </w:r>
          </w:p>
        </w:tc>
        <w:tc>
          <w:tcPr>
            <w:tcW w:w="1368" w:type="dxa"/>
            <w:tcBorders>
              <w:top w:val="single" w:sz="4" w:space="0" w:color="auto"/>
              <w:left w:val="single" w:sz="4" w:space="0" w:color="auto"/>
              <w:bottom w:val="single" w:sz="4" w:space="0" w:color="auto"/>
              <w:right w:val="single" w:sz="4" w:space="0" w:color="auto"/>
            </w:tcBorders>
          </w:tcPr>
          <w:p w14:paraId="231DBF17" w14:textId="77777777" w:rsidR="004A1CD3" w:rsidRPr="006220CA" w:rsidRDefault="004A1CD3" w:rsidP="00897A44">
            <w:pPr>
              <w:jc w:val="center"/>
              <w:rPr>
                <w:rFonts w:ascii="Times New Roman" w:hAnsi="Times New Roman" w:cs="Times New Roman"/>
                <w:b/>
                <w:bCs/>
              </w:rPr>
            </w:pPr>
            <w:r>
              <w:rPr>
                <w:rFonts w:ascii="Times New Roman" w:hAnsi="Times New Roman" w:cs="Times New Roman"/>
                <w:b/>
                <w:bCs/>
              </w:rPr>
              <w:t>Bình quân</w:t>
            </w:r>
          </w:p>
        </w:tc>
      </w:tr>
      <w:tr w:rsidR="005D1700" w:rsidRPr="001909AC" w14:paraId="2B779ACD" w14:textId="77777777" w:rsidTr="00383389">
        <w:trPr>
          <w:trHeight w:val="268"/>
        </w:trPr>
        <w:tc>
          <w:tcPr>
            <w:tcW w:w="709" w:type="dxa"/>
            <w:tcBorders>
              <w:top w:val="single" w:sz="4" w:space="0" w:color="auto"/>
              <w:left w:val="single" w:sz="4" w:space="0" w:color="auto"/>
              <w:bottom w:val="single" w:sz="4" w:space="0" w:color="auto"/>
              <w:right w:val="single" w:sz="4" w:space="0" w:color="auto"/>
            </w:tcBorders>
          </w:tcPr>
          <w:p w14:paraId="1AA8DB79" w14:textId="5C884E1B"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1</w:t>
            </w:r>
          </w:p>
        </w:tc>
        <w:tc>
          <w:tcPr>
            <w:tcW w:w="1422" w:type="dxa"/>
            <w:tcBorders>
              <w:top w:val="single" w:sz="4" w:space="0" w:color="auto"/>
              <w:left w:val="single" w:sz="4" w:space="0" w:color="auto"/>
              <w:bottom w:val="single" w:sz="4" w:space="0" w:color="auto"/>
              <w:right w:val="single" w:sz="4" w:space="0" w:color="auto"/>
            </w:tcBorders>
            <w:vAlign w:val="center"/>
            <w:hideMark/>
          </w:tcPr>
          <w:p w14:paraId="5F1422FB" w14:textId="0138CBF3" w:rsidR="005D1700" w:rsidRPr="001909AC" w:rsidRDefault="005D1700"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TVD</w:t>
            </w:r>
          </w:p>
        </w:tc>
        <w:tc>
          <w:tcPr>
            <w:tcW w:w="959" w:type="dxa"/>
            <w:tcBorders>
              <w:top w:val="single" w:sz="4" w:space="0" w:color="auto"/>
              <w:left w:val="single" w:sz="4" w:space="0" w:color="auto"/>
              <w:bottom w:val="single" w:sz="4" w:space="0" w:color="auto"/>
              <w:right w:val="single" w:sz="4" w:space="0" w:color="auto"/>
            </w:tcBorders>
            <w:vAlign w:val="center"/>
            <w:hideMark/>
          </w:tcPr>
          <w:p w14:paraId="228EDB5D"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28,13</w:t>
            </w:r>
          </w:p>
        </w:tc>
        <w:tc>
          <w:tcPr>
            <w:tcW w:w="1031" w:type="dxa"/>
            <w:tcBorders>
              <w:top w:val="single" w:sz="4" w:space="0" w:color="auto"/>
              <w:left w:val="single" w:sz="4" w:space="0" w:color="auto"/>
              <w:bottom w:val="single" w:sz="4" w:space="0" w:color="auto"/>
              <w:right w:val="single" w:sz="4" w:space="0" w:color="auto"/>
            </w:tcBorders>
            <w:vAlign w:val="center"/>
            <w:hideMark/>
          </w:tcPr>
          <w:p w14:paraId="5D825301"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11,58</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BB72D7E"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12,42</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D593CB2"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17,85</w:t>
            </w:r>
          </w:p>
        </w:tc>
        <w:tc>
          <w:tcPr>
            <w:tcW w:w="1031" w:type="dxa"/>
            <w:tcBorders>
              <w:top w:val="single" w:sz="4" w:space="0" w:color="auto"/>
              <w:left w:val="single" w:sz="4" w:space="0" w:color="auto"/>
              <w:bottom w:val="single" w:sz="4" w:space="0" w:color="auto"/>
              <w:right w:val="single" w:sz="4" w:space="0" w:color="auto"/>
            </w:tcBorders>
            <w:vAlign w:val="center"/>
            <w:hideMark/>
          </w:tcPr>
          <w:p w14:paraId="137A77AC"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26,79</w:t>
            </w:r>
          </w:p>
        </w:tc>
        <w:tc>
          <w:tcPr>
            <w:tcW w:w="1368" w:type="dxa"/>
            <w:tcBorders>
              <w:top w:val="single" w:sz="4" w:space="0" w:color="auto"/>
              <w:left w:val="single" w:sz="4" w:space="0" w:color="auto"/>
              <w:bottom w:val="single" w:sz="4" w:space="0" w:color="auto"/>
              <w:right w:val="single" w:sz="4" w:space="0" w:color="auto"/>
            </w:tcBorders>
            <w:vAlign w:val="center"/>
          </w:tcPr>
          <w:p w14:paraId="5C4DB077" w14:textId="77777777" w:rsidR="005D1700" w:rsidRPr="004A1CD3" w:rsidRDefault="005D1700" w:rsidP="005D1700">
            <w:pPr>
              <w:jc w:val="center"/>
              <w:rPr>
                <w:rFonts w:ascii="Times New Roman" w:hAnsi="Times New Roman" w:cs="Times New Roman"/>
                <w:lang w:val="vi-VN"/>
              </w:rPr>
            </w:pPr>
            <w:r>
              <w:rPr>
                <w:rFonts w:ascii="Times New Roman" w:hAnsi="Times New Roman" w:cs="Times New Roman"/>
              </w:rPr>
              <w:t>19,35</w:t>
            </w:r>
          </w:p>
        </w:tc>
      </w:tr>
      <w:tr w:rsidR="005D1700" w:rsidRPr="001909AC" w14:paraId="410FD445" w14:textId="77777777" w:rsidTr="00383389">
        <w:trPr>
          <w:trHeight w:val="248"/>
        </w:trPr>
        <w:tc>
          <w:tcPr>
            <w:tcW w:w="709" w:type="dxa"/>
            <w:tcBorders>
              <w:top w:val="single" w:sz="4" w:space="0" w:color="auto"/>
              <w:left w:val="single" w:sz="4" w:space="0" w:color="auto"/>
              <w:bottom w:val="single" w:sz="4" w:space="0" w:color="auto"/>
              <w:right w:val="single" w:sz="4" w:space="0" w:color="auto"/>
            </w:tcBorders>
          </w:tcPr>
          <w:p w14:paraId="06A7A2B3" w14:textId="714AB3DB"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2</w:t>
            </w:r>
          </w:p>
        </w:tc>
        <w:tc>
          <w:tcPr>
            <w:tcW w:w="1422" w:type="dxa"/>
            <w:tcBorders>
              <w:top w:val="single" w:sz="4" w:space="0" w:color="auto"/>
              <w:left w:val="single" w:sz="4" w:space="0" w:color="auto"/>
              <w:bottom w:val="single" w:sz="4" w:space="0" w:color="auto"/>
              <w:right w:val="single" w:sz="4" w:space="0" w:color="auto"/>
            </w:tcBorders>
            <w:vAlign w:val="center"/>
            <w:hideMark/>
          </w:tcPr>
          <w:p w14:paraId="267A6E96" w14:textId="1F19060A" w:rsidR="005D1700" w:rsidRPr="001909AC" w:rsidRDefault="005D1700"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MDC</w:t>
            </w:r>
          </w:p>
        </w:tc>
        <w:tc>
          <w:tcPr>
            <w:tcW w:w="959" w:type="dxa"/>
            <w:tcBorders>
              <w:top w:val="single" w:sz="4" w:space="0" w:color="auto"/>
              <w:left w:val="single" w:sz="4" w:space="0" w:color="auto"/>
              <w:bottom w:val="single" w:sz="4" w:space="0" w:color="auto"/>
              <w:right w:val="single" w:sz="4" w:space="0" w:color="auto"/>
            </w:tcBorders>
            <w:vAlign w:val="center"/>
            <w:hideMark/>
          </w:tcPr>
          <w:p w14:paraId="41F1283D"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44,94</w:t>
            </w:r>
          </w:p>
        </w:tc>
        <w:tc>
          <w:tcPr>
            <w:tcW w:w="1031" w:type="dxa"/>
            <w:tcBorders>
              <w:top w:val="single" w:sz="4" w:space="0" w:color="auto"/>
              <w:left w:val="nil"/>
              <w:bottom w:val="single" w:sz="4" w:space="0" w:color="auto"/>
              <w:right w:val="single" w:sz="4" w:space="0" w:color="auto"/>
            </w:tcBorders>
            <w:vAlign w:val="center"/>
            <w:hideMark/>
          </w:tcPr>
          <w:p w14:paraId="5BA18B65"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79,63</w:t>
            </w:r>
          </w:p>
        </w:tc>
        <w:tc>
          <w:tcPr>
            <w:tcW w:w="1031" w:type="dxa"/>
            <w:tcBorders>
              <w:top w:val="single" w:sz="4" w:space="0" w:color="auto"/>
              <w:left w:val="nil"/>
              <w:bottom w:val="single" w:sz="4" w:space="0" w:color="auto"/>
              <w:right w:val="single" w:sz="4" w:space="0" w:color="auto"/>
            </w:tcBorders>
            <w:vAlign w:val="center"/>
            <w:hideMark/>
          </w:tcPr>
          <w:p w14:paraId="5F6D765C"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67,03</w:t>
            </w:r>
          </w:p>
        </w:tc>
        <w:tc>
          <w:tcPr>
            <w:tcW w:w="1031" w:type="dxa"/>
            <w:tcBorders>
              <w:top w:val="single" w:sz="4" w:space="0" w:color="auto"/>
              <w:left w:val="nil"/>
              <w:bottom w:val="single" w:sz="4" w:space="0" w:color="auto"/>
              <w:right w:val="single" w:sz="4" w:space="0" w:color="auto"/>
            </w:tcBorders>
            <w:vAlign w:val="center"/>
            <w:hideMark/>
          </w:tcPr>
          <w:p w14:paraId="05628B01"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39,43</w:t>
            </w:r>
          </w:p>
        </w:tc>
        <w:tc>
          <w:tcPr>
            <w:tcW w:w="1031" w:type="dxa"/>
            <w:tcBorders>
              <w:top w:val="single" w:sz="4" w:space="0" w:color="auto"/>
              <w:left w:val="nil"/>
              <w:bottom w:val="single" w:sz="4" w:space="0" w:color="auto"/>
              <w:right w:val="single" w:sz="4" w:space="0" w:color="auto"/>
            </w:tcBorders>
            <w:vAlign w:val="center"/>
            <w:hideMark/>
          </w:tcPr>
          <w:p w14:paraId="307B6833"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41,78</w:t>
            </w:r>
          </w:p>
        </w:tc>
        <w:tc>
          <w:tcPr>
            <w:tcW w:w="1368" w:type="dxa"/>
            <w:tcBorders>
              <w:top w:val="single" w:sz="4" w:space="0" w:color="auto"/>
              <w:left w:val="nil"/>
              <w:bottom w:val="single" w:sz="4" w:space="0" w:color="auto"/>
              <w:right w:val="single" w:sz="4" w:space="0" w:color="auto"/>
            </w:tcBorders>
            <w:vAlign w:val="center"/>
          </w:tcPr>
          <w:p w14:paraId="09594745" w14:textId="77777777" w:rsidR="005D1700" w:rsidRPr="006220CA" w:rsidRDefault="005D1700" w:rsidP="005D1700">
            <w:pPr>
              <w:jc w:val="center"/>
              <w:rPr>
                <w:rFonts w:ascii="Times New Roman" w:hAnsi="Times New Roman" w:cs="Times New Roman"/>
              </w:rPr>
            </w:pPr>
            <w:r>
              <w:rPr>
                <w:rFonts w:ascii="Times New Roman" w:hAnsi="Times New Roman" w:cs="Times New Roman"/>
              </w:rPr>
              <w:t>54,56</w:t>
            </w:r>
          </w:p>
        </w:tc>
      </w:tr>
      <w:tr w:rsidR="005D1700" w:rsidRPr="001909AC" w14:paraId="2955165B" w14:textId="77777777" w:rsidTr="00383389">
        <w:trPr>
          <w:trHeight w:val="285"/>
        </w:trPr>
        <w:tc>
          <w:tcPr>
            <w:tcW w:w="709" w:type="dxa"/>
            <w:tcBorders>
              <w:top w:val="single" w:sz="4" w:space="0" w:color="auto"/>
              <w:left w:val="single" w:sz="4" w:space="0" w:color="auto"/>
              <w:bottom w:val="single" w:sz="4" w:space="0" w:color="auto"/>
              <w:right w:val="single" w:sz="4" w:space="0" w:color="auto"/>
            </w:tcBorders>
          </w:tcPr>
          <w:p w14:paraId="2E33C215" w14:textId="4843A2D8"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3</w:t>
            </w:r>
          </w:p>
        </w:tc>
        <w:tc>
          <w:tcPr>
            <w:tcW w:w="1422" w:type="dxa"/>
            <w:tcBorders>
              <w:top w:val="single" w:sz="4" w:space="0" w:color="auto"/>
              <w:left w:val="single" w:sz="4" w:space="0" w:color="auto"/>
              <w:bottom w:val="single" w:sz="4" w:space="0" w:color="auto"/>
              <w:right w:val="single" w:sz="4" w:space="0" w:color="auto"/>
            </w:tcBorders>
            <w:vAlign w:val="center"/>
            <w:hideMark/>
          </w:tcPr>
          <w:p w14:paraId="174F295F" w14:textId="69E1F534" w:rsidR="005D1700" w:rsidRPr="001909AC" w:rsidRDefault="005D1700"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HLC</w:t>
            </w:r>
          </w:p>
        </w:tc>
        <w:tc>
          <w:tcPr>
            <w:tcW w:w="959" w:type="dxa"/>
            <w:tcBorders>
              <w:top w:val="single" w:sz="4" w:space="0" w:color="auto"/>
              <w:left w:val="single" w:sz="4" w:space="0" w:color="auto"/>
              <w:bottom w:val="single" w:sz="4" w:space="0" w:color="auto"/>
              <w:right w:val="single" w:sz="4" w:space="0" w:color="auto"/>
            </w:tcBorders>
            <w:vAlign w:val="center"/>
            <w:hideMark/>
          </w:tcPr>
          <w:p w14:paraId="52F2CDDE"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15,76</w:t>
            </w:r>
          </w:p>
        </w:tc>
        <w:tc>
          <w:tcPr>
            <w:tcW w:w="1031" w:type="dxa"/>
            <w:tcBorders>
              <w:top w:val="single" w:sz="4" w:space="0" w:color="auto"/>
              <w:left w:val="single" w:sz="4" w:space="0" w:color="auto"/>
              <w:bottom w:val="single" w:sz="4" w:space="0" w:color="auto"/>
              <w:right w:val="single" w:sz="4" w:space="0" w:color="auto"/>
            </w:tcBorders>
            <w:vAlign w:val="center"/>
            <w:hideMark/>
          </w:tcPr>
          <w:p w14:paraId="47D0ABDE"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5,44</w:t>
            </w:r>
          </w:p>
        </w:tc>
        <w:tc>
          <w:tcPr>
            <w:tcW w:w="1031" w:type="dxa"/>
            <w:tcBorders>
              <w:top w:val="single" w:sz="4" w:space="0" w:color="auto"/>
              <w:left w:val="single" w:sz="4" w:space="0" w:color="auto"/>
              <w:bottom w:val="single" w:sz="4" w:space="0" w:color="auto"/>
              <w:right w:val="single" w:sz="4" w:space="0" w:color="auto"/>
            </w:tcBorders>
            <w:vAlign w:val="center"/>
            <w:hideMark/>
          </w:tcPr>
          <w:p w14:paraId="2B5E44E8"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6,63</w:t>
            </w:r>
          </w:p>
        </w:tc>
        <w:tc>
          <w:tcPr>
            <w:tcW w:w="1031" w:type="dxa"/>
            <w:tcBorders>
              <w:top w:val="single" w:sz="4" w:space="0" w:color="auto"/>
              <w:left w:val="single" w:sz="4" w:space="0" w:color="auto"/>
              <w:bottom w:val="single" w:sz="4" w:space="0" w:color="auto"/>
              <w:right w:val="single" w:sz="4" w:space="0" w:color="auto"/>
            </w:tcBorders>
            <w:vAlign w:val="center"/>
            <w:hideMark/>
          </w:tcPr>
          <w:p w14:paraId="5A864947"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38,98</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CB61031"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18,73</w:t>
            </w:r>
          </w:p>
        </w:tc>
        <w:tc>
          <w:tcPr>
            <w:tcW w:w="1368" w:type="dxa"/>
            <w:tcBorders>
              <w:top w:val="single" w:sz="4" w:space="0" w:color="auto"/>
              <w:left w:val="single" w:sz="4" w:space="0" w:color="auto"/>
              <w:bottom w:val="single" w:sz="4" w:space="0" w:color="auto"/>
              <w:right w:val="single" w:sz="4" w:space="0" w:color="auto"/>
            </w:tcBorders>
            <w:vAlign w:val="center"/>
          </w:tcPr>
          <w:p w14:paraId="1F981B1E" w14:textId="77777777" w:rsidR="005D1700" w:rsidRPr="006220CA" w:rsidRDefault="005D1700" w:rsidP="005D1700">
            <w:pPr>
              <w:jc w:val="center"/>
              <w:rPr>
                <w:rFonts w:ascii="Times New Roman" w:hAnsi="Times New Roman" w:cs="Times New Roman"/>
              </w:rPr>
            </w:pPr>
            <w:r>
              <w:rPr>
                <w:rFonts w:ascii="Times New Roman" w:hAnsi="Times New Roman" w:cs="Times New Roman"/>
              </w:rPr>
              <w:t>17,11</w:t>
            </w:r>
          </w:p>
        </w:tc>
      </w:tr>
      <w:tr w:rsidR="005D1700" w:rsidRPr="001909AC" w14:paraId="65A4F930" w14:textId="77777777" w:rsidTr="00383389">
        <w:trPr>
          <w:trHeight w:val="248"/>
        </w:trPr>
        <w:tc>
          <w:tcPr>
            <w:tcW w:w="709" w:type="dxa"/>
            <w:tcBorders>
              <w:top w:val="single" w:sz="4" w:space="0" w:color="auto"/>
              <w:left w:val="single" w:sz="4" w:space="0" w:color="auto"/>
              <w:bottom w:val="single" w:sz="4" w:space="0" w:color="auto"/>
              <w:right w:val="single" w:sz="4" w:space="0" w:color="auto"/>
            </w:tcBorders>
          </w:tcPr>
          <w:p w14:paraId="09E52AEF" w14:textId="33240CA9"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4</w:t>
            </w:r>
          </w:p>
        </w:tc>
        <w:tc>
          <w:tcPr>
            <w:tcW w:w="1422" w:type="dxa"/>
            <w:tcBorders>
              <w:top w:val="single" w:sz="4" w:space="0" w:color="auto"/>
              <w:left w:val="single" w:sz="4" w:space="0" w:color="auto"/>
              <w:bottom w:val="single" w:sz="4" w:space="0" w:color="auto"/>
              <w:right w:val="single" w:sz="4" w:space="0" w:color="auto"/>
            </w:tcBorders>
            <w:vAlign w:val="center"/>
            <w:hideMark/>
          </w:tcPr>
          <w:p w14:paraId="40476D56" w14:textId="43223365" w:rsidR="005D1700" w:rsidRPr="001909AC" w:rsidRDefault="005D1700"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THT</w:t>
            </w:r>
          </w:p>
        </w:tc>
        <w:tc>
          <w:tcPr>
            <w:tcW w:w="959" w:type="dxa"/>
            <w:tcBorders>
              <w:top w:val="single" w:sz="4" w:space="0" w:color="auto"/>
              <w:left w:val="single" w:sz="4" w:space="0" w:color="auto"/>
              <w:bottom w:val="single" w:sz="4" w:space="0" w:color="auto"/>
              <w:right w:val="single" w:sz="4" w:space="0" w:color="auto"/>
            </w:tcBorders>
            <w:vAlign w:val="center"/>
            <w:hideMark/>
          </w:tcPr>
          <w:p w14:paraId="0F3A52A3"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b/>
                <w:bCs/>
              </w:rPr>
              <w:t>7,7</w:t>
            </w:r>
            <w:r w:rsidRPr="001909AC">
              <w:rPr>
                <w:rFonts w:ascii="Times New Roman" w:hAnsi="Times New Roman" w:cs="Times New Roman"/>
              </w:rPr>
              <w:t>1</w:t>
            </w:r>
          </w:p>
        </w:tc>
        <w:tc>
          <w:tcPr>
            <w:tcW w:w="1031" w:type="dxa"/>
            <w:tcBorders>
              <w:top w:val="single" w:sz="4" w:space="0" w:color="auto"/>
              <w:left w:val="single" w:sz="4" w:space="0" w:color="auto"/>
              <w:bottom w:val="single" w:sz="4" w:space="0" w:color="auto"/>
              <w:right w:val="single" w:sz="4" w:space="0" w:color="auto"/>
            </w:tcBorders>
            <w:vAlign w:val="center"/>
            <w:hideMark/>
          </w:tcPr>
          <w:p w14:paraId="4B80FB40"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7,79</w:t>
            </w:r>
          </w:p>
        </w:tc>
        <w:tc>
          <w:tcPr>
            <w:tcW w:w="1031" w:type="dxa"/>
            <w:tcBorders>
              <w:top w:val="single" w:sz="4" w:space="0" w:color="auto"/>
              <w:left w:val="single" w:sz="4" w:space="0" w:color="auto"/>
              <w:bottom w:val="single" w:sz="4" w:space="0" w:color="auto"/>
              <w:right w:val="single" w:sz="4" w:space="0" w:color="auto"/>
            </w:tcBorders>
            <w:vAlign w:val="center"/>
            <w:hideMark/>
          </w:tcPr>
          <w:p w14:paraId="2E339D65"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9,67</w:t>
            </w:r>
          </w:p>
        </w:tc>
        <w:tc>
          <w:tcPr>
            <w:tcW w:w="1031" w:type="dxa"/>
            <w:tcBorders>
              <w:top w:val="single" w:sz="4" w:space="0" w:color="auto"/>
              <w:left w:val="single" w:sz="4" w:space="0" w:color="auto"/>
              <w:bottom w:val="single" w:sz="4" w:space="0" w:color="auto"/>
              <w:right w:val="single" w:sz="4" w:space="0" w:color="auto"/>
            </w:tcBorders>
            <w:vAlign w:val="center"/>
            <w:hideMark/>
          </w:tcPr>
          <w:p w14:paraId="0D29E8B0"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13,02</w:t>
            </w:r>
          </w:p>
        </w:tc>
        <w:tc>
          <w:tcPr>
            <w:tcW w:w="1031" w:type="dxa"/>
            <w:tcBorders>
              <w:top w:val="single" w:sz="4" w:space="0" w:color="auto"/>
              <w:left w:val="single" w:sz="4" w:space="0" w:color="auto"/>
              <w:bottom w:val="single" w:sz="4" w:space="0" w:color="auto"/>
              <w:right w:val="single" w:sz="4" w:space="0" w:color="auto"/>
            </w:tcBorders>
            <w:vAlign w:val="center"/>
            <w:hideMark/>
          </w:tcPr>
          <w:p w14:paraId="1BD055DF"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10,99</w:t>
            </w:r>
          </w:p>
        </w:tc>
        <w:tc>
          <w:tcPr>
            <w:tcW w:w="1368" w:type="dxa"/>
            <w:tcBorders>
              <w:top w:val="single" w:sz="4" w:space="0" w:color="auto"/>
              <w:left w:val="single" w:sz="4" w:space="0" w:color="auto"/>
              <w:bottom w:val="single" w:sz="4" w:space="0" w:color="auto"/>
              <w:right w:val="single" w:sz="4" w:space="0" w:color="auto"/>
            </w:tcBorders>
            <w:vAlign w:val="center"/>
          </w:tcPr>
          <w:p w14:paraId="227B0CC0" w14:textId="77777777" w:rsidR="005D1700" w:rsidRPr="006220CA" w:rsidRDefault="005D1700" w:rsidP="005D1700">
            <w:pPr>
              <w:jc w:val="center"/>
              <w:rPr>
                <w:rFonts w:ascii="Times New Roman" w:hAnsi="Times New Roman" w:cs="Times New Roman"/>
              </w:rPr>
            </w:pPr>
            <w:r>
              <w:rPr>
                <w:rFonts w:ascii="Times New Roman" w:hAnsi="Times New Roman" w:cs="Times New Roman"/>
              </w:rPr>
              <w:t>9,84</w:t>
            </w:r>
          </w:p>
        </w:tc>
      </w:tr>
      <w:tr w:rsidR="005D1700" w:rsidRPr="001909AC" w14:paraId="43F6ACDC" w14:textId="77777777" w:rsidTr="00383389">
        <w:trPr>
          <w:trHeight w:val="248"/>
        </w:trPr>
        <w:tc>
          <w:tcPr>
            <w:tcW w:w="709" w:type="dxa"/>
            <w:tcBorders>
              <w:top w:val="single" w:sz="4" w:space="0" w:color="auto"/>
              <w:left w:val="single" w:sz="4" w:space="0" w:color="auto"/>
              <w:bottom w:val="single" w:sz="4" w:space="0" w:color="auto"/>
              <w:right w:val="single" w:sz="4" w:space="0" w:color="auto"/>
            </w:tcBorders>
          </w:tcPr>
          <w:p w14:paraId="7B515D5B" w14:textId="02CDEBAE"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5</w:t>
            </w:r>
          </w:p>
        </w:tc>
        <w:tc>
          <w:tcPr>
            <w:tcW w:w="1422" w:type="dxa"/>
            <w:tcBorders>
              <w:top w:val="single" w:sz="4" w:space="0" w:color="auto"/>
              <w:left w:val="single" w:sz="4" w:space="0" w:color="auto"/>
              <w:bottom w:val="single" w:sz="4" w:space="0" w:color="auto"/>
              <w:right w:val="single" w:sz="4" w:space="0" w:color="auto"/>
            </w:tcBorders>
            <w:vAlign w:val="center"/>
            <w:hideMark/>
          </w:tcPr>
          <w:p w14:paraId="04F8A5AB" w14:textId="2056F182" w:rsidR="005D1700" w:rsidRPr="001909AC" w:rsidRDefault="005D1700"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NBC</w:t>
            </w:r>
          </w:p>
        </w:tc>
        <w:tc>
          <w:tcPr>
            <w:tcW w:w="959" w:type="dxa"/>
            <w:tcBorders>
              <w:top w:val="single" w:sz="4" w:space="0" w:color="auto"/>
              <w:left w:val="single" w:sz="4" w:space="0" w:color="auto"/>
              <w:bottom w:val="single" w:sz="4" w:space="0" w:color="auto"/>
              <w:right w:val="single" w:sz="4" w:space="0" w:color="auto"/>
            </w:tcBorders>
            <w:vAlign w:val="center"/>
            <w:hideMark/>
          </w:tcPr>
          <w:p w14:paraId="51F854EE"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2,74</w:t>
            </w:r>
          </w:p>
        </w:tc>
        <w:tc>
          <w:tcPr>
            <w:tcW w:w="1031" w:type="dxa"/>
            <w:tcBorders>
              <w:top w:val="single" w:sz="4" w:space="0" w:color="auto"/>
              <w:left w:val="single" w:sz="4" w:space="0" w:color="auto"/>
              <w:bottom w:val="single" w:sz="4" w:space="0" w:color="auto"/>
              <w:right w:val="single" w:sz="4" w:space="0" w:color="auto"/>
            </w:tcBorders>
            <w:vAlign w:val="center"/>
            <w:hideMark/>
          </w:tcPr>
          <w:p w14:paraId="3EDF1710"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2,50</w:t>
            </w:r>
          </w:p>
        </w:tc>
        <w:tc>
          <w:tcPr>
            <w:tcW w:w="1031" w:type="dxa"/>
            <w:tcBorders>
              <w:top w:val="single" w:sz="4" w:space="0" w:color="auto"/>
              <w:left w:val="single" w:sz="4" w:space="0" w:color="auto"/>
              <w:bottom w:val="single" w:sz="4" w:space="0" w:color="auto"/>
              <w:right w:val="single" w:sz="4" w:space="0" w:color="auto"/>
            </w:tcBorders>
            <w:vAlign w:val="center"/>
            <w:hideMark/>
          </w:tcPr>
          <w:p w14:paraId="0F848A2C"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3,76</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AB566CA"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16,59</w:t>
            </w:r>
          </w:p>
        </w:tc>
        <w:tc>
          <w:tcPr>
            <w:tcW w:w="1031" w:type="dxa"/>
            <w:tcBorders>
              <w:top w:val="single" w:sz="4" w:space="0" w:color="auto"/>
              <w:left w:val="single" w:sz="4" w:space="0" w:color="auto"/>
              <w:bottom w:val="single" w:sz="4" w:space="0" w:color="auto"/>
              <w:right w:val="single" w:sz="4" w:space="0" w:color="auto"/>
            </w:tcBorders>
            <w:vAlign w:val="center"/>
            <w:hideMark/>
          </w:tcPr>
          <w:p w14:paraId="4C35450C"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37,36</w:t>
            </w:r>
          </w:p>
        </w:tc>
        <w:tc>
          <w:tcPr>
            <w:tcW w:w="1368" w:type="dxa"/>
            <w:tcBorders>
              <w:top w:val="single" w:sz="4" w:space="0" w:color="auto"/>
              <w:left w:val="single" w:sz="4" w:space="0" w:color="auto"/>
              <w:bottom w:val="single" w:sz="4" w:space="0" w:color="auto"/>
              <w:right w:val="single" w:sz="4" w:space="0" w:color="auto"/>
            </w:tcBorders>
            <w:vAlign w:val="center"/>
          </w:tcPr>
          <w:p w14:paraId="32A6CC41" w14:textId="77777777" w:rsidR="005D1700" w:rsidRPr="006220CA" w:rsidRDefault="005D1700" w:rsidP="005D1700">
            <w:pPr>
              <w:jc w:val="center"/>
              <w:rPr>
                <w:rFonts w:ascii="Times New Roman" w:hAnsi="Times New Roman" w:cs="Times New Roman"/>
              </w:rPr>
            </w:pPr>
            <w:r>
              <w:rPr>
                <w:rFonts w:ascii="Times New Roman" w:hAnsi="Times New Roman" w:cs="Times New Roman"/>
              </w:rPr>
              <w:t>12,59</w:t>
            </w:r>
          </w:p>
        </w:tc>
      </w:tr>
    </w:tbl>
    <w:p w14:paraId="05AA8C81" w14:textId="329DAF3F" w:rsidR="00426BBE" w:rsidRPr="00B1640A" w:rsidRDefault="00B1640A" w:rsidP="00B1640A">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151856A7" w14:textId="0758352D" w:rsidR="00222BA7" w:rsidRPr="00222BA7" w:rsidRDefault="00533E45" w:rsidP="00383389">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lastRenderedPageBreak/>
        <w:t xml:space="preserve">               </w:t>
      </w:r>
      <w:r w:rsidR="004A1CD3">
        <w:rPr>
          <w:noProof/>
          <w:lang w:eastAsia="en-US"/>
        </w:rPr>
        <w:drawing>
          <wp:inline distT="0" distB="0" distL="0" distR="0" wp14:anchorId="0D8C94DF" wp14:editId="29334C1A">
            <wp:extent cx="5654040" cy="2787650"/>
            <wp:effectExtent l="0" t="0" r="381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42600208" w14:textId="74E29BDD" w:rsidR="004A1CD3" w:rsidRPr="00F22BA5" w:rsidRDefault="004A1CD3" w:rsidP="00072258">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Vòng quay hàng tồn kho là một chỉ tiêu quan trọng phản ánh hiệu quả sử dụng vốn lưu động và khả năng tiêu thụ sản phẩm. Trong giai đoạn 2019–2023, đa phần các công ty cổ phần than đã có sự cải thiện</w:t>
      </w:r>
      <w:r w:rsidR="00EA1777" w:rsidRPr="00F22BA5">
        <w:rPr>
          <w:rFonts w:ascii="Times New Roman" w:hAnsi="Times New Roman" w:cs="Times New Roman"/>
          <w:sz w:val="26"/>
          <w:szCs w:val="26"/>
          <w:lang w:val="vi-VN"/>
        </w:rPr>
        <w:t xml:space="preserve"> vòng quay hàng tồn kho</w:t>
      </w:r>
      <w:r w:rsidRPr="00AF3D5D">
        <w:rPr>
          <w:rFonts w:ascii="Times New Roman" w:hAnsi="Times New Roman" w:cs="Times New Roman"/>
          <w:sz w:val="26"/>
          <w:szCs w:val="26"/>
          <w:lang w:val="vi-VN"/>
        </w:rPr>
        <w:t xml:space="preserve">, đặc biệt nổi bật là </w:t>
      </w:r>
      <w:r w:rsidR="00EA1777" w:rsidRPr="00F22BA5">
        <w:rPr>
          <w:rFonts w:ascii="Times New Roman" w:hAnsi="Times New Roman" w:cs="Times New Roman"/>
          <w:sz w:val="26"/>
          <w:szCs w:val="26"/>
          <w:lang w:val="vi-VN"/>
        </w:rPr>
        <w:t xml:space="preserve">CTCP than Mông Dương </w:t>
      </w:r>
      <w:r w:rsidR="00F12D21" w:rsidRPr="00F22BA5">
        <w:rPr>
          <w:rFonts w:ascii="Times New Roman" w:hAnsi="Times New Roman" w:cs="Times New Roman"/>
          <w:sz w:val="26"/>
          <w:szCs w:val="26"/>
          <w:lang w:val="vi-VN"/>
        </w:rPr>
        <w:t xml:space="preserve">bình quân giai đoạn là </w:t>
      </w:r>
      <w:r w:rsidR="00EA1777" w:rsidRPr="00F22BA5">
        <w:rPr>
          <w:rFonts w:ascii="Times New Roman" w:hAnsi="Times New Roman" w:cs="Times New Roman"/>
          <w:sz w:val="26"/>
          <w:szCs w:val="26"/>
          <w:lang w:val="vi-VN"/>
        </w:rPr>
        <w:t>54,56 vòng/năm</w:t>
      </w:r>
      <w:r w:rsidRPr="00AF3D5D">
        <w:rPr>
          <w:rFonts w:ascii="Times New Roman" w:hAnsi="Times New Roman" w:cs="Times New Roman"/>
          <w:sz w:val="26"/>
          <w:szCs w:val="26"/>
          <w:lang w:val="vi-VN"/>
        </w:rPr>
        <w:t xml:space="preserve">. </w:t>
      </w:r>
      <w:r w:rsidR="00072258" w:rsidRPr="00F22BA5">
        <w:rPr>
          <w:rFonts w:ascii="Times New Roman" w:hAnsi="Times New Roman" w:cs="Times New Roman"/>
          <w:sz w:val="26"/>
          <w:szCs w:val="26"/>
          <w:lang w:val="vi-VN"/>
        </w:rPr>
        <w:t>Bên cạnh đó có n</w:t>
      </w:r>
      <w:r w:rsidRPr="00AF3D5D">
        <w:rPr>
          <w:rFonts w:ascii="Times New Roman" w:hAnsi="Times New Roman" w:cs="Times New Roman"/>
          <w:sz w:val="26"/>
          <w:szCs w:val="26"/>
          <w:lang w:val="vi-VN"/>
        </w:rPr>
        <w:t>hững cải thiện rõ rệt từ các doanh nghiệp như</w:t>
      </w:r>
      <w:r w:rsidR="00072258" w:rsidRPr="00F22BA5">
        <w:rPr>
          <w:rFonts w:ascii="Times New Roman" w:hAnsi="Times New Roman" w:cs="Times New Roman"/>
          <w:sz w:val="26"/>
          <w:szCs w:val="26"/>
          <w:lang w:val="vi-VN"/>
        </w:rPr>
        <w:t xml:space="preserve"> CTCP</w:t>
      </w:r>
      <w:r w:rsidRPr="00AF3D5D">
        <w:rPr>
          <w:rFonts w:ascii="Times New Roman" w:hAnsi="Times New Roman" w:cs="Times New Roman"/>
          <w:sz w:val="26"/>
          <w:szCs w:val="26"/>
          <w:lang w:val="vi-VN"/>
        </w:rPr>
        <w:t xml:space="preserve"> Than Núi Béo hay </w:t>
      </w:r>
      <w:r w:rsidR="00072258" w:rsidRPr="00F22BA5">
        <w:rPr>
          <w:rFonts w:ascii="Times New Roman" w:hAnsi="Times New Roman" w:cs="Times New Roman"/>
          <w:sz w:val="26"/>
          <w:szCs w:val="26"/>
          <w:lang w:val="vi-VN"/>
        </w:rPr>
        <w:t>CTCP Than Vàng Danh, CTCP Than Hà Lầm</w:t>
      </w:r>
      <w:r w:rsidRPr="00072258">
        <w:rPr>
          <w:rFonts w:ascii="Times New Roman" w:hAnsi="Times New Roman" w:cs="Times New Roman"/>
          <w:sz w:val="26"/>
          <w:szCs w:val="26"/>
          <w:lang w:val="vi-VN"/>
        </w:rPr>
        <w:t xml:space="preserve"> cũng thể hiện sự thích ứng tích cực</w:t>
      </w:r>
      <w:r w:rsidR="00072258" w:rsidRPr="00F22BA5">
        <w:rPr>
          <w:rFonts w:ascii="Times New Roman" w:hAnsi="Times New Roman" w:cs="Times New Roman"/>
          <w:sz w:val="26"/>
          <w:szCs w:val="26"/>
          <w:lang w:val="vi-VN"/>
        </w:rPr>
        <w:t xml:space="preserve"> trong công tác tiêu thụ sản phẩm</w:t>
      </w:r>
      <w:r w:rsidRPr="00072258">
        <w:rPr>
          <w:rFonts w:ascii="Times New Roman" w:hAnsi="Times New Roman" w:cs="Times New Roman"/>
          <w:sz w:val="26"/>
          <w:szCs w:val="26"/>
          <w:lang w:val="vi-VN"/>
        </w:rPr>
        <w:t xml:space="preserve"> với bối cảnh hậu COVID-19.</w:t>
      </w:r>
      <w:r w:rsidR="00072258" w:rsidRPr="00072258">
        <w:rPr>
          <w:rFonts w:ascii="Times New Roman" w:hAnsi="Times New Roman" w:cs="Times New Roman"/>
          <w:sz w:val="26"/>
          <w:szCs w:val="26"/>
          <w:lang w:val="vi-VN"/>
        </w:rPr>
        <w:t xml:space="preserve"> </w:t>
      </w:r>
      <w:r w:rsidR="00072258" w:rsidRPr="00F22BA5">
        <w:rPr>
          <w:rFonts w:ascii="Times New Roman" w:hAnsi="Times New Roman" w:cs="Times New Roman"/>
          <w:sz w:val="26"/>
          <w:szCs w:val="26"/>
          <w:lang w:val="vi-VN"/>
        </w:rPr>
        <w:t>Điều này cũng</w:t>
      </w:r>
      <w:r w:rsidR="00072258" w:rsidRPr="00072258">
        <w:rPr>
          <w:rFonts w:ascii="Times New Roman" w:hAnsi="Times New Roman" w:cs="Times New Roman"/>
          <w:sz w:val="26"/>
          <w:szCs w:val="26"/>
          <w:lang w:val="vi-VN"/>
        </w:rPr>
        <w:t xml:space="preserve"> cho thấy</w:t>
      </w:r>
      <w:r w:rsidR="00072258" w:rsidRPr="00F22BA5">
        <w:rPr>
          <w:rFonts w:ascii="Times New Roman" w:hAnsi="Times New Roman" w:cs="Times New Roman"/>
          <w:sz w:val="26"/>
          <w:szCs w:val="26"/>
          <w:lang w:val="vi-VN"/>
        </w:rPr>
        <w:t xml:space="preserve"> các</w:t>
      </w:r>
      <w:r w:rsidR="00072258" w:rsidRPr="00072258">
        <w:rPr>
          <w:rFonts w:ascii="Times New Roman" w:hAnsi="Times New Roman" w:cs="Times New Roman"/>
          <w:sz w:val="26"/>
          <w:szCs w:val="26"/>
          <w:lang w:val="vi-VN"/>
        </w:rPr>
        <w:t xml:space="preserve"> công ty đã tối ưu hóa được chu trình sản xuất – tiêu thụ, giảm tồn kho tồn đọng, và tăng cường hiệu quả hoạt động</w:t>
      </w:r>
      <w:r w:rsidR="00072258" w:rsidRPr="00F22BA5">
        <w:rPr>
          <w:rFonts w:ascii="Times New Roman" w:hAnsi="Times New Roman" w:cs="Times New Roman"/>
          <w:sz w:val="26"/>
          <w:szCs w:val="26"/>
          <w:lang w:val="vi-VN"/>
        </w:rPr>
        <w:t xml:space="preserve"> và</w:t>
      </w:r>
      <w:r w:rsidR="00072258" w:rsidRPr="00072258">
        <w:rPr>
          <w:rFonts w:ascii="Times New Roman" w:hAnsi="Times New Roman" w:cs="Times New Roman"/>
          <w:sz w:val="26"/>
          <w:szCs w:val="26"/>
          <w:lang w:val="vi-VN"/>
        </w:rPr>
        <w:t xml:space="preserve"> cải thiện đáng kể dòng tiền từ hoạt độ</w:t>
      </w:r>
      <w:r w:rsidR="00072258">
        <w:rPr>
          <w:rFonts w:ascii="Times New Roman" w:hAnsi="Times New Roman" w:cs="Times New Roman"/>
          <w:sz w:val="26"/>
          <w:szCs w:val="26"/>
          <w:lang w:val="vi-VN"/>
        </w:rPr>
        <w:t>ng kinh doanh</w:t>
      </w:r>
      <w:r w:rsidR="00072258" w:rsidRPr="00F22BA5">
        <w:rPr>
          <w:rFonts w:ascii="Times New Roman" w:hAnsi="Times New Roman" w:cs="Times New Roman"/>
          <w:sz w:val="26"/>
          <w:szCs w:val="26"/>
          <w:lang w:val="vi-VN"/>
        </w:rPr>
        <w:t xml:space="preserve"> từ đó nâng cao tiềm lực tài chính của các đơn vị.</w:t>
      </w:r>
    </w:p>
    <w:p w14:paraId="3EB7B6CF" w14:textId="129704F9" w:rsidR="004A1CD3" w:rsidRPr="004A1CD3" w:rsidRDefault="00DA4446" w:rsidP="008A5BBD">
      <w:pPr>
        <w:pStyle w:val="p3"/>
      </w:pPr>
      <w:bookmarkStart w:id="218" w:name="_Toc197781183"/>
      <w:bookmarkStart w:id="219" w:name="_Toc197781466"/>
      <w:bookmarkStart w:id="220" w:name="_Toc198281676"/>
      <w:bookmarkStart w:id="221" w:name="_Toc198284461"/>
      <w:bookmarkStart w:id="222" w:name="_Toc198284841"/>
      <w:bookmarkStart w:id="223" w:name="_Toc198709993"/>
      <w:r w:rsidRPr="00F22BA5">
        <w:t>+</w:t>
      </w:r>
      <w:r w:rsidR="004A1CD3" w:rsidRPr="004A1CD3">
        <w:t xml:space="preserve"> Vòng quay tổng tài sản</w:t>
      </w:r>
      <w:bookmarkEnd w:id="218"/>
      <w:bookmarkEnd w:id="219"/>
      <w:bookmarkEnd w:id="220"/>
      <w:bookmarkEnd w:id="221"/>
      <w:bookmarkEnd w:id="222"/>
      <w:bookmarkEnd w:id="223"/>
    </w:p>
    <w:p w14:paraId="28ED0AD4" w14:textId="77777777" w:rsidR="004A1CD3" w:rsidRPr="004A1CD3" w:rsidRDefault="004A1CD3" w:rsidP="004A1CD3">
      <w:pPr>
        <w:spacing w:line="312" w:lineRule="auto"/>
        <w:ind w:firstLine="720"/>
        <w:jc w:val="both"/>
        <w:rPr>
          <w:rFonts w:ascii="Times New Roman" w:hAnsi="Times New Roman" w:cs="Times New Roman"/>
          <w:sz w:val="26"/>
          <w:szCs w:val="26"/>
          <w:lang w:val="vi-VN"/>
        </w:rPr>
      </w:pPr>
      <w:r w:rsidRPr="004A1CD3">
        <w:rPr>
          <w:rFonts w:ascii="Times New Roman" w:hAnsi="Times New Roman" w:cs="Times New Roman"/>
          <w:sz w:val="26"/>
          <w:szCs w:val="26"/>
          <w:lang w:val="vi-VN"/>
        </w:rPr>
        <w:t>Tính vòng quay tổng tài sản giúp doanh nghiệp đánh giá mức độ hiệu quả trong việc sử dụng toàn bộ tài sản để tạo ra doanh thu. Chỉ tiêu này cho thấy mỗi đồng tài sản mang lại bao nhiêu đồng doanh thu, từ đó phản ánh năng suất hoạt động và hiệu quả quản lý tài nguyên. Đối với doanh nghiệp ngành khai khoáng – nơi đòi hỏi vốn đầu tư lớn vào máy móc, thiết bị và cơ sở hạ tầng – việc theo dõi vòng quay tổng tài sản giúp xác định hiệu quả sử dụng tài sản và khả năng sinh lời, đồng thời hỗ trợ ra quyết định đầu tư và cải thiện hiệu quả kinh doanh.</w:t>
      </w:r>
    </w:p>
    <w:p w14:paraId="147474DE" w14:textId="77777777" w:rsidR="009C5163" w:rsidRDefault="009C5163" w:rsidP="008344F6">
      <w:pPr>
        <w:spacing w:line="312" w:lineRule="auto"/>
        <w:ind w:firstLine="720"/>
        <w:jc w:val="center"/>
        <w:rPr>
          <w:rFonts w:ascii="Times New Roman" w:hAnsi="Times New Roman" w:cs="Times New Roman"/>
          <w:b/>
          <w:sz w:val="26"/>
          <w:szCs w:val="26"/>
        </w:rPr>
      </w:pPr>
    </w:p>
    <w:p w14:paraId="52B416CE" w14:textId="77777777" w:rsidR="009C5163" w:rsidRDefault="009C5163" w:rsidP="008344F6">
      <w:pPr>
        <w:spacing w:line="312" w:lineRule="auto"/>
        <w:ind w:firstLine="720"/>
        <w:jc w:val="center"/>
        <w:rPr>
          <w:rFonts w:ascii="Times New Roman" w:hAnsi="Times New Roman" w:cs="Times New Roman"/>
          <w:b/>
          <w:sz w:val="26"/>
          <w:szCs w:val="26"/>
        </w:rPr>
      </w:pPr>
    </w:p>
    <w:p w14:paraId="61DBB27A" w14:textId="77777777" w:rsidR="009C5163" w:rsidRDefault="009C5163" w:rsidP="008344F6">
      <w:pPr>
        <w:spacing w:line="312" w:lineRule="auto"/>
        <w:ind w:firstLine="720"/>
        <w:jc w:val="center"/>
        <w:rPr>
          <w:rFonts w:ascii="Times New Roman" w:hAnsi="Times New Roman" w:cs="Times New Roman"/>
          <w:b/>
          <w:sz w:val="26"/>
          <w:szCs w:val="26"/>
        </w:rPr>
      </w:pPr>
    </w:p>
    <w:p w14:paraId="445AE3C3" w14:textId="77777777" w:rsidR="009C5163" w:rsidRDefault="009C5163" w:rsidP="008344F6">
      <w:pPr>
        <w:spacing w:line="312" w:lineRule="auto"/>
        <w:ind w:firstLine="720"/>
        <w:jc w:val="center"/>
        <w:rPr>
          <w:rFonts w:ascii="Times New Roman" w:hAnsi="Times New Roman" w:cs="Times New Roman"/>
          <w:b/>
          <w:sz w:val="26"/>
          <w:szCs w:val="26"/>
        </w:rPr>
      </w:pPr>
    </w:p>
    <w:p w14:paraId="6DE089D4" w14:textId="77777777" w:rsidR="009C5163" w:rsidRDefault="009C5163" w:rsidP="008344F6">
      <w:pPr>
        <w:spacing w:line="312" w:lineRule="auto"/>
        <w:ind w:firstLine="720"/>
        <w:jc w:val="center"/>
        <w:rPr>
          <w:rFonts w:ascii="Times New Roman" w:hAnsi="Times New Roman" w:cs="Times New Roman"/>
          <w:b/>
          <w:sz w:val="26"/>
          <w:szCs w:val="26"/>
        </w:rPr>
      </w:pPr>
    </w:p>
    <w:p w14:paraId="3001DD00" w14:textId="77777777" w:rsidR="00656441" w:rsidRDefault="004A1CD3" w:rsidP="008344F6">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lastRenderedPageBreak/>
        <w:t xml:space="preserve">Bảng </w:t>
      </w:r>
      <w:r w:rsidR="00EB49DB" w:rsidRPr="00F22BA5">
        <w:rPr>
          <w:rFonts w:ascii="Times New Roman" w:hAnsi="Times New Roman" w:cs="Times New Roman"/>
          <w:b/>
          <w:sz w:val="26"/>
          <w:szCs w:val="26"/>
          <w:lang w:val="vi-VN"/>
        </w:rPr>
        <w:t>2.12</w:t>
      </w:r>
      <w:r w:rsidRPr="004A1CD3">
        <w:rPr>
          <w:rFonts w:ascii="Times New Roman" w:hAnsi="Times New Roman" w:cs="Times New Roman"/>
          <w:b/>
          <w:sz w:val="26"/>
          <w:szCs w:val="26"/>
          <w:lang w:val="vi-VN"/>
        </w:rPr>
        <w:t xml:space="preserve">. Vòng quay tổng tài sản của các CTCP niêm yết </w:t>
      </w:r>
    </w:p>
    <w:p w14:paraId="3ECE4D61" w14:textId="0B7B4E38" w:rsidR="009C5163" w:rsidRPr="009C5163" w:rsidRDefault="004A1CD3" w:rsidP="009C5163">
      <w:pPr>
        <w:spacing w:line="312" w:lineRule="auto"/>
        <w:ind w:firstLine="720"/>
        <w:jc w:val="center"/>
        <w:rPr>
          <w:rFonts w:ascii="Times New Roman" w:hAnsi="Times New Roman" w:cs="Times New Roman"/>
          <w:b/>
          <w:sz w:val="26"/>
          <w:szCs w:val="26"/>
        </w:rPr>
      </w:pPr>
      <w:r w:rsidRPr="004A1CD3">
        <w:rPr>
          <w:rFonts w:ascii="Times New Roman" w:hAnsi="Times New Roman" w:cs="Times New Roman"/>
          <w:b/>
          <w:sz w:val="26"/>
          <w:szCs w:val="26"/>
          <w:lang w:val="vi-VN"/>
        </w:rPr>
        <w:t>thuộc TKV</w:t>
      </w:r>
      <w:r w:rsidR="008344F6">
        <w:rPr>
          <w:rFonts w:ascii="Times New Roman" w:hAnsi="Times New Roman" w:cs="Times New Roman"/>
          <w:b/>
          <w:sz w:val="26"/>
          <w:szCs w:val="26"/>
          <w:lang w:val="vi-VN"/>
        </w:rPr>
        <w:t xml:space="preserve"> giai đoạn 2019 – 2023</w:t>
      </w:r>
    </w:p>
    <w:tbl>
      <w:tblPr>
        <w:tblStyle w:val="TableGrid"/>
        <w:tblW w:w="8419" w:type="dxa"/>
        <w:tblInd w:w="296" w:type="dxa"/>
        <w:tblLook w:val="04A0" w:firstRow="1" w:lastRow="0" w:firstColumn="1" w:lastColumn="0" w:noHBand="0" w:noVBand="1"/>
      </w:tblPr>
      <w:tblGrid>
        <w:gridCol w:w="709"/>
        <w:gridCol w:w="1648"/>
        <w:gridCol w:w="972"/>
        <w:gridCol w:w="955"/>
        <w:gridCol w:w="955"/>
        <w:gridCol w:w="955"/>
        <w:gridCol w:w="955"/>
        <w:gridCol w:w="1270"/>
      </w:tblGrid>
      <w:tr w:rsidR="008344F6" w:rsidRPr="001909AC" w14:paraId="65E410B3" w14:textId="77777777" w:rsidTr="00383389">
        <w:trPr>
          <w:trHeight w:val="254"/>
        </w:trPr>
        <w:tc>
          <w:tcPr>
            <w:tcW w:w="709" w:type="dxa"/>
            <w:tcBorders>
              <w:top w:val="single" w:sz="4" w:space="0" w:color="auto"/>
              <w:left w:val="single" w:sz="4" w:space="0" w:color="auto"/>
              <w:bottom w:val="single" w:sz="4" w:space="0" w:color="auto"/>
              <w:right w:val="single" w:sz="4" w:space="0" w:color="auto"/>
            </w:tcBorders>
            <w:vAlign w:val="center"/>
          </w:tcPr>
          <w:p w14:paraId="109DCEF4" w14:textId="60500F6C" w:rsidR="008344F6" w:rsidRPr="001909AC" w:rsidRDefault="008344F6" w:rsidP="008344F6">
            <w:pPr>
              <w:spacing w:after="160" w:line="259" w:lineRule="auto"/>
              <w:jc w:val="center"/>
              <w:rPr>
                <w:rFonts w:ascii="Times New Roman" w:hAnsi="Times New Roman" w:cs="Times New Roman"/>
                <w:b/>
                <w:bCs/>
              </w:rPr>
            </w:pPr>
            <w:r>
              <w:rPr>
                <w:rFonts w:ascii="Times New Roman" w:hAnsi="Times New Roman" w:cs="Times New Roman"/>
                <w:b/>
                <w:bCs/>
              </w:rPr>
              <w:t>TT</w:t>
            </w:r>
          </w:p>
        </w:tc>
        <w:tc>
          <w:tcPr>
            <w:tcW w:w="1648" w:type="dxa"/>
            <w:tcBorders>
              <w:top w:val="single" w:sz="4" w:space="0" w:color="auto"/>
              <w:left w:val="single" w:sz="4" w:space="0" w:color="auto"/>
              <w:bottom w:val="single" w:sz="4" w:space="0" w:color="auto"/>
              <w:right w:val="single" w:sz="4" w:space="0" w:color="auto"/>
            </w:tcBorders>
            <w:vAlign w:val="center"/>
            <w:hideMark/>
          </w:tcPr>
          <w:p w14:paraId="013D1141" w14:textId="40D708B7" w:rsidR="008344F6" w:rsidRPr="001909AC" w:rsidRDefault="0031049D" w:rsidP="008344F6">
            <w:pPr>
              <w:spacing w:after="160" w:line="259" w:lineRule="auto"/>
              <w:jc w:val="center"/>
              <w:rPr>
                <w:rFonts w:ascii="Times New Roman" w:hAnsi="Times New Roman" w:cs="Times New Roman"/>
                <w:b/>
                <w:bCs/>
              </w:rPr>
            </w:pPr>
            <w:r>
              <w:rPr>
                <w:rFonts w:ascii="Times New Roman" w:hAnsi="Times New Roman" w:cs="Times New Roman"/>
                <w:b/>
                <w:bCs/>
                <w:sz w:val="26"/>
                <w:szCs w:val="26"/>
              </w:rPr>
              <w:t>Công ty</w:t>
            </w:r>
          </w:p>
        </w:tc>
        <w:tc>
          <w:tcPr>
            <w:tcW w:w="972" w:type="dxa"/>
            <w:tcBorders>
              <w:top w:val="single" w:sz="4" w:space="0" w:color="auto"/>
              <w:left w:val="single" w:sz="4" w:space="0" w:color="auto"/>
              <w:bottom w:val="single" w:sz="4" w:space="0" w:color="auto"/>
              <w:right w:val="single" w:sz="4" w:space="0" w:color="auto"/>
            </w:tcBorders>
            <w:vAlign w:val="center"/>
            <w:hideMark/>
          </w:tcPr>
          <w:p w14:paraId="1ECB98D9" w14:textId="77777777" w:rsidR="008344F6" w:rsidRPr="001909AC" w:rsidRDefault="008344F6" w:rsidP="008344F6">
            <w:pPr>
              <w:spacing w:after="160" w:line="259" w:lineRule="auto"/>
              <w:jc w:val="center"/>
              <w:rPr>
                <w:rFonts w:ascii="Times New Roman" w:hAnsi="Times New Roman" w:cs="Times New Roman"/>
                <w:b/>
                <w:bCs/>
              </w:rPr>
            </w:pPr>
            <w:r w:rsidRPr="001909AC">
              <w:rPr>
                <w:rFonts w:ascii="Times New Roman" w:hAnsi="Times New Roman" w:cs="Times New Roman"/>
                <w:b/>
                <w:bCs/>
              </w:rPr>
              <w:t>2019</w:t>
            </w:r>
          </w:p>
        </w:tc>
        <w:tc>
          <w:tcPr>
            <w:tcW w:w="955" w:type="dxa"/>
            <w:tcBorders>
              <w:top w:val="single" w:sz="4" w:space="0" w:color="auto"/>
              <w:left w:val="single" w:sz="4" w:space="0" w:color="auto"/>
              <w:bottom w:val="single" w:sz="4" w:space="0" w:color="auto"/>
              <w:right w:val="single" w:sz="4" w:space="0" w:color="auto"/>
            </w:tcBorders>
            <w:vAlign w:val="center"/>
            <w:hideMark/>
          </w:tcPr>
          <w:p w14:paraId="03B37316" w14:textId="77777777" w:rsidR="008344F6" w:rsidRPr="001909AC" w:rsidRDefault="008344F6" w:rsidP="008344F6">
            <w:pPr>
              <w:spacing w:after="160" w:line="259" w:lineRule="auto"/>
              <w:jc w:val="center"/>
              <w:rPr>
                <w:rFonts w:ascii="Times New Roman" w:hAnsi="Times New Roman" w:cs="Times New Roman"/>
                <w:b/>
                <w:bCs/>
              </w:rPr>
            </w:pPr>
            <w:r w:rsidRPr="001909AC">
              <w:rPr>
                <w:rFonts w:ascii="Times New Roman" w:hAnsi="Times New Roman" w:cs="Times New Roman"/>
                <w:b/>
                <w:bCs/>
              </w:rPr>
              <w:t>2020</w:t>
            </w:r>
          </w:p>
        </w:tc>
        <w:tc>
          <w:tcPr>
            <w:tcW w:w="955" w:type="dxa"/>
            <w:tcBorders>
              <w:top w:val="single" w:sz="4" w:space="0" w:color="auto"/>
              <w:left w:val="single" w:sz="4" w:space="0" w:color="auto"/>
              <w:bottom w:val="single" w:sz="4" w:space="0" w:color="auto"/>
              <w:right w:val="single" w:sz="4" w:space="0" w:color="auto"/>
            </w:tcBorders>
            <w:vAlign w:val="center"/>
            <w:hideMark/>
          </w:tcPr>
          <w:p w14:paraId="1652BF17" w14:textId="77777777" w:rsidR="008344F6" w:rsidRPr="001909AC" w:rsidRDefault="008344F6" w:rsidP="008344F6">
            <w:pPr>
              <w:spacing w:after="160" w:line="259" w:lineRule="auto"/>
              <w:jc w:val="center"/>
              <w:rPr>
                <w:rFonts w:ascii="Times New Roman" w:hAnsi="Times New Roman" w:cs="Times New Roman"/>
                <w:b/>
                <w:bCs/>
              </w:rPr>
            </w:pPr>
            <w:r w:rsidRPr="001909AC">
              <w:rPr>
                <w:rFonts w:ascii="Times New Roman" w:hAnsi="Times New Roman" w:cs="Times New Roman"/>
                <w:b/>
                <w:bCs/>
              </w:rPr>
              <w:t>2021</w:t>
            </w:r>
          </w:p>
        </w:tc>
        <w:tc>
          <w:tcPr>
            <w:tcW w:w="955" w:type="dxa"/>
            <w:tcBorders>
              <w:top w:val="single" w:sz="4" w:space="0" w:color="auto"/>
              <w:left w:val="single" w:sz="4" w:space="0" w:color="auto"/>
              <w:bottom w:val="single" w:sz="4" w:space="0" w:color="auto"/>
              <w:right w:val="single" w:sz="4" w:space="0" w:color="auto"/>
            </w:tcBorders>
            <w:vAlign w:val="center"/>
            <w:hideMark/>
          </w:tcPr>
          <w:p w14:paraId="7F799800" w14:textId="77777777" w:rsidR="008344F6" w:rsidRPr="001909AC" w:rsidRDefault="008344F6" w:rsidP="008344F6">
            <w:pPr>
              <w:spacing w:after="160" w:line="259" w:lineRule="auto"/>
              <w:jc w:val="center"/>
              <w:rPr>
                <w:rFonts w:ascii="Times New Roman" w:hAnsi="Times New Roman" w:cs="Times New Roman"/>
                <w:b/>
                <w:bCs/>
              </w:rPr>
            </w:pPr>
            <w:r w:rsidRPr="001909AC">
              <w:rPr>
                <w:rFonts w:ascii="Times New Roman" w:hAnsi="Times New Roman" w:cs="Times New Roman"/>
                <w:b/>
                <w:bCs/>
              </w:rPr>
              <w:t>2022</w:t>
            </w:r>
          </w:p>
        </w:tc>
        <w:tc>
          <w:tcPr>
            <w:tcW w:w="955" w:type="dxa"/>
            <w:tcBorders>
              <w:top w:val="single" w:sz="4" w:space="0" w:color="auto"/>
              <w:left w:val="single" w:sz="4" w:space="0" w:color="auto"/>
              <w:bottom w:val="single" w:sz="4" w:space="0" w:color="auto"/>
              <w:right w:val="single" w:sz="4" w:space="0" w:color="auto"/>
            </w:tcBorders>
            <w:vAlign w:val="center"/>
            <w:hideMark/>
          </w:tcPr>
          <w:p w14:paraId="76C93ADC" w14:textId="77777777" w:rsidR="008344F6" w:rsidRPr="001909AC" w:rsidRDefault="008344F6" w:rsidP="008344F6">
            <w:pPr>
              <w:spacing w:after="160" w:line="259" w:lineRule="auto"/>
              <w:jc w:val="center"/>
              <w:rPr>
                <w:rFonts w:ascii="Times New Roman" w:hAnsi="Times New Roman" w:cs="Times New Roman"/>
                <w:b/>
                <w:bCs/>
              </w:rPr>
            </w:pPr>
            <w:r w:rsidRPr="001909AC">
              <w:rPr>
                <w:rFonts w:ascii="Times New Roman" w:hAnsi="Times New Roman" w:cs="Times New Roman"/>
                <w:b/>
                <w:bCs/>
              </w:rPr>
              <w:t>2023</w:t>
            </w:r>
          </w:p>
        </w:tc>
        <w:tc>
          <w:tcPr>
            <w:tcW w:w="1270" w:type="dxa"/>
            <w:tcBorders>
              <w:top w:val="single" w:sz="4" w:space="0" w:color="auto"/>
              <w:left w:val="single" w:sz="4" w:space="0" w:color="auto"/>
              <w:bottom w:val="single" w:sz="4" w:space="0" w:color="auto"/>
              <w:right w:val="single" w:sz="4" w:space="0" w:color="auto"/>
            </w:tcBorders>
            <w:vAlign w:val="center"/>
          </w:tcPr>
          <w:p w14:paraId="20E40016" w14:textId="77777777" w:rsidR="008344F6" w:rsidRPr="008D2462" w:rsidRDefault="008344F6" w:rsidP="008344F6">
            <w:pPr>
              <w:jc w:val="center"/>
              <w:rPr>
                <w:rFonts w:ascii="Times New Roman" w:hAnsi="Times New Roman" w:cs="Times New Roman"/>
                <w:b/>
                <w:bCs/>
              </w:rPr>
            </w:pPr>
            <w:r>
              <w:rPr>
                <w:rFonts w:ascii="Times New Roman" w:hAnsi="Times New Roman" w:cs="Times New Roman"/>
                <w:b/>
                <w:bCs/>
              </w:rPr>
              <w:t>Bình quân</w:t>
            </w:r>
          </w:p>
        </w:tc>
      </w:tr>
      <w:tr w:rsidR="003331B9" w:rsidRPr="001909AC" w14:paraId="54D6D131" w14:textId="77777777" w:rsidTr="00383389">
        <w:trPr>
          <w:trHeight w:val="274"/>
        </w:trPr>
        <w:tc>
          <w:tcPr>
            <w:tcW w:w="709" w:type="dxa"/>
            <w:tcBorders>
              <w:top w:val="single" w:sz="4" w:space="0" w:color="auto"/>
              <w:left w:val="single" w:sz="4" w:space="0" w:color="auto"/>
              <w:bottom w:val="single" w:sz="4" w:space="0" w:color="auto"/>
              <w:right w:val="single" w:sz="4" w:space="0" w:color="auto"/>
            </w:tcBorders>
            <w:vAlign w:val="center"/>
          </w:tcPr>
          <w:p w14:paraId="0D84261F" w14:textId="0D9BB0EA"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1</w:t>
            </w:r>
          </w:p>
        </w:tc>
        <w:tc>
          <w:tcPr>
            <w:tcW w:w="1648" w:type="dxa"/>
            <w:tcBorders>
              <w:top w:val="single" w:sz="4" w:space="0" w:color="auto"/>
              <w:left w:val="single" w:sz="4" w:space="0" w:color="auto"/>
              <w:bottom w:val="single" w:sz="4" w:space="0" w:color="auto"/>
              <w:right w:val="single" w:sz="4" w:space="0" w:color="auto"/>
            </w:tcBorders>
            <w:vAlign w:val="center"/>
            <w:hideMark/>
          </w:tcPr>
          <w:p w14:paraId="79619284" w14:textId="11BD3A4E"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TVD</w:t>
            </w:r>
          </w:p>
        </w:tc>
        <w:tc>
          <w:tcPr>
            <w:tcW w:w="972" w:type="dxa"/>
            <w:tcBorders>
              <w:top w:val="single" w:sz="4" w:space="0" w:color="auto"/>
              <w:left w:val="single" w:sz="4" w:space="0" w:color="auto"/>
              <w:bottom w:val="single" w:sz="4" w:space="0" w:color="auto"/>
              <w:right w:val="single" w:sz="4" w:space="0" w:color="auto"/>
            </w:tcBorders>
            <w:vAlign w:val="center"/>
            <w:hideMark/>
          </w:tcPr>
          <w:p w14:paraId="2F3EDCF2"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1,81</w:t>
            </w:r>
          </w:p>
        </w:tc>
        <w:tc>
          <w:tcPr>
            <w:tcW w:w="955" w:type="dxa"/>
            <w:tcBorders>
              <w:top w:val="single" w:sz="4" w:space="0" w:color="auto"/>
              <w:left w:val="single" w:sz="4" w:space="0" w:color="auto"/>
              <w:bottom w:val="single" w:sz="4" w:space="0" w:color="auto"/>
              <w:right w:val="single" w:sz="4" w:space="0" w:color="auto"/>
            </w:tcBorders>
            <w:vAlign w:val="center"/>
            <w:hideMark/>
          </w:tcPr>
          <w:p w14:paraId="19AF07A8"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1,68</w:t>
            </w:r>
          </w:p>
        </w:tc>
        <w:tc>
          <w:tcPr>
            <w:tcW w:w="955" w:type="dxa"/>
            <w:tcBorders>
              <w:top w:val="single" w:sz="4" w:space="0" w:color="auto"/>
              <w:left w:val="single" w:sz="4" w:space="0" w:color="auto"/>
              <w:bottom w:val="single" w:sz="4" w:space="0" w:color="auto"/>
              <w:right w:val="single" w:sz="4" w:space="0" w:color="auto"/>
            </w:tcBorders>
            <w:vAlign w:val="center"/>
            <w:hideMark/>
          </w:tcPr>
          <w:p w14:paraId="6AC58667"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2,26</w:t>
            </w:r>
          </w:p>
        </w:tc>
        <w:tc>
          <w:tcPr>
            <w:tcW w:w="955" w:type="dxa"/>
            <w:tcBorders>
              <w:top w:val="single" w:sz="4" w:space="0" w:color="auto"/>
              <w:left w:val="single" w:sz="4" w:space="0" w:color="auto"/>
              <w:bottom w:val="single" w:sz="4" w:space="0" w:color="auto"/>
              <w:right w:val="single" w:sz="4" w:space="0" w:color="auto"/>
            </w:tcBorders>
            <w:vAlign w:val="center"/>
            <w:hideMark/>
          </w:tcPr>
          <w:p w14:paraId="36C21D79"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2,50</w:t>
            </w:r>
          </w:p>
        </w:tc>
        <w:tc>
          <w:tcPr>
            <w:tcW w:w="955" w:type="dxa"/>
            <w:tcBorders>
              <w:top w:val="single" w:sz="4" w:space="0" w:color="auto"/>
              <w:left w:val="single" w:sz="4" w:space="0" w:color="auto"/>
              <w:bottom w:val="single" w:sz="4" w:space="0" w:color="auto"/>
              <w:right w:val="single" w:sz="4" w:space="0" w:color="auto"/>
            </w:tcBorders>
            <w:vAlign w:val="center"/>
            <w:hideMark/>
          </w:tcPr>
          <w:p w14:paraId="4FF16EC4"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3,08</w:t>
            </w:r>
          </w:p>
        </w:tc>
        <w:tc>
          <w:tcPr>
            <w:tcW w:w="1270" w:type="dxa"/>
            <w:tcBorders>
              <w:top w:val="single" w:sz="4" w:space="0" w:color="auto"/>
              <w:left w:val="single" w:sz="4" w:space="0" w:color="auto"/>
              <w:bottom w:val="single" w:sz="4" w:space="0" w:color="auto"/>
              <w:right w:val="single" w:sz="4" w:space="0" w:color="auto"/>
            </w:tcBorders>
            <w:vAlign w:val="center"/>
          </w:tcPr>
          <w:p w14:paraId="7C333DCD"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2,27</w:t>
            </w:r>
          </w:p>
        </w:tc>
      </w:tr>
      <w:tr w:rsidR="003331B9" w:rsidRPr="001909AC" w14:paraId="493E4584" w14:textId="77777777" w:rsidTr="00383389">
        <w:trPr>
          <w:trHeight w:val="254"/>
        </w:trPr>
        <w:tc>
          <w:tcPr>
            <w:tcW w:w="709" w:type="dxa"/>
            <w:tcBorders>
              <w:top w:val="single" w:sz="4" w:space="0" w:color="auto"/>
              <w:left w:val="single" w:sz="4" w:space="0" w:color="auto"/>
              <w:bottom w:val="single" w:sz="4" w:space="0" w:color="auto"/>
              <w:right w:val="single" w:sz="4" w:space="0" w:color="auto"/>
            </w:tcBorders>
            <w:vAlign w:val="center"/>
          </w:tcPr>
          <w:p w14:paraId="0C611ACC" w14:textId="13576B43"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2</w:t>
            </w:r>
          </w:p>
        </w:tc>
        <w:tc>
          <w:tcPr>
            <w:tcW w:w="1648" w:type="dxa"/>
            <w:tcBorders>
              <w:top w:val="single" w:sz="4" w:space="0" w:color="auto"/>
              <w:left w:val="single" w:sz="4" w:space="0" w:color="auto"/>
              <w:bottom w:val="single" w:sz="4" w:space="0" w:color="auto"/>
              <w:right w:val="single" w:sz="4" w:space="0" w:color="auto"/>
            </w:tcBorders>
            <w:vAlign w:val="center"/>
            <w:hideMark/>
          </w:tcPr>
          <w:p w14:paraId="5024180C" w14:textId="7CF2B221"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MDC</w:t>
            </w:r>
          </w:p>
        </w:tc>
        <w:tc>
          <w:tcPr>
            <w:tcW w:w="972" w:type="dxa"/>
            <w:tcBorders>
              <w:top w:val="single" w:sz="4" w:space="0" w:color="auto"/>
              <w:left w:val="single" w:sz="4" w:space="0" w:color="auto"/>
              <w:bottom w:val="single" w:sz="4" w:space="0" w:color="auto"/>
              <w:right w:val="single" w:sz="4" w:space="0" w:color="auto"/>
            </w:tcBorders>
            <w:vAlign w:val="center"/>
            <w:hideMark/>
          </w:tcPr>
          <w:p w14:paraId="13BB56A2"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1,739</w:t>
            </w:r>
          </w:p>
        </w:tc>
        <w:tc>
          <w:tcPr>
            <w:tcW w:w="955" w:type="dxa"/>
            <w:tcBorders>
              <w:top w:val="single" w:sz="4" w:space="0" w:color="auto"/>
              <w:left w:val="nil"/>
              <w:bottom w:val="single" w:sz="4" w:space="0" w:color="auto"/>
              <w:right w:val="single" w:sz="4" w:space="0" w:color="auto"/>
            </w:tcBorders>
            <w:vAlign w:val="center"/>
            <w:hideMark/>
          </w:tcPr>
          <w:p w14:paraId="14F74944"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1,789</w:t>
            </w:r>
          </w:p>
        </w:tc>
        <w:tc>
          <w:tcPr>
            <w:tcW w:w="955" w:type="dxa"/>
            <w:tcBorders>
              <w:top w:val="single" w:sz="4" w:space="0" w:color="auto"/>
              <w:left w:val="nil"/>
              <w:bottom w:val="single" w:sz="4" w:space="0" w:color="auto"/>
              <w:right w:val="single" w:sz="4" w:space="0" w:color="auto"/>
            </w:tcBorders>
            <w:vAlign w:val="center"/>
            <w:hideMark/>
          </w:tcPr>
          <w:p w14:paraId="6DC262F5"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1,949</w:t>
            </w:r>
          </w:p>
        </w:tc>
        <w:tc>
          <w:tcPr>
            <w:tcW w:w="955" w:type="dxa"/>
            <w:tcBorders>
              <w:top w:val="single" w:sz="4" w:space="0" w:color="auto"/>
              <w:left w:val="nil"/>
              <w:bottom w:val="single" w:sz="4" w:space="0" w:color="auto"/>
              <w:right w:val="single" w:sz="4" w:space="0" w:color="auto"/>
            </w:tcBorders>
            <w:vAlign w:val="center"/>
            <w:hideMark/>
          </w:tcPr>
          <w:p w14:paraId="555B461E"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1,938</w:t>
            </w:r>
          </w:p>
        </w:tc>
        <w:tc>
          <w:tcPr>
            <w:tcW w:w="955" w:type="dxa"/>
            <w:tcBorders>
              <w:top w:val="single" w:sz="4" w:space="0" w:color="auto"/>
              <w:left w:val="nil"/>
              <w:bottom w:val="single" w:sz="4" w:space="0" w:color="auto"/>
              <w:right w:val="single" w:sz="4" w:space="0" w:color="auto"/>
            </w:tcBorders>
            <w:vAlign w:val="center"/>
            <w:hideMark/>
          </w:tcPr>
          <w:p w14:paraId="299DC325"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2,455</w:t>
            </w:r>
          </w:p>
        </w:tc>
        <w:tc>
          <w:tcPr>
            <w:tcW w:w="1270" w:type="dxa"/>
            <w:tcBorders>
              <w:top w:val="single" w:sz="4" w:space="0" w:color="auto"/>
              <w:left w:val="nil"/>
              <w:bottom w:val="single" w:sz="4" w:space="0" w:color="auto"/>
              <w:right w:val="single" w:sz="4" w:space="0" w:color="auto"/>
            </w:tcBorders>
            <w:vAlign w:val="center"/>
          </w:tcPr>
          <w:p w14:paraId="2454188B"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1,97</w:t>
            </w:r>
          </w:p>
        </w:tc>
      </w:tr>
      <w:tr w:rsidR="003331B9" w:rsidRPr="001909AC" w14:paraId="3BFCC7F8" w14:textId="77777777" w:rsidTr="00383389">
        <w:trPr>
          <w:trHeight w:val="293"/>
        </w:trPr>
        <w:tc>
          <w:tcPr>
            <w:tcW w:w="709" w:type="dxa"/>
            <w:tcBorders>
              <w:top w:val="single" w:sz="4" w:space="0" w:color="auto"/>
              <w:left w:val="single" w:sz="4" w:space="0" w:color="auto"/>
              <w:bottom w:val="single" w:sz="4" w:space="0" w:color="auto"/>
              <w:right w:val="single" w:sz="4" w:space="0" w:color="auto"/>
            </w:tcBorders>
            <w:vAlign w:val="center"/>
          </w:tcPr>
          <w:p w14:paraId="370CAA32" w14:textId="5A375E02"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3</w:t>
            </w:r>
          </w:p>
        </w:tc>
        <w:tc>
          <w:tcPr>
            <w:tcW w:w="1648" w:type="dxa"/>
            <w:tcBorders>
              <w:top w:val="single" w:sz="4" w:space="0" w:color="auto"/>
              <w:left w:val="single" w:sz="4" w:space="0" w:color="auto"/>
              <w:bottom w:val="single" w:sz="4" w:space="0" w:color="auto"/>
              <w:right w:val="single" w:sz="4" w:space="0" w:color="auto"/>
            </w:tcBorders>
            <w:vAlign w:val="center"/>
            <w:hideMark/>
          </w:tcPr>
          <w:p w14:paraId="74FDBB8E" w14:textId="328ADDF5"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HLC</w:t>
            </w:r>
          </w:p>
        </w:tc>
        <w:tc>
          <w:tcPr>
            <w:tcW w:w="972" w:type="dxa"/>
            <w:tcBorders>
              <w:top w:val="single" w:sz="4" w:space="0" w:color="auto"/>
              <w:left w:val="single" w:sz="4" w:space="0" w:color="auto"/>
              <w:bottom w:val="single" w:sz="4" w:space="0" w:color="auto"/>
              <w:right w:val="single" w:sz="4" w:space="0" w:color="auto"/>
            </w:tcBorders>
            <w:vAlign w:val="center"/>
            <w:hideMark/>
          </w:tcPr>
          <w:p w14:paraId="45113849"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0,95</w:t>
            </w:r>
          </w:p>
        </w:tc>
        <w:tc>
          <w:tcPr>
            <w:tcW w:w="955" w:type="dxa"/>
            <w:tcBorders>
              <w:top w:val="single" w:sz="4" w:space="0" w:color="auto"/>
              <w:left w:val="single" w:sz="4" w:space="0" w:color="auto"/>
              <w:bottom w:val="single" w:sz="4" w:space="0" w:color="auto"/>
              <w:right w:val="single" w:sz="4" w:space="0" w:color="auto"/>
            </w:tcBorders>
            <w:vAlign w:val="center"/>
            <w:hideMark/>
          </w:tcPr>
          <w:p w14:paraId="40A9328B"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0,78</w:t>
            </w:r>
          </w:p>
        </w:tc>
        <w:tc>
          <w:tcPr>
            <w:tcW w:w="955" w:type="dxa"/>
            <w:tcBorders>
              <w:top w:val="single" w:sz="4" w:space="0" w:color="auto"/>
              <w:left w:val="single" w:sz="4" w:space="0" w:color="auto"/>
              <w:bottom w:val="single" w:sz="4" w:space="0" w:color="auto"/>
              <w:right w:val="single" w:sz="4" w:space="0" w:color="auto"/>
            </w:tcBorders>
            <w:vAlign w:val="center"/>
            <w:hideMark/>
          </w:tcPr>
          <w:p w14:paraId="3604D929"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1,04</w:t>
            </w:r>
          </w:p>
        </w:tc>
        <w:tc>
          <w:tcPr>
            <w:tcW w:w="955" w:type="dxa"/>
            <w:tcBorders>
              <w:top w:val="single" w:sz="4" w:space="0" w:color="auto"/>
              <w:left w:val="single" w:sz="4" w:space="0" w:color="auto"/>
              <w:bottom w:val="single" w:sz="4" w:space="0" w:color="auto"/>
              <w:right w:val="single" w:sz="4" w:space="0" w:color="auto"/>
            </w:tcBorders>
            <w:vAlign w:val="center"/>
            <w:hideMark/>
          </w:tcPr>
          <w:p w14:paraId="730BCB7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1,31</w:t>
            </w:r>
          </w:p>
        </w:tc>
        <w:tc>
          <w:tcPr>
            <w:tcW w:w="955" w:type="dxa"/>
            <w:tcBorders>
              <w:top w:val="single" w:sz="4" w:space="0" w:color="auto"/>
              <w:left w:val="single" w:sz="4" w:space="0" w:color="auto"/>
              <w:bottom w:val="single" w:sz="4" w:space="0" w:color="auto"/>
              <w:right w:val="single" w:sz="4" w:space="0" w:color="auto"/>
            </w:tcBorders>
            <w:vAlign w:val="center"/>
            <w:hideMark/>
          </w:tcPr>
          <w:p w14:paraId="268A7332"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1,39</w:t>
            </w:r>
          </w:p>
        </w:tc>
        <w:tc>
          <w:tcPr>
            <w:tcW w:w="1270" w:type="dxa"/>
            <w:tcBorders>
              <w:top w:val="single" w:sz="4" w:space="0" w:color="auto"/>
              <w:left w:val="single" w:sz="4" w:space="0" w:color="auto"/>
              <w:bottom w:val="single" w:sz="4" w:space="0" w:color="auto"/>
              <w:right w:val="single" w:sz="4" w:space="0" w:color="auto"/>
            </w:tcBorders>
            <w:vAlign w:val="center"/>
          </w:tcPr>
          <w:p w14:paraId="28721783"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1,09</w:t>
            </w:r>
          </w:p>
        </w:tc>
      </w:tr>
      <w:tr w:rsidR="003331B9" w:rsidRPr="001909AC" w14:paraId="03C7D108" w14:textId="77777777" w:rsidTr="00383389">
        <w:trPr>
          <w:trHeight w:val="254"/>
        </w:trPr>
        <w:tc>
          <w:tcPr>
            <w:tcW w:w="709" w:type="dxa"/>
            <w:tcBorders>
              <w:top w:val="single" w:sz="4" w:space="0" w:color="auto"/>
              <w:left w:val="single" w:sz="4" w:space="0" w:color="auto"/>
              <w:bottom w:val="single" w:sz="4" w:space="0" w:color="auto"/>
              <w:right w:val="single" w:sz="4" w:space="0" w:color="auto"/>
            </w:tcBorders>
            <w:vAlign w:val="center"/>
          </w:tcPr>
          <w:p w14:paraId="5E872EF3" w14:textId="05A8C6D6"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4</w:t>
            </w:r>
          </w:p>
        </w:tc>
        <w:tc>
          <w:tcPr>
            <w:tcW w:w="1648" w:type="dxa"/>
            <w:tcBorders>
              <w:top w:val="single" w:sz="4" w:space="0" w:color="auto"/>
              <w:left w:val="single" w:sz="4" w:space="0" w:color="auto"/>
              <w:bottom w:val="single" w:sz="4" w:space="0" w:color="auto"/>
              <w:right w:val="single" w:sz="4" w:space="0" w:color="auto"/>
            </w:tcBorders>
            <w:vAlign w:val="center"/>
            <w:hideMark/>
          </w:tcPr>
          <w:p w14:paraId="6B904497" w14:textId="6CFBB971"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THT</w:t>
            </w:r>
          </w:p>
        </w:tc>
        <w:tc>
          <w:tcPr>
            <w:tcW w:w="972" w:type="dxa"/>
            <w:tcBorders>
              <w:top w:val="single" w:sz="4" w:space="0" w:color="auto"/>
              <w:left w:val="single" w:sz="4" w:space="0" w:color="auto"/>
              <w:bottom w:val="single" w:sz="4" w:space="0" w:color="auto"/>
              <w:right w:val="single" w:sz="4" w:space="0" w:color="auto"/>
            </w:tcBorders>
            <w:vAlign w:val="center"/>
            <w:hideMark/>
          </w:tcPr>
          <w:p w14:paraId="18A44A59"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1,71</w:t>
            </w:r>
          </w:p>
        </w:tc>
        <w:tc>
          <w:tcPr>
            <w:tcW w:w="955" w:type="dxa"/>
            <w:tcBorders>
              <w:top w:val="single" w:sz="4" w:space="0" w:color="auto"/>
              <w:left w:val="single" w:sz="4" w:space="0" w:color="auto"/>
              <w:bottom w:val="single" w:sz="4" w:space="0" w:color="auto"/>
              <w:right w:val="single" w:sz="4" w:space="0" w:color="auto"/>
            </w:tcBorders>
            <w:vAlign w:val="center"/>
            <w:hideMark/>
          </w:tcPr>
          <w:p w14:paraId="71C4E49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1,61</w:t>
            </w:r>
          </w:p>
        </w:tc>
        <w:tc>
          <w:tcPr>
            <w:tcW w:w="955" w:type="dxa"/>
            <w:tcBorders>
              <w:top w:val="single" w:sz="4" w:space="0" w:color="auto"/>
              <w:left w:val="single" w:sz="4" w:space="0" w:color="auto"/>
              <w:bottom w:val="single" w:sz="4" w:space="0" w:color="auto"/>
              <w:right w:val="single" w:sz="4" w:space="0" w:color="auto"/>
            </w:tcBorders>
            <w:vAlign w:val="center"/>
            <w:hideMark/>
          </w:tcPr>
          <w:p w14:paraId="2983424A"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2,11</w:t>
            </w:r>
          </w:p>
        </w:tc>
        <w:tc>
          <w:tcPr>
            <w:tcW w:w="955" w:type="dxa"/>
            <w:tcBorders>
              <w:top w:val="single" w:sz="4" w:space="0" w:color="auto"/>
              <w:left w:val="single" w:sz="4" w:space="0" w:color="auto"/>
              <w:bottom w:val="single" w:sz="4" w:space="0" w:color="auto"/>
              <w:right w:val="single" w:sz="4" w:space="0" w:color="auto"/>
            </w:tcBorders>
            <w:vAlign w:val="center"/>
            <w:hideMark/>
          </w:tcPr>
          <w:p w14:paraId="2B92D00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2,89</w:t>
            </w:r>
          </w:p>
        </w:tc>
        <w:tc>
          <w:tcPr>
            <w:tcW w:w="955" w:type="dxa"/>
            <w:tcBorders>
              <w:top w:val="single" w:sz="4" w:space="0" w:color="auto"/>
              <w:left w:val="single" w:sz="4" w:space="0" w:color="auto"/>
              <w:bottom w:val="single" w:sz="4" w:space="0" w:color="auto"/>
              <w:right w:val="single" w:sz="4" w:space="0" w:color="auto"/>
            </w:tcBorders>
            <w:vAlign w:val="center"/>
            <w:hideMark/>
          </w:tcPr>
          <w:p w14:paraId="3A443AEB"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2,69</w:t>
            </w:r>
          </w:p>
        </w:tc>
        <w:tc>
          <w:tcPr>
            <w:tcW w:w="1270" w:type="dxa"/>
            <w:tcBorders>
              <w:top w:val="single" w:sz="4" w:space="0" w:color="auto"/>
              <w:left w:val="single" w:sz="4" w:space="0" w:color="auto"/>
              <w:bottom w:val="single" w:sz="4" w:space="0" w:color="auto"/>
              <w:right w:val="single" w:sz="4" w:space="0" w:color="auto"/>
            </w:tcBorders>
            <w:vAlign w:val="center"/>
          </w:tcPr>
          <w:p w14:paraId="66952C0D"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2,20</w:t>
            </w:r>
          </w:p>
        </w:tc>
      </w:tr>
      <w:tr w:rsidR="003331B9" w:rsidRPr="001909AC" w14:paraId="39B0F6C8" w14:textId="77777777" w:rsidTr="00383389">
        <w:trPr>
          <w:trHeight w:val="254"/>
        </w:trPr>
        <w:tc>
          <w:tcPr>
            <w:tcW w:w="709" w:type="dxa"/>
            <w:tcBorders>
              <w:top w:val="single" w:sz="4" w:space="0" w:color="auto"/>
              <w:left w:val="single" w:sz="4" w:space="0" w:color="auto"/>
              <w:bottom w:val="single" w:sz="4" w:space="0" w:color="auto"/>
              <w:right w:val="single" w:sz="4" w:space="0" w:color="auto"/>
            </w:tcBorders>
            <w:vAlign w:val="center"/>
          </w:tcPr>
          <w:p w14:paraId="238F9DEB" w14:textId="0B5BCA5A"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5</w:t>
            </w:r>
          </w:p>
        </w:tc>
        <w:tc>
          <w:tcPr>
            <w:tcW w:w="1648" w:type="dxa"/>
            <w:tcBorders>
              <w:top w:val="single" w:sz="4" w:space="0" w:color="auto"/>
              <w:left w:val="single" w:sz="4" w:space="0" w:color="auto"/>
              <w:bottom w:val="single" w:sz="4" w:space="0" w:color="auto"/>
              <w:right w:val="single" w:sz="4" w:space="0" w:color="auto"/>
            </w:tcBorders>
            <w:vAlign w:val="center"/>
            <w:hideMark/>
          </w:tcPr>
          <w:p w14:paraId="23AADF5F" w14:textId="55D20CFC"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NBC</w:t>
            </w:r>
          </w:p>
        </w:tc>
        <w:tc>
          <w:tcPr>
            <w:tcW w:w="972" w:type="dxa"/>
            <w:tcBorders>
              <w:top w:val="single" w:sz="4" w:space="0" w:color="auto"/>
              <w:left w:val="single" w:sz="4" w:space="0" w:color="auto"/>
              <w:bottom w:val="single" w:sz="4" w:space="0" w:color="auto"/>
              <w:right w:val="single" w:sz="4" w:space="0" w:color="auto"/>
            </w:tcBorders>
            <w:vAlign w:val="center"/>
            <w:hideMark/>
          </w:tcPr>
          <w:p w14:paraId="6D481394"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0,68</w:t>
            </w:r>
          </w:p>
        </w:tc>
        <w:tc>
          <w:tcPr>
            <w:tcW w:w="955" w:type="dxa"/>
            <w:tcBorders>
              <w:top w:val="single" w:sz="4" w:space="0" w:color="auto"/>
              <w:left w:val="single" w:sz="4" w:space="0" w:color="auto"/>
              <w:bottom w:val="single" w:sz="4" w:space="0" w:color="auto"/>
              <w:right w:val="single" w:sz="4" w:space="0" w:color="auto"/>
            </w:tcBorders>
            <w:vAlign w:val="center"/>
            <w:hideMark/>
          </w:tcPr>
          <w:p w14:paraId="01240D54"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0,62</w:t>
            </w:r>
          </w:p>
        </w:tc>
        <w:tc>
          <w:tcPr>
            <w:tcW w:w="955" w:type="dxa"/>
            <w:tcBorders>
              <w:top w:val="single" w:sz="4" w:space="0" w:color="auto"/>
              <w:left w:val="single" w:sz="4" w:space="0" w:color="auto"/>
              <w:bottom w:val="single" w:sz="4" w:space="0" w:color="auto"/>
              <w:right w:val="single" w:sz="4" w:space="0" w:color="auto"/>
            </w:tcBorders>
            <w:vAlign w:val="center"/>
            <w:hideMark/>
          </w:tcPr>
          <w:p w14:paraId="5F200D08"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0,77</w:t>
            </w:r>
          </w:p>
        </w:tc>
        <w:tc>
          <w:tcPr>
            <w:tcW w:w="955" w:type="dxa"/>
            <w:tcBorders>
              <w:top w:val="single" w:sz="4" w:space="0" w:color="auto"/>
              <w:left w:val="single" w:sz="4" w:space="0" w:color="auto"/>
              <w:bottom w:val="single" w:sz="4" w:space="0" w:color="auto"/>
              <w:right w:val="single" w:sz="4" w:space="0" w:color="auto"/>
            </w:tcBorders>
            <w:vAlign w:val="center"/>
            <w:hideMark/>
          </w:tcPr>
          <w:p w14:paraId="6BA0CA9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1,07</w:t>
            </w:r>
          </w:p>
        </w:tc>
        <w:tc>
          <w:tcPr>
            <w:tcW w:w="955" w:type="dxa"/>
            <w:tcBorders>
              <w:top w:val="single" w:sz="4" w:space="0" w:color="auto"/>
              <w:left w:val="single" w:sz="4" w:space="0" w:color="auto"/>
              <w:bottom w:val="single" w:sz="4" w:space="0" w:color="auto"/>
              <w:right w:val="single" w:sz="4" w:space="0" w:color="auto"/>
            </w:tcBorders>
            <w:vAlign w:val="center"/>
            <w:hideMark/>
          </w:tcPr>
          <w:p w14:paraId="1289E51F"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1,24</w:t>
            </w:r>
          </w:p>
        </w:tc>
        <w:tc>
          <w:tcPr>
            <w:tcW w:w="1270" w:type="dxa"/>
            <w:tcBorders>
              <w:top w:val="single" w:sz="4" w:space="0" w:color="auto"/>
              <w:left w:val="single" w:sz="4" w:space="0" w:color="auto"/>
              <w:bottom w:val="single" w:sz="4" w:space="0" w:color="auto"/>
              <w:right w:val="single" w:sz="4" w:space="0" w:color="auto"/>
            </w:tcBorders>
            <w:vAlign w:val="center"/>
          </w:tcPr>
          <w:p w14:paraId="4F2781F2"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0,88</w:t>
            </w:r>
          </w:p>
        </w:tc>
      </w:tr>
    </w:tbl>
    <w:p w14:paraId="576089AB" w14:textId="619E4D6B" w:rsidR="00383389" w:rsidRPr="00656441" w:rsidRDefault="00B1640A" w:rsidP="00656441">
      <w:pPr>
        <w:spacing w:after="160" w:line="278" w:lineRule="auto"/>
        <w:jc w:val="right"/>
        <w:rPr>
          <w:rFonts w:ascii="Times New Roman" w:hAnsi="Times New Roman" w:cs="Times New Roman"/>
          <w:bCs/>
          <w:i/>
          <w:sz w:val="26"/>
          <w:szCs w:val="26"/>
          <w:lang w:val="vi-VN"/>
        </w:rPr>
      </w:pPr>
      <w:r w:rsidRPr="0031049D">
        <w:rPr>
          <w:rFonts w:ascii="Times New Roman" w:hAnsi="Times New Roman" w:cs="Times New Roman"/>
          <w:bCs/>
          <w:i/>
          <w:sz w:val="26"/>
          <w:szCs w:val="26"/>
        </w:rPr>
        <w:t>(Nguồn: Tổng hợp từ BCTC các công ty giai đoạn 2019-2023)</w:t>
      </w:r>
    </w:p>
    <w:p w14:paraId="482E7137" w14:textId="50080554" w:rsidR="00383389" w:rsidRDefault="008344F6" w:rsidP="00656441">
      <w:pPr>
        <w:spacing w:line="312" w:lineRule="auto"/>
        <w:jc w:val="both"/>
        <w:rPr>
          <w:rFonts w:ascii="Times New Roman" w:hAnsi="Times New Roman" w:cs="Times New Roman"/>
          <w:sz w:val="26"/>
          <w:szCs w:val="26"/>
          <w:lang w:val="vi-VN"/>
        </w:rPr>
      </w:pPr>
      <w:r>
        <w:rPr>
          <w:noProof/>
          <w:lang w:eastAsia="en-US"/>
        </w:rPr>
        <w:drawing>
          <wp:inline distT="0" distB="0" distL="0" distR="0" wp14:anchorId="53D42430" wp14:editId="623FC0C2">
            <wp:extent cx="5722620" cy="2377440"/>
            <wp:effectExtent l="0" t="0" r="11430" b="381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4444E88C" w14:textId="2D8E53B7" w:rsidR="008344F6" w:rsidRPr="00F22BA5" w:rsidRDefault="008344F6" w:rsidP="00C96C53">
      <w:pPr>
        <w:spacing w:line="312" w:lineRule="auto"/>
        <w:ind w:firstLine="720"/>
        <w:jc w:val="both"/>
        <w:rPr>
          <w:rFonts w:ascii="Times New Roman" w:hAnsi="Times New Roman" w:cs="Times New Roman"/>
          <w:sz w:val="26"/>
          <w:szCs w:val="26"/>
          <w:lang w:val="vi-VN"/>
        </w:rPr>
      </w:pPr>
      <w:r w:rsidRPr="008344F6">
        <w:rPr>
          <w:rFonts w:ascii="Times New Roman" w:hAnsi="Times New Roman" w:cs="Times New Roman"/>
          <w:sz w:val="26"/>
          <w:szCs w:val="26"/>
          <w:lang w:val="vi-VN"/>
        </w:rPr>
        <w:t xml:space="preserve">Trong </w:t>
      </w:r>
      <w:r w:rsidR="00777F4F" w:rsidRPr="00F22BA5">
        <w:rPr>
          <w:rFonts w:ascii="Times New Roman" w:hAnsi="Times New Roman" w:cs="Times New Roman"/>
          <w:sz w:val="26"/>
          <w:szCs w:val="26"/>
          <w:lang w:val="vi-VN"/>
        </w:rPr>
        <w:t>giai đoạn</w:t>
      </w:r>
      <w:r w:rsidRPr="008344F6">
        <w:rPr>
          <w:rFonts w:ascii="Times New Roman" w:hAnsi="Times New Roman" w:cs="Times New Roman"/>
          <w:sz w:val="26"/>
          <w:szCs w:val="26"/>
          <w:lang w:val="vi-VN"/>
        </w:rPr>
        <w:t xml:space="preserve"> từ 2019 đến 2023, CTCP Than </w:t>
      </w:r>
      <w:r w:rsidR="00777F4F">
        <w:rPr>
          <w:rFonts w:ascii="Times New Roman" w:hAnsi="Times New Roman" w:cs="Times New Roman"/>
          <w:sz w:val="26"/>
          <w:szCs w:val="26"/>
          <w:lang w:val="vi-VN"/>
        </w:rPr>
        <w:t xml:space="preserve">Vàng Danh và CTCP Than Hà Tu </w:t>
      </w:r>
      <w:r w:rsidR="00777F4F" w:rsidRPr="00F22BA5">
        <w:rPr>
          <w:rFonts w:ascii="Times New Roman" w:hAnsi="Times New Roman" w:cs="Times New Roman"/>
          <w:sz w:val="26"/>
          <w:szCs w:val="26"/>
          <w:lang w:val="vi-VN"/>
        </w:rPr>
        <w:t>có hiệu quả cao trong việc sử dụng tài sản</w:t>
      </w:r>
      <w:r w:rsidRPr="008344F6">
        <w:rPr>
          <w:rFonts w:ascii="Times New Roman" w:hAnsi="Times New Roman" w:cs="Times New Roman"/>
          <w:sz w:val="26"/>
          <w:szCs w:val="26"/>
          <w:lang w:val="vi-VN"/>
        </w:rPr>
        <w:t>, thể hiện qua chỉ tiêu vòng quay tổng tài sản cao hơn so với các công ty cùng ngành. Đặc biệt</w:t>
      </w:r>
      <w:r w:rsidR="00777F4F">
        <w:rPr>
          <w:rFonts w:ascii="Times New Roman" w:hAnsi="Times New Roman" w:cs="Times New Roman"/>
          <w:sz w:val="26"/>
          <w:szCs w:val="26"/>
          <w:lang w:val="vi-VN"/>
        </w:rPr>
        <w:t xml:space="preserve"> </w:t>
      </w:r>
      <w:r w:rsidRPr="008344F6">
        <w:rPr>
          <w:rFonts w:ascii="Times New Roman" w:hAnsi="Times New Roman" w:cs="Times New Roman"/>
          <w:sz w:val="26"/>
          <w:szCs w:val="26"/>
          <w:lang w:val="vi-VN"/>
        </w:rPr>
        <w:t xml:space="preserve"> năm 2023, </w:t>
      </w:r>
      <w:r w:rsidR="00777F4F" w:rsidRPr="008344F6">
        <w:rPr>
          <w:rFonts w:ascii="Times New Roman" w:hAnsi="Times New Roman" w:cs="Times New Roman"/>
          <w:sz w:val="26"/>
          <w:szCs w:val="26"/>
          <w:lang w:val="vi-VN"/>
        </w:rPr>
        <w:t xml:space="preserve">CTCP Than </w:t>
      </w:r>
      <w:r w:rsidR="00777F4F">
        <w:rPr>
          <w:rFonts w:ascii="Times New Roman" w:hAnsi="Times New Roman" w:cs="Times New Roman"/>
          <w:sz w:val="26"/>
          <w:szCs w:val="26"/>
          <w:lang w:val="vi-VN"/>
        </w:rPr>
        <w:t xml:space="preserve">Vàng Danh </w:t>
      </w:r>
      <w:r w:rsidRPr="008344F6">
        <w:rPr>
          <w:rFonts w:ascii="Times New Roman" w:hAnsi="Times New Roman" w:cs="Times New Roman"/>
          <w:sz w:val="26"/>
          <w:szCs w:val="26"/>
          <w:lang w:val="vi-VN"/>
        </w:rPr>
        <w:t xml:space="preserve">Vàng Danh đạt mức 3,08 vòng, cao nhất trong số các doanh nghiệp, cho thấy khả </w:t>
      </w:r>
      <w:r w:rsidR="00777F4F" w:rsidRPr="00F22BA5">
        <w:rPr>
          <w:rFonts w:ascii="Times New Roman" w:hAnsi="Times New Roman" w:cs="Times New Roman"/>
          <w:sz w:val="26"/>
          <w:szCs w:val="26"/>
          <w:lang w:val="vi-VN"/>
        </w:rPr>
        <w:t>một đồng tài sản tạo ra 3,08 đồng doanh thu, trong khi các đơn vị khác chỉ đạt trung bình 1,68 vòng/năm.</w:t>
      </w:r>
      <w:r w:rsidR="0030059C" w:rsidRPr="00F22BA5">
        <w:rPr>
          <w:rFonts w:ascii="Times New Roman" w:hAnsi="Times New Roman" w:cs="Times New Roman"/>
          <w:sz w:val="26"/>
          <w:szCs w:val="26"/>
          <w:lang w:val="vi-VN"/>
        </w:rPr>
        <w:t xml:space="preserve"> </w:t>
      </w:r>
      <w:r w:rsidRPr="008344F6">
        <w:rPr>
          <w:rFonts w:ascii="Times New Roman" w:hAnsi="Times New Roman" w:cs="Times New Roman"/>
          <w:sz w:val="26"/>
          <w:szCs w:val="26"/>
          <w:lang w:val="vi-VN"/>
        </w:rPr>
        <w:t xml:space="preserve">Ngược lại, </w:t>
      </w:r>
      <w:r w:rsidR="00C96C53" w:rsidRPr="00F22BA5">
        <w:rPr>
          <w:rFonts w:ascii="Times New Roman" w:hAnsi="Times New Roman" w:cs="Times New Roman"/>
          <w:sz w:val="26"/>
          <w:szCs w:val="26"/>
          <w:lang w:val="vi-VN"/>
        </w:rPr>
        <w:t xml:space="preserve">CTCP </w:t>
      </w:r>
      <w:r w:rsidRPr="008344F6">
        <w:rPr>
          <w:rFonts w:ascii="Times New Roman" w:hAnsi="Times New Roman" w:cs="Times New Roman"/>
          <w:sz w:val="26"/>
          <w:szCs w:val="26"/>
          <w:lang w:val="vi-VN"/>
        </w:rPr>
        <w:t xml:space="preserve">Than Núi Béo có chỉ tiêu thấp nhất trong cả 5 năm, với mức 0,68 vòng vào </w:t>
      </w:r>
      <w:r>
        <w:rPr>
          <w:rFonts w:ascii="Times New Roman" w:hAnsi="Times New Roman" w:cs="Times New Roman"/>
          <w:sz w:val="26"/>
          <w:szCs w:val="26"/>
          <w:lang w:val="vi-VN"/>
        </w:rPr>
        <w:t xml:space="preserve">cuối </w:t>
      </w:r>
      <w:r w:rsidRPr="008344F6">
        <w:rPr>
          <w:rFonts w:ascii="Times New Roman" w:hAnsi="Times New Roman" w:cs="Times New Roman"/>
          <w:sz w:val="26"/>
          <w:szCs w:val="26"/>
          <w:lang w:val="vi-VN"/>
        </w:rPr>
        <w:t xml:space="preserve">năm 2019 và chỉ đạt 1,24 vòng vào </w:t>
      </w:r>
      <w:r>
        <w:rPr>
          <w:rFonts w:ascii="Times New Roman" w:hAnsi="Times New Roman" w:cs="Times New Roman"/>
          <w:sz w:val="26"/>
          <w:szCs w:val="26"/>
          <w:lang w:val="vi-VN"/>
        </w:rPr>
        <w:t xml:space="preserve">cuối </w:t>
      </w:r>
      <w:r w:rsidRPr="008344F6">
        <w:rPr>
          <w:rFonts w:ascii="Times New Roman" w:hAnsi="Times New Roman" w:cs="Times New Roman"/>
          <w:sz w:val="26"/>
          <w:szCs w:val="26"/>
          <w:lang w:val="vi-VN"/>
        </w:rPr>
        <w:t xml:space="preserve">năm 2023. Điều này cho thấy </w:t>
      </w:r>
      <w:r w:rsidR="00C96C53" w:rsidRPr="00F22BA5">
        <w:rPr>
          <w:rFonts w:ascii="Times New Roman" w:hAnsi="Times New Roman" w:cs="Times New Roman"/>
          <w:sz w:val="26"/>
          <w:szCs w:val="26"/>
          <w:lang w:val="vi-VN"/>
        </w:rPr>
        <w:t>hiệu quả</w:t>
      </w:r>
      <w:r w:rsidRPr="008344F6">
        <w:rPr>
          <w:rFonts w:ascii="Times New Roman" w:hAnsi="Times New Roman" w:cs="Times New Roman"/>
          <w:sz w:val="26"/>
          <w:szCs w:val="26"/>
          <w:lang w:val="vi-VN"/>
        </w:rPr>
        <w:t xml:space="preserve"> sử dụng tài sản của doanh nghiệp này khá hạn chế, dù có cải thiện theo thời gian.</w:t>
      </w:r>
    </w:p>
    <w:p w14:paraId="5CA03A69" w14:textId="40FC4689" w:rsidR="008344F6" w:rsidRDefault="008344F6" w:rsidP="008344F6">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xml:space="preserve">Nhìn chung, trong giai đoạn 2019-2023, các công ty cổ phần than đã có sự cải thiện đáng kể về vòng quay tổng tài sản. Các công ty như CTCP Than Vàng Danh và CTCP Than Hà Tu cho thấy sự tăng trưởng vượt trội và hiệu quả trong việc sử dụng tài sản để tạo ra doanh thu. Trong khi đó, các công ty như CTCP Than Mông Dương, CTCP Than Hà Lầm và CTCP Than Núi Béo mặc dù có sự cải thiện nhưng không đạt được mức tăng trưởng mạnh mẽ. Điều này có thể chỉ ra rằng </w:t>
      </w:r>
      <w:r w:rsidRPr="00AF3D5D">
        <w:rPr>
          <w:rFonts w:ascii="Times New Roman" w:hAnsi="Times New Roman" w:cs="Times New Roman"/>
          <w:sz w:val="26"/>
          <w:szCs w:val="26"/>
          <w:lang w:val="vi-VN"/>
        </w:rPr>
        <w:lastRenderedPageBreak/>
        <w:t xml:space="preserve">những công ty này vẫn cần phải cải thiện hơn </w:t>
      </w:r>
      <w:r w:rsidR="00777F4F" w:rsidRPr="00F22BA5">
        <w:rPr>
          <w:rFonts w:ascii="Times New Roman" w:hAnsi="Times New Roman" w:cs="Times New Roman"/>
          <w:sz w:val="26"/>
          <w:szCs w:val="26"/>
          <w:lang w:val="vi-VN"/>
        </w:rPr>
        <w:t xml:space="preserve">công tác quản lý tài sản góp </w:t>
      </w:r>
      <w:r w:rsidRPr="00AF3D5D">
        <w:rPr>
          <w:rFonts w:ascii="Times New Roman" w:hAnsi="Times New Roman" w:cs="Times New Roman"/>
          <w:sz w:val="26"/>
          <w:szCs w:val="26"/>
          <w:lang w:val="vi-VN"/>
        </w:rPr>
        <w:t>phần vào việc nâng cao năng lực cạnh tranh và khả năng sinh lời của các công ty trong ngành khai thác than.</w:t>
      </w:r>
    </w:p>
    <w:p w14:paraId="051B8970" w14:textId="751424C1" w:rsidR="00E45D8D" w:rsidRPr="008344F6" w:rsidRDefault="00DA4446" w:rsidP="008A5BBD">
      <w:pPr>
        <w:pStyle w:val="p3"/>
      </w:pPr>
      <w:bookmarkStart w:id="224" w:name="_Toc197781184"/>
      <w:bookmarkStart w:id="225" w:name="_Toc197781467"/>
      <w:bookmarkStart w:id="226" w:name="_Toc198281677"/>
      <w:bookmarkStart w:id="227" w:name="_Toc198284462"/>
      <w:bookmarkStart w:id="228" w:name="_Toc198284842"/>
      <w:bookmarkStart w:id="229" w:name="_Toc198709994"/>
      <w:r w:rsidRPr="00F22BA5">
        <w:t>+</w:t>
      </w:r>
      <w:r w:rsidR="008344F6" w:rsidRPr="008344F6">
        <w:t xml:space="preserve"> Hiệu suất sử dụng vốn cố định</w:t>
      </w:r>
      <w:bookmarkEnd w:id="224"/>
      <w:bookmarkEnd w:id="225"/>
      <w:bookmarkEnd w:id="226"/>
      <w:bookmarkEnd w:id="227"/>
      <w:bookmarkEnd w:id="228"/>
      <w:bookmarkEnd w:id="229"/>
    </w:p>
    <w:p w14:paraId="775513B6" w14:textId="2636226A" w:rsidR="00E45D8D" w:rsidRDefault="008344F6" w:rsidP="00E45D8D">
      <w:pPr>
        <w:spacing w:line="312" w:lineRule="auto"/>
        <w:ind w:firstLine="720"/>
        <w:jc w:val="both"/>
        <w:rPr>
          <w:rFonts w:ascii="Times New Roman" w:hAnsi="Times New Roman" w:cs="Times New Roman"/>
          <w:sz w:val="26"/>
          <w:szCs w:val="26"/>
          <w:lang w:val="vi-VN"/>
        </w:rPr>
      </w:pPr>
      <w:r w:rsidRPr="008344F6">
        <w:rPr>
          <w:rFonts w:ascii="Times New Roman" w:hAnsi="Times New Roman" w:cs="Times New Roman"/>
          <w:sz w:val="26"/>
          <w:szCs w:val="26"/>
          <w:lang w:val="vi-VN"/>
        </w:rPr>
        <w:t xml:space="preserve">Hiệu suất sử dụng vốn cố định đánh giá mức độ hiệu quả trong việc khai thác và sử dụng tài sản cố định như máy móc, thiết bị, nhà xưởng – những yếu tố quan trọng trong ngành khai khoáng. Chỉ tiêu này phản ánh khả năng tạo ra doanh thu từ vốn đầu tư vào tài sản cố định, qua đó giúp doanh nghiệp xác định liệu các khoản đầu tư dài hạn có được sử dụng hiệu quả hay không. </w:t>
      </w:r>
    </w:p>
    <w:p w14:paraId="02B0B2D0" w14:textId="19F700AC" w:rsidR="00E45D8D" w:rsidRDefault="00E45D8D" w:rsidP="00656441">
      <w:pPr>
        <w:spacing w:after="160" w:line="259" w:lineRule="auto"/>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 xml:space="preserve">Bảng </w:t>
      </w:r>
      <w:r w:rsidR="00EB49DB" w:rsidRPr="00F22BA5">
        <w:rPr>
          <w:rFonts w:ascii="Times New Roman" w:hAnsi="Times New Roman" w:cs="Times New Roman"/>
          <w:b/>
          <w:sz w:val="26"/>
          <w:szCs w:val="26"/>
          <w:lang w:val="vi-VN"/>
        </w:rPr>
        <w:t>2.13</w:t>
      </w:r>
      <w:r w:rsidRPr="004A1CD3">
        <w:rPr>
          <w:rFonts w:ascii="Times New Roman" w:hAnsi="Times New Roman" w:cs="Times New Roman"/>
          <w:b/>
          <w:sz w:val="26"/>
          <w:szCs w:val="26"/>
          <w:lang w:val="vi-VN"/>
        </w:rPr>
        <w:t xml:space="preserve">. </w:t>
      </w:r>
      <w:r>
        <w:rPr>
          <w:rFonts w:ascii="Times New Roman" w:hAnsi="Times New Roman" w:cs="Times New Roman"/>
          <w:b/>
          <w:sz w:val="26"/>
          <w:szCs w:val="26"/>
          <w:lang w:val="vi-VN"/>
        </w:rPr>
        <w:t xml:space="preserve">Hiệu suất sử dụng vốn cố định </w:t>
      </w:r>
      <w:r w:rsidRPr="004A1CD3">
        <w:rPr>
          <w:rFonts w:ascii="Times New Roman" w:hAnsi="Times New Roman" w:cs="Times New Roman"/>
          <w:b/>
          <w:sz w:val="26"/>
          <w:szCs w:val="26"/>
          <w:lang w:val="vi-VN"/>
        </w:rPr>
        <w:t>của các CTCP niêm yết</w:t>
      </w:r>
    </w:p>
    <w:p w14:paraId="0D82A83E" w14:textId="2781D1F9" w:rsidR="00E45D8D" w:rsidRPr="00E45D8D" w:rsidRDefault="00E45D8D" w:rsidP="00E45D8D">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thuộc TKV</w:t>
      </w:r>
      <w:r>
        <w:rPr>
          <w:rFonts w:ascii="Times New Roman" w:hAnsi="Times New Roman" w:cs="Times New Roman"/>
          <w:b/>
          <w:sz w:val="26"/>
          <w:szCs w:val="26"/>
          <w:lang w:val="vi-VN"/>
        </w:rPr>
        <w:t xml:space="preserve"> giai đoạn 2019 – 2023</w:t>
      </w:r>
    </w:p>
    <w:tbl>
      <w:tblPr>
        <w:tblStyle w:val="TableGrid"/>
        <w:tblW w:w="8930" w:type="dxa"/>
        <w:tblInd w:w="-5" w:type="dxa"/>
        <w:tblLook w:val="04A0" w:firstRow="1" w:lastRow="0" w:firstColumn="1" w:lastColumn="0" w:noHBand="0" w:noVBand="1"/>
      </w:tblPr>
      <w:tblGrid>
        <w:gridCol w:w="709"/>
        <w:gridCol w:w="1469"/>
        <w:gridCol w:w="1095"/>
        <w:gridCol w:w="1087"/>
        <w:gridCol w:w="1087"/>
        <w:gridCol w:w="1087"/>
        <w:gridCol w:w="1087"/>
        <w:gridCol w:w="1309"/>
      </w:tblGrid>
      <w:tr w:rsidR="008344F6" w:rsidRPr="001909AC" w14:paraId="10708A0C" w14:textId="77777777" w:rsidTr="00383389">
        <w:trPr>
          <w:trHeight w:val="235"/>
        </w:trPr>
        <w:tc>
          <w:tcPr>
            <w:tcW w:w="709" w:type="dxa"/>
            <w:tcBorders>
              <w:top w:val="single" w:sz="4" w:space="0" w:color="auto"/>
              <w:left w:val="single" w:sz="4" w:space="0" w:color="auto"/>
              <w:bottom w:val="single" w:sz="4" w:space="0" w:color="auto"/>
              <w:right w:val="single" w:sz="4" w:space="0" w:color="auto"/>
            </w:tcBorders>
          </w:tcPr>
          <w:p w14:paraId="7BE96594" w14:textId="7E040B95" w:rsidR="008344F6" w:rsidRPr="001909AC" w:rsidRDefault="008344F6" w:rsidP="00897A44">
            <w:pPr>
              <w:spacing w:after="160" w:line="259" w:lineRule="auto"/>
              <w:jc w:val="center"/>
              <w:rPr>
                <w:rFonts w:ascii="Times New Roman" w:hAnsi="Times New Roman" w:cs="Times New Roman"/>
                <w:b/>
                <w:bCs/>
              </w:rPr>
            </w:pPr>
            <w:r>
              <w:rPr>
                <w:rFonts w:ascii="Times New Roman" w:hAnsi="Times New Roman" w:cs="Times New Roman"/>
                <w:b/>
                <w:bCs/>
              </w:rPr>
              <w:t>TT</w:t>
            </w:r>
          </w:p>
        </w:tc>
        <w:tc>
          <w:tcPr>
            <w:tcW w:w="1469" w:type="dxa"/>
            <w:tcBorders>
              <w:top w:val="single" w:sz="4" w:space="0" w:color="auto"/>
              <w:left w:val="single" w:sz="4" w:space="0" w:color="auto"/>
              <w:bottom w:val="single" w:sz="4" w:space="0" w:color="auto"/>
              <w:right w:val="single" w:sz="4" w:space="0" w:color="auto"/>
            </w:tcBorders>
            <w:vAlign w:val="center"/>
            <w:hideMark/>
          </w:tcPr>
          <w:p w14:paraId="754F2BD8" w14:textId="25725F4C" w:rsidR="008344F6" w:rsidRPr="001909AC" w:rsidRDefault="0031049D" w:rsidP="00897A44">
            <w:pPr>
              <w:spacing w:after="160" w:line="259" w:lineRule="auto"/>
              <w:jc w:val="center"/>
              <w:rPr>
                <w:rFonts w:ascii="Times New Roman" w:hAnsi="Times New Roman" w:cs="Times New Roman"/>
                <w:b/>
                <w:bCs/>
              </w:rPr>
            </w:pPr>
            <w:r>
              <w:rPr>
                <w:rFonts w:ascii="Times New Roman" w:hAnsi="Times New Roman" w:cs="Times New Roman"/>
                <w:b/>
                <w:bCs/>
                <w:sz w:val="26"/>
                <w:szCs w:val="26"/>
              </w:rPr>
              <w:t>Công ty</w:t>
            </w:r>
          </w:p>
        </w:tc>
        <w:tc>
          <w:tcPr>
            <w:tcW w:w="1095" w:type="dxa"/>
            <w:tcBorders>
              <w:top w:val="single" w:sz="4" w:space="0" w:color="auto"/>
              <w:left w:val="single" w:sz="4" w:space="0" w:color="auto"/>
              <w:bottom w:val="single" w:sz="4" w:space="0" w:color="auto"/>
              <w:right w:val="single" w:sz="4" w:space="0" w:color="auto"/>
            </w:tcBorders>
            <w:vAlign w:val="center"/>
            <w:hideMark/>
          </w:tcPr>
          <w:p w14:paraId="7951EEFB" w14:textId="77777777" w:rsidR="008344F6" w:rsidRPr="001909AC" w:rsidRDefault="008344F6"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2019</w:t>
            </w:r>
          </w:p>
        </w:tc>
        <w:tc>
          <w:tcPr>
            <w:tcW w:w="1087" w:type="dxa"/>
            <w:tcBorders>
              <w:top w:val="single" w:sz="4" w:space="0" w:color="auto"/>
              <w:left w:val="single" w:sz="4" w:space="0" w:color="auto"/>
              <w:bottom w:val="single" w:sz="4" w:space="0" w:color="auto"/>
              <w:right w:val="single" w:sz="4" w:space="0" w:color="auto"/>
            </w:tcBorders>
            <w:vAlign w:val="center"/>
            <w:hideMark/>
          </w:tcPr>
          <w:p w14:paraId="574A1A94" w14:textId="77777777" w:rsidR="008344F6" w:rsidRPr="001909AC" w:rsidRDefault="008344F6"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2020</w:t>
            </w:r>
          </w:p>
        </w:tc>
        <w:tc>
          <w:tcPr>
            <w:tcW w:w="1087" w:type="dxa"/>
            <w:tcBorders>
              <w:top w:val="single" w:sz="4" w:space="0" w:color="auto"/>
              <w:left w:val="single" w:sz="4" w:space="0" w:color="auto"/>
              <w:bottom w:val="single" w:sz="4" w:space="0" w:color="auto"/>
              <w:right w:val="single" w:sz="4" w:space="0" w:color="auto"/>
            </w:tcBorders>
            <w:vAlign w:val="center"/>
            <w:hideMark/>
          </w:tcPr>
          <w:p w14:paraId="50EA824C" w14:textId="77777777" w:rsidR="008344F6" w:rsidRPr="001909AC" w:rsidRDefault="008344F6"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2021</w:t>
            </w:r>
          </w:p>
        </w:tc>
        <w:tc>
          <w:tcPr>
            <w:tcW w:w="1087" w:type="dxa"/>
            <w:tcBorders>
              <w:top w:val="single" w:sz="4" w:space="0" w:color="auto"/>
              <w:left w:val="single" w:sz="4" w:space="0" w:color="auto"/>
              <w:bottom w:val="single" w:sz="4" w:space="0" w:color="auto"/>
              <w:right w:val="single" w:sz="4" w:space="0" w:color="auto"/>
            </w:tcBorders>
            <w:vAlign w:val="center"/>
            <w:hideMark/>
          </w:tcPr>
          <w:p w14:paraId="4F9571FA" w14:textId="77777777" w:rsidR="008344F6" w:rsidRPr="001909AC" w:rsidRDefault="008344F6"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2022</w:t>
            </w:r>
          </w:p>
        </w:tc>
        <w:tc>
          <w:tcPr>
            <w:tcW w:w="1087" w:type="dxa"/>
            <w:tcBorders>
              <w:top w:val="single" w:sz="4" w:space="0" w:color="auto"/>
              <w:left w:val="single" w:sz="4" w:space="0" w:color="auto"/>
              <w:bottom w:val="single" w:sz="4" w:space="0" w:color="auto"/>
              <w:right w:val="single" w:sz="4" w:space="0" w:color="auto"/>
            </w:tcBorders>
            <w:vAlign w:val="center"/>
            <w:hideMark/>
          </w:tcPr>
          <w:p w14:paraId="334271E4" w14:textId="77777777" w:rsidR="008344F6" w:rsidRPr="001909AC" w:rsidRDefault="008344F6" w:rsidP="00897A44">
            <w:pPr>
              <w:spacing w:after="160" w:line="259" w:lineRule="auto"/>
              <w:jc w:val="center"/>
              <w:rPr>
                <w:rFonts w:ascii="Times New Roman" w:hAnsi="Times New Roman" w:cs="Times New Roman"/>
                <w:b/>
                <w:bCs/>
              </w:rPr>
            </w:pPr>
            <w:r w:rsidRPr="001909AC">
              <w:rPr>
                <w:rFonts w:ascii="Times New Roman" w:hAnsi="Times New Roman" w:cs="Times New Roman"/>
                <w:b/>
                <w:bCs/>
              </w:rPr>
              <w:t>2023</w:t>
            </w:r>
          </w:p>
        </w:tc>
        <w:tc>
          <w:tcPr>
            <w:tcW w:w="1309" w:type="dxa"/>
            <w:tcBorders>
              <w:top w:val="single" w:sz="4" w:space="0" w:color="auto"/>
              <w:left w:val="single" w:sz="4" w:space="0" w:color="auto"/>
              <w:bottom w:val="single" w:sz="4" w:space="0" w:color="auto"/>
              <w:right w:val="single" w:sz="4" w:space="0" w:color="auto"/>
            </w:tcBorders>
          </w:tcPr>
          <w:p w14:paraId="17180B27" w14:textId="77777777" w:rsidR="008344F6" w:rsidRPr="008D2462" w:rsidRDefault="008344F6" w:rsidP="00897A44">
            <w:pPr>
              <w:jc w:val="center"/>
              <w:rPr>
                <w:rFonts w:ascii="Times New Roman" w:hAnsi="Times New Roman" w:cs="Times New Roman"/>
                <w:b/>
                <w:bCs/>
              </w:rPr>
            </w:pPr>
            <w:r>
              <w:rPr>
                <w:rFonts w:ascii="Times New Roman" w:hAnsi="Times New Roman" w:cs="Times New Roman"/>
                <w:b/>
                <w:bCs/>
              </w:rPr>
              <w:t>Bình quân</w:t>
            </w:r>
          </w:p>
        </w:tc>
      </w:tr>
      <w:tr w:rsidR="003331B9" w:rsidRPr="001909AC" w14:paraId="288F5004" w14:textId="77777777" w:rsidTr="00383389">
        <w:trPr>
          <w:trHeight w:val="253"/>
        </w:trPr>
        <w:tc>
          <w:tcPr>
            <w:tcW w:w="709" w:type="dxa"/>
            <w:tcBorders>
              <w:top w:val="single" w:sz="4" w:space="0" w:color="auto"/>
              <w:left w:val="single" w:sz="4" w:space="0" w:color="auto"/>
              <w:bottom w:val="single" w:sz="4" w:space="0" w:color="auto"/>
              <w:right w:val="single" w:sz="4" w:space="0" w:color="auto"/>
            </w:tcBorders>
          </w:tcPr>
          <w:p w14:paraId="26614BDB" w14:textId="0E1EA4ED"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1</w:t>
            </w:r>
          </w:p>
        </w:tc>
        <w:tc>
          <w:tcPr>
            <w:tcW w:w="1469" w:type="dxa"/>
            <w:tcBorders>
              <w:top w:val="single" w:sz="4" w:space="0" w:color="auto"/>
              <w:left w:val="single" w:sz="4" w:space="0" w:color="auto"/>
              <w:bottom w:val="single" w:sz="4" w:space="0" w:color="auto"/>
              <w:right w:val="single" w:sz="4" w:space="0" w:color="auto"/>
            </w:tcBorders>
            <w:vAlign w:val="center"/>
            <w:hideMark/>
          </w:tcPr>
          <w:p w14:paraId="486CAEA6" w14:textId="3A83021C"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sz w:val="26"/>
                <w:szCs w:val="26"/>
              </w:rPr>
              <w:t>TVD</w:t>
            </w:r>
          </w:p>
        </w:tc>
        <w:tc>
          <w:tcPr>
            <w:tcW w:w="1095" w:type="dxa"/>
            <w:tcBorders>
              <w:top w:val="single" w:sz="4" w:space="0" w:color="auto"/>
              <w:left w:val="single" w:sz="4" w:space="0" w:color="auto"/>
              <w:bottom w:val="single" w:sz="4" w:space="0" w:color="auto"/>
              <w:right w:val="single" w:sz="4" w:space="0" w:color="auto"/>
            </w:tcBorders>
            <w:vAlign w:val="center"/>
            <w:hideMark/>
          </w:tcPr>
          <w:p w14:paraId="0C74EA4E"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81,55%</w:t>
            </w:r>
          </w:p>
        </w:tc>
        <w:tc>
          <w:tcPr>
            <w:tcW w:w="1087" w:type="dxa"/>
            <w:tcBorders>
              <w:top w:val="single" w:sz="4" w:space="0" w:color="auto"/>
              <w:left w:val="single" w:sz="4" w:space="0" w:color="auto"/>
              <w:bottom w:val="single" w:sz="4" w:space="0" w:color="auto"/>
              <w:right w:val="single" w:sz="4" w:space="0" w:color="auto"/>
            </w:tcBorders>
            <w:vAlign w:val="center"/>
            <w:hideMark/>
          </w:tcPr>
          <w:p w14:paraId="7C4D5733"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77,98%</w:t>
            </w:r>
          </w:p>
        </w:tc>
        <w:tc>
          <w:tcPr>
            <w:tcW w:w="1087" w:type="dxa"/>
            <w:tcBorders>
              <w:top w:val="single" w:sz="4" w:space="0" w:color="auto"/>
              <w:left w:val="single" w:sz="4" w:space="0" w:color="auto"/>
              <w:bottom w:val="single" w:sz="4" w:space="0" w:color="auto"/>
              <w:right w:val="single" w:sz="4" w:space="0" w:color="auto"/>
            </w:tcBorders>
            <w:vAlign w:val="center"/>
            <w:hideMark/>
          </w:tcPr>
          <w:p w14:paraId="3E172774"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90,29%</w:t>
            </w:r>
          </w:p>
        </w:tc>
        <w:tc>
          <w:tcPr>
            <w:tcW w:w="1087" w:type="dxa"/>
            <w:tcBorders>
              <w:top w:val="single" w:sz="4" w:space="0" w:color="auto"/>
              <w:left w:val="single" w:sz="4" w:space="0" w:color="auto"/>
              <w:bottom w:val="single" w:sz="4" w:space="0" w:color="auto"/>
              <w:right w:val="single" w:sz="4" w:space="0" w:color="auto"/>
            </w:tcBorders>
            <w:vAlign w:val="center"/>
            <w:hideMark/>
          </w:tcPr>
          <w:p w14:paraId="19516496"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118,26%</w:t>
            </w:r>
          </w:p>
        </w:tc>
        <w:tc>
          <w:tcPr>
            <w:tcW w:w="1087" w:type="dxa"/>
            <w:tcBorders>
              <w:top w:val="single" w:sz="4" w:space="0" w:color="auto"/>
              <w:left w:val="single" w:sz="4" w:space="0" w:color="auto"/>
              <w:bottom w:val="single" w:sz="4" w:space="0" w:color="auto"/>
              <w:right w:val="single" w:sz="4" w:space="0" w:color="auto"/>
            </w:tcBorders>
            <w:vAlign w:val="center"/>
            <w:hideMark/>
          </w:tcPr>
          <w:p w14:paraId="628C80FE"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112,13%</w:t>
            </w:r>
          </w:p>
        </w:tc>
        <w:tc>
          <w:tcPr>
            <w:tcW w:w="1309" w:type="dxa"/>
            <w:tcBorders>
              <w:top w:val="single" w:sz="4" w:space="0" w:color="auto"/>
              <w:left w:val="single" w:sz="4" w:space="0" w:color="auto"/>
              <w:bottom w:val="single" w:sz="4" w:space="0" w:color="auto"/>
              <w:right w:val="single" w:sz="4" w:space="0" w:color="auto"/>
            </w:tcBorders>
            <w:vAlign w:val="center"/>
          </w:tcPr>
          <w:p w14:paraId="433D7A72"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96,04%</w:t>
            </w:r>
          </w:p>
        </w:tc>
      </w:tr>
      <w:tr w:rsidR="003331B9" w:rsidRPr="001909AC" w14:paraId="1D477C8E" w14:textId="77777777" w:rsidTr="00383389">
        <w:trPr>
          <w:trHeight w:val="235"/>
        </w:trPr>
        <w:tc>
          <w:tcPr>
            <w:tcW w:w="709" w:type="dxa"/>
            <w:tcBorders>
              <w:top w:val="single" w:sz="4" w:space="0" w:color="auto"/>
              <w:left w:val="single" w:sz="4" w:space="0" w:color="auto"/>
              <w:bottom w:val="single" w:sz="4" w:space="0" w:color="auto"/>
              <w:right w:val="single" w:sz="4" w:space="0" w:color="auto"/>
            </w:tcBorders>
          </w:tcPr>
          <w:p w14:paraId="2D5102CE" w14:textId="115B0BFA"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2</w:t>
            </w:r>
          </w:p>
        </w:tc>
        <w:tc>
          <w:tcPr>
            <w:tcW w:w="1469" w:type="dxa"/>
            <w:tcBorders>
              <w:top w:val="single" w:sz="4" w:space="0" w:color="auto"/>
              <w:left w:val="single" w:sz="4" w:space="0" w:color="auto"/>
              <w:bottom w:val="single" w:sz="4" w:space="0" w:color="auto"/>
              <w:right w:val="single" w:sz="4" w:space="0" w:color="auto"/>
            </w:tcBorders>
            <w:vAlign w:val="center"/>
            <w:hideMark/>
          </w:tcPr>
          <w:p w14:paraId="1CFD72CF" w14:textId="205D0741"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sz w:val="26"/>
                <w:szCs w:val="26"/>
              </w:rPr>
              <w:t>MDC</w:t>
            </w:r>
          </w:p>
        </w:tc>
        <w:tc>
          <w:tcPr>
            <w:tcW w:w="1095" w:type="dxa"/>
            <w:tcBorders>
              <w:top w:val="single" w:sz="4" w:space="0" w:color="auto"/>
              <w:left w:val="single" w:sz="4" w:space="0" w:color="auto"/>
              <w:bottom w:val="single" w:sz="4" w:space="0" w:color="auto"/>
              <w:right w:val="single" w:sz="4" w:space="0" w:color="auto"/>
            </w:tcBorders>
            <w:vAlign w:val="center"/>
            <w:hideMark/>
          </w:tcPr>
          <w:p w14:paraId="422A425F"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104,20%</w:t>
            </w:r>
          </w:p>
        </w:tc>
        <w:tc>
          <w:tcPr>
            <w:tcW w:w="1087" w:type="dxa"/>
            <w:tcBorders>
              <w:top w:val="single" w:sz="4" w:space="0" w:color="auto"/>
              <w:left w:val="nil"/>
              <w:bottom w:val="single" w:sz="4" w:space="0" w:color="auto"/>
              <w:right w:val="single" w:sz="4" w:space="0" w:color="auto"/>
            </w:tcBorders>
            <w:vAlign w:val="center"/>
            <w:hideMark/>
          </w:tcPr>
          <w:p w14:paraId="6A4101D0"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116,82%</w:t>
            </w:r>
          </w:p>
        </w:tc>
        <w:tc>
          <w:tcPr>
            <w:tcW w:w="1087" w:type="dxa"/>
            <w:tcBorders>
              <w:top w:val="single" w:sz="4" w:space="0" w:color="auto"/>
              <w:left w:val="nil"/>
              <w:bottom w:val="single" w:sz="4" w:space="0" w:color="auto"/>
              <w:right w:val="single" w:sz="4" w:space="0" w:color="auto"/>
            </w:tcBorders>
            <w:vAlign w:val="center"/>
            <w:hideMark/>
          </w:tcPr>
          <w:p w14:paraId="5AEF7774"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104,77%</w:t>
            </w:r>
          </w:p>
        </w:tc>
        <w:tc>
          <w:tcPr>
            <w:tcW w:w="1087" w:type="dxa"/>
            <w:tcBorders>
              <w:top w:val="single" w:sz="4" w:space="0" w:color="auto"/>
              <w:left w:val="nil"/>
              <w:bottom w:val="single" w:sz="4" w:space="0" w:color="auto"/>
              <w:right w:val="single" w:sz="4" w:space="0" w:color="auto"/>
            </w:tcBorders>
            <w:vAlign w:val="center"/>
            <w:hideMark/>
          </w:tcPr>
          <w:p w14:paraId="2FC696C0"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130,40%</w:t>
            </w:r>
          </w:p>
        </w:tc>
        <w:tc>
          <w:tcPr>
            <w:tcW w:w="1087" w:type="dxa"/>
            <w:tcBorders>
              <w:top w:val="single" w:sz="4" w:space="0" w:color="auto"/>
              <w:left w:val="nil"/>
              <w:bottom w:val="single" w:sz="4" w:space="0" w:color="auto"/>
              <w:right w:val="single" w:sz="4" w:space="0" w:color="auto"/>
            </w:tcBorders>
            <w:vAlign w:val="center"/>
            <w:hideMark/>
          </w:tcPr>
          <w:p w14:paraId="70921605"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122,90%</w:t>
            </w:r>
          </w:p>
        </w:tc>
        <w:tc>
          <w:tcPr>
            <w:tcW w:w="1309" w:type="dxa"/>
            <w:tcBorders>
              <w:top w:val="single" w:sz="4" w:space="0" w:color="auto"/>
              <w:left w:val="nil"/>
              <w:bottom w:val="single" w:sz="4" w:space="0" w:color="auto"/>
              <w:right w:val="single" w:sz="4" w:space="0" w:color="auto"/>
            </w:tcBorders>
            <w:vAlign w:val="center"/>
          </w:tcPr>
          <w:p w14:paraId="2F63A897"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115,82%</w:t>
            </w:r>
          </w:p>
        </w:tc>
      </w:tr>
      <w:tr w:rsidR="003331B9" w:rsidRPr="001909AC" w14:paraId="5E6A8B19" w14:textId="77777777" w:rsidTr="00383389">
        <w:trPr>
          <w:trHeight w:val="270"/>
        </w:trPr>
        <w:tc>
          <w:tcPr>
            <w:tcW w:w="709" w:type="dxa"/>
            <w:tcBorders>
              <w:top w:val="single" w:sz="4" w:space="0" w:color="auto"/>
              <w:left w:val="single" w:sz="4" w:space="0" w:color="auto"/>
              <w:bottom w:val="single" w:sz="4" w:space="0" w:color="auto"/>
              <w:right w:val="single" w:sz="4" w:space="0" w:color="auto"/>
            </w:tcBorders>
          </w:tcPr>
          <w:p w14:paraId="58A6A5EF" w14:textId="446D1103"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3</w:t>
            </w:r>
          </w:p>
        </w:tc>
        <w:tc>
          <w:tcPr>
            <w:tcW w:w="1469" w:type="dxa"/>
            <w:tcBorders>
              <w:top w:val="single" w:sz="4" w:space="0" w:color="auto"/>
              <w:left w:val="single" w:sz="4" w:space="0" w:color="auto"/>
              <w:bottom w:val="single" w:sz="4" w:space="0" w:color="auto"/>
              <w:right w:val="single" w:sz="4" w:space="0" w:color="auto"/>
            </w:tcBorders>
            <w:vAlign w:val="center"/>
            <w:hideMark/>
          </w:tcPr>
          <w:p w14:paraId="5A8202F0" w14:textId="19A853B5"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sz w:val="26"/>
                <w:szCs w:val="26"/>
              </w:rPr>
              <w:t>HLC</w:t>
            </w:r>
          </w:p>
        </w:tc>
        <w:tc>
          <w:tcPr>
            <w:tcW w:w="1095" w:type="dxa"/>
            <w:tcBorders>
              <w:top w:val="single" w:sz="4" w:space="0" w:color="auto"/>
              <w:left w:val="single" w:sz="4" w:space="0" w:color="auto"/>
              <w:bottom w:val="single" w:sz="4" w:space="0" w:color="auto"/>
              <w:right w:val="single" w:sz="4" w:space="0" w:color="auto"/>
            </w:tcBorders>
            <w:vAlign w:val="center"/>
            <w:hideMark/>
          </w:tcPr>
          <w:p w14:paraId="48B7A999"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56,56%</w:t>
            </w:r>
          </w:p>
        </w:tc>
        <w:tc>
          <w:tcPr>
            <w:tcW w:w="1087" w:type="dxa"/>
            <w:tcBorders>
              <w:top w:val="single" w:sz="4" w:space="0" w:color="auto"/>
              <w:left w:val="single" w:sz="4" w:space="0" w:color="auto"/>
              <w:bottom w:val="single" w:sz="4" w:space="0" w:color="auto"/>
              <w:right w:val="single" w:sz="4" w:space="0" w:color="auto"/>
            </w:tcBorders>
            <w:vAlign w:val="center"/>
            <w:hideMark/>
          </w:tcPr>
          <w:p w14:paraId="48F22873"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49,14%</w:t>
            </w:r>
          </w:p>
        </w:tc>
        <w:tc>
          <w:tcPr>
            <w:tcW w:w="1087" w:type="dxa"/>
            <w:tcBorders>
              <w:top w:val="single" w:sz="4" w:space="0" w:color="auto"/>
              <w:left w:val="single" w:sz="4" w:space="0" w:color="auto"/>
              <w:bottom w:val="single" w:sz="4" w:space="0" w:color="auto"/>
              <w:right w:val="single" w:sz="4" w:space="0" w:color="auto"/>
            </w:tcBorders>
            <w:vAlign w:val="center"/>
            <w:hideMark/>
          </w:tcPr>
          <w:p w14:paraId="0D06A3C4"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56,02%</w:t>
            </w:r>
          </w:p>
        </w:tc>
        <w:tc>
          <w:tcPr>
            <w:tcW w:w="1087" w:type="dxa"/>
            <w:tcBorders>
              <w:top w:val="single" w:sz="4" w:space="0" w:color="auto"/>
              <w:left w:val="single" w:sz="4" w:space="0" w:color="auto"/>
              <w:bottom w:val="single" w:sz="4" w:space="0" w:color="auto"/>
              <w:right w:val="single" w:sz="4" w:space="0" w:color="auto"/>
            </w:tcBorders>
            <w:vAlign w:val="center"/>
            <w:hideMark/>
          </w:tcPr>
          <w:p w14:paraId="52C53D77"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64,93%</w:t>
            </w:r>
          </w:p>
        </w:tc>
        <w:tc>
          <w:tcPr>
            <w:tcW w:w="1087" w:type="dxa"/>
            <w:tcBorders>
              <w:top w:val="single" w:sz="4" w:space="0" w:color="auto"/>
              <w:left w:val="single" w:sz="4" w:space="0" w:color="auto"/>
              <w:bottom w:val="single" w:sz="4" w:space="0" w:color="auto"/>
              <w:right w:val="single" w:sz="4" w:space="0" w:color="auto"/>
            </w:tcBorders>
            <w:vAlign w:val="center"/>
            <w:hideMark/>
          </w:tcPr>
          <w:p w14:paraId="73D3DEF6"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53,94%</w:t>
            </w:r>
          </w:p>
        </w:tc>
        <w:tc>
          <w:tcPr>
            <w:tcW w:w="1309" w:type="dxa"/>
            <w:tcBorders>
              <w:top w:val="single" w:sz="4" w:space="0" w:color="auto"/>
              <w:left w:val="single" w:sz="4" w:space="0" w:color="auto"/>
              <w:bottom w:val="single" w:sz="4" w:space="0" w:color="auto"/>
              <w:right w:val="single" w:sz="4" w:space="0" w:color="auto"/>
            </w:tcBorders>
            <w:vAlign w:val="center"/>
          </w:tcPr>
          <w:p w14:paraId="221D7051"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56,12%</w:t>
            </w:r>
          </w:p>
        </w:tc>
      </w:tr>
      <w:tr w:rsidR="003331B9" w:rsidRPr="001909AC" w14:paraId="410A9C29" w14:textId="77777777" w:rsidTr="00383389">
        <w:trPr>
          <w:trHeight w:val="235"/>
        </w:trPr>
        <w:tc>
          <w:tcPr>
            <w:tcW w:w="709" w:type="dxa"/>
            <w:tcBorders>
              <w:top w:val="single" w:sz="4" w:space="0" w:color="auto"/>
              <w:left w:val="single" w:sz="4" w:space="0" w:color="auto"/>
              <w:bottom w:val="single" w:sz="4" w:space="0" w:color="auto"/>
              <w:right w:val="single" w:sz="4" w:space="0" w:color="auto"/>
            </w:tcBorders>
          </w:tcPr>
          <w:p w14:paraId="71CCE508" w14:textId="128E5BCF"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4</w:t>
            </w:r>
          </w:p>
        </w:tc>
        <w:tc>
          <w:tcPr>
            <w:tcW w:w="1469" w:type="dxa"/>
            <w:tcBorders>
              <w:top w:val="single" w:sz="4" w:space="0" w:color="auto"/>
              <w:left w:val="single" w:sz="4" w:space="0" w:color="auto"/>
              <w:bottom w:val="single" w:sz="4" w:space="0" w:color="auto"/>
              <w:right w:val="single" w:sz="4" w:space="0" w:color="auto"/>
            </w:tcBorders>
            <w:vAlign w:val="center"/>
            <w:hideMark/>
          </w:tcPr>
          <w:p w14:paraId="38671659" w14:textId="3BF8BC75"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sz w:val="26"/>
                <w:szCs w:val="26"/>
              </w:rPr>
              <w:t>THT</w:t>
            </w:r>
          </w:p>
        </w:tc>
        <w:tc>
          <w:tcPr>
            <w:tcW w:w="1095" w:type="dxa"/>
            <w:tcBorders>
              <w:top w:val="single" w:sz="4" w:space="0" w:color="auto"/>
              <w:left w:val="single" w:sz="4" w:space="0" w:color="auto"/>
              <w:bottom w:val="single" w:sz="4" w:space="0" w:color="auto"/>
              <w:right w:val="single" w:sz="4" w:space="0" w:color="auto"/>
            </w:tcBorders>
            <w:vAlign w:val="center"/>
            <w:hideMark/>
          </w:tcPr>
          <w:p w14:paraId="65D12D1F"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132,19%</w:t>
            </w:r>
          </w:p>
        </w:tc>
        <w:tc>
          <w:tcPr>
            <w:tcW w:w="1087" w:type="dxa"/>
            <w:tcBorders>
              <w:top w:val="single" w:sz="4" w:space="0" w:color="auto"/>
              <w:left w:val="single" w:sz="4" w:space="0" w:color="auto"/>
              <w:bottom w:val="single" w:sz="4" w:space="0" w:color="auto"/>
              <w:right w:val="single" w:sz="4" w:space="0" w:color="auto"/>
            </w:tcBorders>
            <w:vAlign w:val="center"/>
            <w:hideMark/>
          </w:tcPr>
          <w:p w14:paraId="24BCE178"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126,68%</w:t>
            </w:r>
          </w:p>
        </w:tc>
        <w:tc>
          <w:tcPr>
            <w:tcW w:w="1087" w:type="dxa"/>
            <w:tcBorders>
              <w:top w:val="single" w:sz="4" w:space="0" w:color="auto"/>
              <w:left w:val="single" w:sz="4" w:space="0" w:color="auto"/>
              <w:bottom w:val="single" w:sz="4" w:space="0" w:color="auto"/>
              <w:right w:val="single" w:sz="4" w:space="0" w:color="auto"/>
            </w:tcBorders>
            <w:vAlign w:val="center"/>
            <w:hideMark/>
          </w:tcPr>
          <w:p w14:paraId="7D227EF3"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131,52%</w:t>
            </w:r>
          </w:p>
        </w:tc>
        <w:tc>
          <w:tcPr>
            <w:tcW w:w="1087" w:type="dxa"/>
            <w:tcBorders>
              <w:top w:val="single" w:sz="4" w:space="0" w:color="auto"/>
              <w:left w:val="single" w:sz="4" w:space="0" w:color="auto"/>
              <w:bottom w:val="single" w:sz="4" w:space="0" w:color="auto"/>
              <w:right w:val="single" w:sz="4" w:space="0" w:color="auto"/>
            </w:tcBorders>
            <w:vAlign w:val="center"/>
            <w:hideMark/>
          </w:tcPr>
          <w:p w14:paraId="2F6D1F9F"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160,60%</w:t>
            </w:r>
          </w:p>
        </w:tc>
        <w:tc>
          <w:tcPr>
            <w:tcW w:w="1087" w:type="dxa"/>
            <w:tcBorders>
              <w:top w:val="single" w:sz="4" w:space="0" w:color="auto"/>
              <w:left w:val="single" w:sz="4" w:space="0" w:color="auto"/>
              <w:bottom w:val="single" w:sz="4" w:space="0" w:color="auto"/>
              <w:right w:val="single" w:sz="4" w:space="0" w:color="auto"/>
            </w:tcBorders>
            <w:vAlign w:val="center"/>
            <w:hideMark/>
          </w:tcPr>
          <w:p w14:paraId="0862ED9B"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135,17%</w:t>
            </w:r>
          </w:p>
        </w:tc>
        <w:tc>
          <w:tcPr>
            <w:tcW w:w="1309" w:type="dxa"/>
            <w:tcBorders>
              <w:top w:val="single" w:sz="4" w:space="0" w:color="auto"/>
              <w:left w:val="single" w:sz="4" w:space="0" w:color="auto"/>
              <w:bottom w:val="single" w:sz="4" w:space="0" w:color="auto"/>
              <w:right w:val="single" w:sz="4" w:space="0" w:color="auto"/>
            </w:tcBorders>
            <w:vAlign w:val="center"/>
          </w:tcPr>
          <w:p w14:paraId="56421ACA"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137,23%</w:t>
            </w:r>
          </w:p>
        </w:tc>
      </w:tr>
      <w:tr w:rsidR="003331B9" w:rsidRPr="001909AC" w14:paraId="09043FC2" w14:textId="77777777" w:rsidTr="00383389">
        <w:trPr>
          <w:trHeight w:val="235"/>
        </w:trPr>
        <w:tc>
          <w:tcPr>
            <w:tcW w:w="709" w:type="dxa"/>
            <w:tcBorders>
              <w:top w:val="single" w:sz="4" w:space="0" w:color="auto"/>
              <w:left w:val="single" w:sz="4" w:space="0" w:color="auto"/>
              <w:bottom w:val="single" w:sz="4" w:space="0" w:color="auto"/>
              <w:right w:val="single" w:sz="4" w:space="0" w:color="auto"/>
            </w:tcBorders>
          </w:tcPr>
          <w:p w14:paraId="0391655F" w14:textId="4E57C10F"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5</w:t>
            </w:r>
          </w:p>
        </w:tc>
        <w:tc>
          <w:tcPr>
            <w:tcW w:w="1469" w:type="dxa"/>
            <w:tcBorders>
              <w:top w:val="single" w:sz="4" w:space="0" w:color="auto"/>
              <w:left w:val="single" w:sz="4" w:space="0" w:color="auto"/>
              <w:bottom w:val="single" w:sz="4" w:space="0" w:color="auto"/>
              <w:right w:val="single" w:sz="4" w:space="0" w:color="auto"/>
            </w:tcBorders>
            <w:vAlign w:val="center"/>
            <w:hideMark/>
          </w:tcPr>
          <w:p w14:paraId="4F15B67F" w14:textId="721276CE"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sz w:val="26"/>
                <w:szCs w:val="26"/>
              </w:rPr>
              <w:t>NBC</w:t>
            </w:r>
          </w:p>
        </w:tc>
        <w:tc>
          <w:tcPr>
            <w:tcW w:w="1095" w:type="dxa"/>
            <w:tcBorders>
              <w:top w:val="single" w:sz="4" w:space="0" w:color="auto"/>
              <w:left w:val="single" w:sz="4" w:space="0" w:color="auto"/>
              <w:bottom w:val="single" w:sz="4" w:space="0" w:color="auto"/>
              <w:right w:val="single" w:sz="4" w:space="0" w:color="auto"/>
            </w:tcBorders>
            <w:vAlign w:val="center"/>
            <w:hideMark/>
          </w:tcPr>
          <w:p w14:paraId="0F070BAB"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77,42%</w:t>
            </w:r>
          </w:p>
        </w:tc>
        <w:tc>
          <w:tcPr>
            <w:tcW w:w="1087" w:type="dxa"/>
            <w:tcBorders>
              <w:top w:val="single" w:sz="4" w:space="0" w:color="auto"/>
              <w:left w:val="single" w:sz="4" w:space="0" w:color="auto"/>
              <w:bottom w:val="single" w:sz="4" w:space="0" w:color="auto"/>
              <w:right w:val="single" w:sz="4" w:space="0" w:color="auto"/>
            </w:tcBorders>
            <w:vAlign w:val="center"/>
            <w:hideMark/>
          </w:tcPr>
          <w:p w14:paraId="1C575752"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58,21%</w:t>
            </w:r>
          </w:p>
        </w:tc>
        <w:tc>
          <w:tcPr>
            <w:tcW w:w="1087" w:type="dxa"/>
            <w:tcBorders>
              <w:top w:val="single" w:sz="4" w:space="0" w:color="auto"/>
              <w:left w:val="single" w:sz="4" w:space="0" w:color="auto"/>
              <w:bottom w:val="single" w:sz="4" w:space="0" w:color="auto"/>
              <w:right w:val="single" w:sz="4" w:space="0" w:color="auto"/>
            </w:tcBorders>
            <w:vAlign w:val="center"/>
            <w:hideMark/>
          </w:tcPr>
          <w:p w14:paraId="5DBDA11B"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55,99%</w:t>
            </w:r>
          </w:p>
        </w:tc>
        <w:tc>
          <w:tcPr>
            <w:tcW w:w="1087" w:type="dxa"/>
            <w:tcBorders>
              <w:top w:val="single" w:sz="4" w:space="0" w:color="auto"/>
              <w:left w:val="single" w:sz="4" w:space="0" w:color="auto"/>
              <w:bottom w:val="single" w:sz="4" w:space="0" w:color="auto"/>
              <w:right w:val="single" w:sz="4" w:space="0" w:color="auto"/>
            </w:tcBorders>
            <w:vAlign w:val="center"/>
            <w:hideMark/>
          </w:tcPr>
          <w:p w14:paraId="4EDA6B1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75,01%</w:t>
            </w:r>
          </w:p>
        </w:tc>
        <w:tc>
          <w:tcPr>
            <w:tcW w:w="1087" w:type="dxa"/>
            <w:tcBorders>
              <w:top w:val="single" w:sz="4" w:space="0" w:color="auto"/>
              <w:left w:val="single" w:sz="4" w:space="0" w:color="auto"/>
              <w:bottom w:val="single" w:sz="4" w:space="0" w:color="auto"/>
              <w:right w:val="single" w:sz="4" w:space="0" w:color="auto"/>
            </w:tcBorders>
            <w:vAlign w:val="center"/>
            <w:hideMark/>
          </w:tcPr>
          <w:p w14:paraId="2C4C1D5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67,15%</w:t>
            </w:r>
          </w:p>
        </w:tc>
        <w:tc>
          <w:tcPr>
            <w:tcW w:w="1309" w:type="dxa"/>
            <w:tcBorders>
              <w:top w:val="single" w:sz="4" w:space="0" w:color="auto"/>
              <w:left w:val="single" w:sz="4" w:space="0" w:color="auto"/>
              <w:bottom w:val="single" w:sz="4" w:space="0" w:color="auto"/>
              <w:right w:val="single" w:sz="4" w:space="0" w:color="auto"/>
            </w:tcBorders>
            <w:vAlign w:val="center"/>
          </w:tcPr>
          <w:p w14:paraId="7F0F4CDA" w14:textId="77777777" w:rsidR="003331B9" w:rsidRPr="008D2462" w:rsidRDefault="003331B9" w:rsidP="003331B9">
            <w:pPr>
              <w:jc w:val="center"/>
              <w:rPr>
                <w:rFonts w:ascii="Times New Roman" w:hAnsi="Times New Roman" w:cs="Times New Roman"/>
              </w:rPr>
            </w:pPr>
            <w:r>
              <w:rPr>
                <w:rFonts w:ascii="Times New Roman" w:hAnsi="Times New Roman" w:cs="Times New Roman"/>
              </w:rPr>
              <w:t>66,76%</w:t>
            </w:r>
          </w:p>
        </w:tc>
      </w:tr>
    </w:tbl>
    <w:p w14:paraId="030EB2FF" w14:textId="3EA6E4AE" w:rsidR="008344F6" w:rsidRPr="00B1640A" w:rsidRDefault="00B1640A" w:rsidP="00B1640A">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2C7D10DD" w14:textId="22E4B1E7" w:rsidR="008344F6" w:rsidRDefault="008344F6" w:rsidP="00383389">
      <w:pPr>
        <w:spacing w:line="312" w:lineRule="auto"/>
        <w:jc w:val="both"/>
        <w:rPr>
          <w:rFonts w:ascii="Times New Roman" w:hAnsi="Times New Roman" w:cs="Times New Roman"/>
          <w:sz w:val="26"/>
          <w:szCs w:val="26"/>
          <w:lang w:val="vi-VN"/>
        </w:rPr>
      </w:pPr>
      <w:r>
        <w:rPr>
          <w:noProof/>
          <w:lang w:eastAsia="en-US"/>
        </w:rPr>
        <w:drawing>
          <wp:inline distT="0" distB="0" distL="0" distR="0" wp14:anchorId="79625309" wp14:editId="4FCFB015">
            <wp:extent cx="5669280" cy="2651760"/>
            <wp:effectExtent l="0" t="0" r="7620" b="1524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7D47C27F" w14:textId="1DEC3880" w:rsidR="008344F6" w:rsidRDefault="008344F6" w:rsidP="00C2547D">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xml:space="preserve">Qua </w:t>
      </w:r>
      <w:r w:rsidR="0030059C" w:rsidRPr="00F22BA5">
        <w:rPr>
          <w:rFonts w:ascii="Times New Roman" w:hAnsi="Times New Roman" w:cs="Times New Roman"/>
          <w:sz w:val="26"/>
          <w:szCs w:val="26"/>
          <w:lang w:val="vi-VN"/>
        </w:rPr>
        <w:t xml:space="preserve">bảng trên </w:t>
      </w:r>
      <w:r w:rsidRPr="00AF3D5D">
        <w:rPr>
          <w:rFonts w:ascii="Times New Roman" w:hAnsi="Times New Roman" w:cs="Times New Roman"/>
          <w:sz w:val="26"/>
          <w:szCs w:val="26"/>
          <w:lang w:val="vi-VN"/>
        </w:rPr>
        <w:t>có thể thấy CTCP Than Hà Tu và CTCP Than Mông Dương là hai doanh nghiệp có hiệu suất sử dụng vốn cố định cao và ổn định nhất trong giai đoạn 2019–2023. Các chỉ số liên tục vượt ngưỡng 100% phản ánh khả</w:t>
      </w:r>
      <w:r w:rsidR="0030059C">
        <w:rPr>
          <w:rFonts w:ascii="Times New Roman" w:hAnsi="Times New Roman" w:cs="Times New Roman"/>
          <w:sz w:val="26"/>
          <w:szCs w:val="26"/>
          <w:lang w:val="vi-VN"/>
        </w:rPr>
        <w:t xml:space="preserve"> năng </w:t>
      </w:r>
      <w:r w:rsidR="0030059C" w:rsidRPr="00F22BA5">
        <w:rPr>
          <w:rFonts w:ascii="Times New Roman" w:hAnsi="Times New Roman" w:cs="Times New Roman"/>
          <w:sz w:val="26"/>
          <w:szCs w:val="26"/>
          <w:lang w:val="vi-VN"/>
        </w:rPr>
        <w:t xml:space="preserve">khai thác </w:t>
      </w:r>
      <w:r w:rsidRPr="00AF3D5D">
        <w:rPr>
          <w:rFonts w:ascii="Times New Roman" w:hAnsi="Times New Roman" w:cs="Times New Roman"/>
          <w:sz w:val="26"/>
          <w:szCs w:val="26"/>
          <w:lang w:val="vi-VN"/>
        </w:rPr>
        <w:t xml:space="preserve">tài sản cố định vượt trội, hỗ trợ tăng trưởng doanh thu và cải thiện hiệu quả </w:t>
      </w:r>
      <w:r w:rsidRPr="00AF3D5D">
        <w:rPr>
          <w:rFonts w:ascii="Times New Roman" w:hAnsi="Times New Roman" w:cs="Times New Roman"/>
          <w:sz w:val="26"/>
          <w:szCs w:val="26"/>
          <w:lang w:val="vi-VN"/>
        </w:rPr>
        <w:lastRenderedPageBreak/>
        <w:t xml:space="preserve">kinh doanh. CTCP Than Vàng Danh cũng cho thấy sự cải thiện đáng kể trong giai đoạn cuối, cho thấy dấu hiệu tích cực trong </w:t>
      </w:r>
      <w:r w:rsidR="0030059C" w:rsidRPr="00F22BA5">
        <w:rPr>
          <w:rFonts w:ascii="Times New Roman" w:hAnsi="Times New Roman" w:cs="Times New Roman"/>
          <w:sz w:val="26"/>
          <w:szCs w:val="26"/>
          <w:lang w:val="vi-VN"/>
        </w:rPr>
        <w:t xml:space="preserve">việc nâng cao hiệu quả sử dụng </w:t>
      </w:r>
      <w:r w:rsidR="00245C60" w:rsidRPr="00F22BA5">
        <w:rPr>
          <w:rFonts w:ascii="Times New Roman" w:hAnsi="Times New Roman" w:cs="Times New Roman"/>
          <w:sz w:val="26"/>
          <w:szCs w:val="26"/>
          <w:lang w:val="vi-VN"/>
        </w:rPr>
        <w:t>vốn</w:t>
      </w:r>
      <w:r w:rsidR="0030059C" w:rsidRPr="00F22BA5">
        <w:rPr>
          <w:rFonts w:ascii="Times New Roman" w:hAnsi="Times New Roman" w:cs="Times New Roman"/>
          <w:sz w:val="26"/>
          <w:szCs w:val="26"/>
          <w:lang w:val="vi-VN"/>
        </w:rPr>
        <w:t xml:space="preserve"> cố định của doanh nghiệp</w:t>
      </w:r>
      <w:r w:rsidRPr="00AF3D5D">
        <w:rPr>
          <w:rFonts w:ascii="Times New Roman" w:hAnsi="Times New Roman" w:cs="Times New Roman"/>
          <w:sz w:val="26"/>
          <w:szCs w:val="26"/>
          <w:lang w:val="vi-VN"/>
        </w:rPr>
        <w:t xml:space="preserve">. Ngược lại, Than Hà Lầm và Than Núi Béo vẫn đang đối mặt với thách thức lớn trong việc khai thác hiệu quả tài sản cố định. </w:t>
      </w:r>
      <w:r w:rsidR="000A137F" w:rsidRPr="00F22BA5">
        <w:rPr>
          <w:rFonts w:ascii="Times New Roman" w:hAnsi="Times New Roman" w:cs="Times New Roman"/>
          <w:sz w:val="26"/>
          <w:szCs w:val="26"/>
          <w:lang w:val="vi-VN"/>
        </w:rPr>
        <w:t>Với đặc thù của ngành công nghiệp khai khoáng sử dụng lượng vốn cố định lớn nên</w:t>
      </w:r>
      <w:r w:rsidRPr="00AF3D5D">
        <w:rPr>
          <w:rFonts w:ascii="Times New Roman" w:hAnsi="Times New Roman" w:cs="Times New Roman"/>
          <w:sz w:val="26"/>
          <w:szCs w:val="26"/>
          <w:lang w:val="vi-VN"/>
        </w:rPr>
        <w:t xml:space="preserve"> suất </w:t>
      </w:r>
      <w:r w:rsidR="002234CB" w:rsidRPr="00F22BA5">
        <w:rPr>
          <w:rFonts w:ascii="Times New Roman" w:hAnsi="Times New Roman" w:cs="Times New Roman"/>
          <w:sz w:val="26"/>
          <w:szCs w:val="26"/>
          <w:lang w:val="vi-VN"/>
        </w:rPr>
        <w:t xml:space="preserve"> sử dụng vốn cố định </w:t>
      </w:r>
      <w:r w:rsidRPr="00AF3D5D">
        <w:rPr>
          <w:rFonts w:ascii="Times New Roman" w:hAnsi="Times New Roman" w:cs="Times New Roman"/>
          <w:sz w:val="26"/>
          <w:szCs w:val="26"/>
          <w:lang w:val="vi-VN"/>
        </w:rPr>
        <w:t xml:space="preserve">thấp </w:t>
      </w:r>
      <w:r w:rsidR="002234CB" w:rsidRPr="00F22BA5">
        <w:rPr>
          <w:rFonts w:ascii="Times New Roman" w:hAnsi="Times New Roman" w:cs="Times New Roman"/>
          <w:sz w:val="26"/>
          <w:szCs w:val="26"/>
          <w:lang w:val="vi-VN"/>
        </w:rPr>
        <w:t xml:space="preserve">và </w:t>
      </w:r>
      <w:r w:rsidRPr="00AF3D5D">
        <w:rPr>
          <w:rFonts w:ascii="Times New Roman" w:hAnsi="Times New Roman" w:cs="Times New Roman"/>
          <w:sz w:val="26"/>
          <w:szCs w:val="26"/>
          <w:lang w:val="vi-VN"/>
        </w:rPr>
        <w:t>kéo dài có thể ảnh hưởng đến khả năng sinh lợi</w:t>
      </w:r>
      <w:r w:rsidR="000A137F" w:rsidRPr="00F22BA5">
        <w:rPr>
          <w:rFonts w:ascii="Times New Roman" w:hAnsi="Times New Roman" w:cs="Times New Roman"/>
          <w:sz w:val="26"/>
          <w:szCs w:val="26"/>
          <w:lang w:val="vi-VN"/>
        </w:rPr>
        <w:t>, khả năng tăng trưởng và an toàn tài chính</w:t>
      </w:r>
      <w:r w:rsidRPr="00AF3D5D">
        <w:rPr>
          <w:rFonts w:ascii="Times New Roman" w:hAnsi="Times New Roman" w:cs="Times New Roman"/>
          <w:sz w:val="26"/>
          <w:szCs w:val="26"/>
          <w:lang w:val="vi-VN"/>
        </w:rPr>
        <w:t xml:space="preserve"> </w:t>
      </w:r>
      <w:r w:rsidR="00C2547D" w:rsidRPr="00F22BA5">
        <w:rPr>
          <w:rFonts w:ascii="Times New Roman" w:hAnsi="Times New Roman" w:cs="Times New Roman"/>
          <w:sz w:val="26"/>
          <w:szCs w:val="26"/>
          <w:lang w:val="vi-VN"/>
        </w:rPr>
        <w:t>của đơn vị.</w:t>
      </w:r>
      <w:r w:rsidR="00F04AF0" w:rsidRPr="00F22BA5">
        <w:rPr>
          <w:rFonts w:ascii="Times New Roman" w:hAnsi="Times New Roman" w:cs="Times New Roman"/>
          <w:sz w:val="26"/>
          <w:szCs w:val="26"/>
          <w:lang w:val="vi-VN"/>
        </w:rPr>
        <w:t xml:space="preserve"> Đối với các CTCP niêm yết thuộc TKV,</w:t>
      </w:r>
      <w:r w:rsidR="00C2547D" w:rsidRPr="00F22BA5">
        <w:rPr>
          <w:rFonts w:ascii="Times New Roman" w:hAnsi="Times New Roman" w:cs="Times New Roman"/>
          <w:sz w:val="26"/>
          <w:szCs w:val="26"/>
          <w:lang w:val="vi-VN"/>
        </w:rPr>
        <w:t xml:space="preserve"> hiệu </w:t>
      </w:r>
      <w:r w:rsidRPr="00AF3D5D">
        <w:rPr>
          <w:rFonts w:ascii="Times New Roman" w:hAnsi="Times New Roman" w:cs="Times New Roman"/>
          <w:sz w:val="26"/>
          <w:szCs w:val="26"/>
          <w:lang w:val="vi-VN"/>
        </w:rPr>
        <w:t>suất sử dụng vốn cố đị</w:t>
      </w:r>
      <w:r w:rsidR="00C2547D">
        <w:rPr>
          <w:rFonts w:ascii="Times New Roman" w:hAnsi="Times New Roman" w:cs="Times New Roman"/>
          <w:sz w:val="26"/>
          <w:szCs w:val="26"/>
          <w:lang w:val="vi-VN"/>
        </w:rPr>
        <w:t xml:space="preserve">nh </w:t>
      </w:r>
      <w:r w:rsidR="00C2547D" w:rsidRPr="00F22BA5">
        <w:rPr>
          <w:rFonts w:ascii="Times New Roman" w:hAnsi="Times New Roman" w:cs="Times New Roman"/>
          <w:sz w:val="26"/>
          <w:szCs w:val="26"/>
          <w:lang w:val="vi-VN"/>
        </w:rPr>
        <w:t xml:space="preserve">có </w:t>
      </w:r>
      <w:r w:rsidRPr="00AF3D5D">
        <w:rPr>
          <w:rFonts w:ascii="Times New Roman" w:hAnsi="Times New Roman" w:cs="Times New Roman"/>
          <w:sz w:val="26"/>
          <w:szCs w:val="26"/>
          <w:lang w:val="vi-VN"/>
        </w:rPr>
        <w:t xml:space="preserve">sự phân hóa rõ rệt giữa các công ty cho thấy mức độ hiệu quả </w:t>
      </w:r>
      <w:r w:rsidR="00C2547D" w:rsidRPr="00F22BA5">
        <w:rPr>
          <w:rFonts w:ascii="Times New Roman" w:hAnsi="Times New Roman" w:cs="Times New Roman"/>
          <w:sz w:val="26"/>
          <w:szCs w:val="26"/>
          <w:lang w:val="vi-VN"/>
        </w:rPr>
        <w:t>sử dụng vốn</w:t>
      </w:r>
      <w:r w:rsidRPr="00AF3D5D">
        <w:rPr>
          <w:rFonts w:ascii="Times New Roman" w:hAnsi="Times New Roman" w:cs="Times New Roman"/>
          <w:sz w:val="26"/>
          <w:szCs w:val="26"/>
          <w:lang w:val="vi-VN"/>
        </w:rPr>
        <w:t xml:space="preserve"> vẫn còn chưa đồng đều trong toàn ngành.</w:t>
      </w:r>
    </w:p>
    <w:p w14:paraId="6F48F6E8" w14:textId="0F1D1F14" w:rsidR="00383389" w:rsidRDefault="00EB49DB" w:rsidP="005B0517">
      <w:pPr>
        <w:pStyle w:val="Heading3"/>
        <w:rPr>
          <w:lang w:val="vi-VN"/>
        </w:rPr>
      </w:pPr>
      <w:bookmarkStart w:id="230" w:name="_Toc198709995"/>
      <w:r w:rsidRPr="00F22BA5">
        <w:rPr>
          <w:lang w:val="vi-VN"/>
        </w:rPr>
        <w:t xml:space="preserve">2.3.4. </w:t>
      </w:r>
      <w:r w:rsidR="007541B0">
        <w:rPr>
          <w:lang w:val="vi-VN"/>
        </w:rPr>
        <w:t>Khả năng sinh lời của các công ty</w:t>
      </w:r>
      <w:bookmarkEnd w:id="230"/>
    </w:p>
    <w:p w14:paraId="6E999D19" w14:textId="452D209D" w:rsidR="00383389" w:rsidRPr="00383389" w:rsidRDefault="00EB49DB" w:rsidP="00383389">
      <w:pPr>
        <w:spacing w:line="312" w:lineRule="auto"/>
        <w:jc w:val="both"/>
        <w:rPr>
          <w:rFonts w:ascii="Times New Roman" w:hAnsi="Times New Roman" w:cs="Times New Roman"/>
          <w:b/>
          <w:sz w:val="26"/>
          <w:szCs w:val="26"/>
          <w:lang w:val="vi-VN"/>
        </w:rPr>
      </w:pPr>
      <w:r w:rsidRPr="00383389">
        <w:rPr>
          <w:rFonts w:ascii="Times New Roman" w:hAnsi="Times New Roman" w:cs="Times New Roman"/>
          <w:iCs/>
          <w:sz w:val="26"/>
          <w:szCs w:val="26"/>
          <w:lang w:val="vi-VN"/>
        </w:rPr>
        <w:t xml:space="preserve">An toàn tài chính của một doanh nghiệp được đánh giá qua khả năng sinh lời của doanh </w:t>
      </w:r>
      <w:bookmarkStart w:id="231" w:name="_Toc197781186"/>
      <w:bookmarkStart w:id="232" w:name="_Toc197781469"/>
      <w:r w:rsidR="00383389" w:rsidRPr="00383389">
        <w:rPr>
          <w:rFonts w:ascii="Times New Roman" w:hAnsi="Times New Roman" w:cs="Times New Roman"/>
          <w:sz w:val="26"/>
          <w:szCs w:val="26"/>
          <w:lang w:val="vi-VN"/>
        </w:rPr>
        <w:t>nghiệp.</w:t>
      </w:r>
    </w:p>
    <w:p w14:paraId="4BB4ECCA" w14:textId="2202B80A" w:rsidR="008344F6" w:rsidRPr="007541B0" w:rsidRDefault="00383389" w:rsidP="00ED419E">
      <w:pPr>
        <w:pStyle w:val="p2"/>
      </w:pPr>
      <w:r w:rsidRPr="00383389">
        <w:t xml:space="preserve">   </w:t>
      </w:r>
      <w:r w:rsidR="00133F6A">
        <w:t xml:space="preserve"> </w:t>
      </w:r>
      <w:r w:rsidRPr="007541B0">
        <w:t>+ Tỷ suất lợi nhuận sau thuế trên doanh thu (hệ số lãi ròng) (ROS)</w:t>
      </w:r>
      <w:bookmarkEnd w:id="231"/>
      <w:bookmarkEnd w:id="232"/>
      <w:r w:rsidR="008344F6" w:rsidRPr="007541B0">
        <w:t> </w:t>
      </w:r>
    </w:p>
    <w:p w14:paraId="6D1ED65C" w14:textId="11F29165" w:rsidR="00EB49DB" w:rsidRDefault="008344F6" w:rsidP="00EB49DB">
      <w:pPr>
        <w:spacing w:line="312" w:lineRule="auto"/>
        <w:ind w:firstLine="720"/>
        <w:jc w:val="both"/>
        <w:rPr>
          <w:rFonts w:ascii="Times New Roman" w:hAnsi="Times New Roman" w:cs="Times New Roman"/>
          <w:sz w:val="26"/>
          <w:szCs w:val="26"/>
          <w:lang w:val="vi-VN"/>
        </w:rPr>
      </w:pPr>
      <w:r w:rsidRPr="008344F6">
        <w:rPr>
          <w:rFonts w:ascii="Times New Roman" w:hAnsi="Times New Roman" w:cs="Times New Roman"/>
          <w:sz w:val="26"/>
          <w:szCs w:val="26"/>
          <w:lang w:val="vi-VN"/>
        </w:rPr>
        <w:t>Tỷ suất lợi nhuận sau thuế trên doanh thu (ROS) để đo lường mức độ sinh lời thực tế từ hoạt động kinh doanh sau khi đã trừ tất cả chi phí, bao gồm thuế, nó phản ánh hiệu quả tổng thể trong việc kiểm soát chi phí và tối ưu hóa hoạt động. Đối với doanh nghiệp khai khoáng có biên lợi nhuận biến động do giá cả thị trường và chi phí khai thác, việc theo dõi ROS giúp công ty đánh giá sức khỏe tài chính, nâng cao năng lực cạnh tranh và thu hút nhà đầu tư.</w:t>
      </w:r>
    </w:p>
    <w:p w14:paraId="4D015531" w14:textId="77777777" w:rsidR="00533E45" w:rsidRDefault="00533E45" w:rsidP="00E45D8D">
      <w:pPr>
        <w:spacing w:line="312" w:lineRule="auto"/>
        <w:ind w:firstLine="720"/>
        <w:jc w:val="center"/>
        <w:rPr>
          <w:rFonts w:ascii="Times New Roman" w:hAnsi="Times New Roman" w:cs="Times New Roman"/>
          <w:b/>
          <w:sz w:val="26"/>
          <w:szCs w:val="26"/>
          <w:lang w:val="vi-VN"/>
        </w:rPr>
      </w:pPr>
    </w:p>
    <w:p w14:paraId="6C176202" w14:textId="3A89A164" w:rsidR="00E45D8D" w:rsidRDefault="00E45D8D" w:rsidP="00E45D8D">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 xml:space="preserve">Bảng </w:t>
      </w:r>
      <w:r w:rsidR="00EB49DB" w:rsidRPr="00F22BA5">
        <w:rPr>
          <w:rFonts w:ascii="Times New Roman" w:hAnsi="Times New Roman" w:cs="Times New Roman"/>
          <w:b/>
          <w:sz w:val="26"/>
          <w:szCs w:val="26"/>
          <w:lang w:val="vi-VN"/>
        </w:rPr>
        <w:t>2.14</w:t>
      </w:r>
      <w:r w:rsidRPr="004A1CD3">
        <w:rPr>
          <w:rFonts w:ascii="Times New Roman" w:hAnsi="Times New Roman" w:cs="Times New Roman"/>
          <w:b/>
          <w:sz w:val="26"/>
          <w:szCs w:val="26"/>
          <w:lang w:val="vi-VN"/>
        </w:rPr>
        <w:t xml:space="preserve">. </w:t>
      </w:r>
      <w:r>
        <w:rPr>
          <w:rFonts w:ascii="Times New Roman" w:hAnsi="Times New Roman" w:cs="Times New Roman"/>
          <w:b/>
          <w:sz w:val="26"/>
          <w:szCs w:val="26"/>
          <w:lang w:val="vi-VN"/>
        </w:rPr>
        <w:t xml:space="preserve">Tỷ suất lợi nhuận sau thuế trên doanh thu </w:t>
      </w:r>
      <w:r w:rsidRPr="004A1CD3">
        <w:rPr>
          <w:rFonts w:ascii="Times New Roman" w:hAnsi="Times New Roman" w:cs="Times New Roman"/>
          <w:b/>
          <w:sz w:val="26"/>
          <w:szCs w:val="26"/>
          <w:lang w:val="vi-VN"/>
        </w:rPr>
        <w:t xml:space="preserve">của các CTCP </w:t>
      </w:r>
    </w:p>
    <w:p w14:paraId="1E88DB0A" w14:textId="2DB585B5" w:rsidR="00E45D8D" w:rsidRPr="00EB49DB" w:rsidRDefault="00E45D8D" w:rsidP="00EB49DB">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niêm yết thuộc TKV</w:t>
      </w:r>
      <w:r>
        <w:rPr>
          <w:rFonts w:ascii="Times New Roman" w:hAnsi="Times New Roman" w:cs="Times New Roman"/>
          <w:b/>
          <w:sz w:val="26"/>
          <w:szCs w:val="26"/>
          <w:lang w:val="vi-VN"/>
        </w:rPr>
        <w:t xml:space="preserve"> giai đoạn 2019 – 2023</w:t>
      </w:r>
    </w:p>
    <w:tbl>
      <w:tblPr>
        <w:tblStyle w:val="TableGrid"/>
        <w:tblW w:w="8957" w:type="dxa"/>
        <w:tblInd w:w="-5" w:type="dxa"/>
        <w:tblLook w:val="04A0" w:firstRow="1" w:lastRow="0" w:firstColumn="1" w:lastColumn="0" w:noHBand="0" w:noVBand="1"/>
      </w:tblPr>
      <w:tblGrid>
        <w:gridCol w:w="758"/>
        <w:gridCol w:w="1591"/>
        <w:gridCol w:w="1009"/>
        <w:gridCol w:w="998"/>
        <w:gridCol w:w="998"/>
        <w:gridCol w:w="1128"/>
        <w:gridCol w:w="1088"/>
        <w:gridCol w:w="1387"/>
      </w:tblGrid>
      <w:tr w:rsidR="00E45D8D" w:rsidRPr="001909AC" w14:paraId="114C7253" w14:textId="77777777" w:rsidTr="00383389">
        <w:trPr>
          <w:trHeight w:val="340"/>
        </w:trPr>
        <w:tc>
          <w:tcPr>
            <w:tcW w:w="758" w:type="dxa"/>
            <w:tcBorders>
              <w:top w:val="single" w:sz="4" w:space="0" w:color="auto"/>
              <w:left w:val="single" w:sz="4" w:space="0" w:color="auto"/>
              <w:bottom w:val="single" w:sz="4" w:space="0" w:color="auto"/>
              <w:right w:val="single" w:sz="4" w:space="0" w:color="auto"/>
            </w:tcBorders>
            <w:vAlign w:val="center"/>
          </w:tcPr>
          <w:p w14:paraId="3091973C" w14:textId="47A02AA3" w:rsidR="00E45D8D" w:rsidRPr="001909AC" w:rsidRDefault="00E45D8D" w:rsidP="00383389">
            <w:pPr>
              <w:spacing w:after="160" w:line="259" w:lineRule="auto"/>
              <w:jc w:val="center"/>
              <w:rPr>
                <w:rFonts w:ascii="Times New Roman" w:hAnsi="Times New Roman" w:cs="Times New Roman"/>
                <w:b/>
                <w:bCs/>
              </w:rPr>
            </w:pPr>
            <w:r>
              <w:rPr>
                <w:rFonts w:ascii="Times New Roman" w:hAnsi="Times New Roman" w:cs="Times New Roman"/>
                <w:b/>
                <w:bCs/>
              </w:rPr>
              <w:t>TT</w:t>
            </w:r>
          </w:p>
        </w:tc>
        <w:tc>
          <w:tcPr>
            <w:tcW w:w="1591" w:type="dxa"/>
            <w:tcBorders>
              <w:top w:val="single" w:sz="4" w:space="0" w:color="auto"/>
              <w:left w:val="single" w:sz="4" w:space="0" w:color="auto"/>
              <w:bottom w:val="single" w:sz="4" w:space="0" w:color="auto"/>
              <w:right w:val="single" w:sz="4" w:space="0" w:color="auto"/>
            </w:tcBorders>
            <w:vAlign w:val="center"/>
            <w:hideMark/>
          </w:tcPr>
          <w:p w14:paraId="3C381CDF" w14:textId="59565B7C" w:rsidR="00E45D8D" w:rsidRPr="001909AC" w:rsidRDefault="0031049D"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Công ty</w:t>
            </w:r>
          </w:p>
        </w:tc>
        <w:tc>
          <w:tcPr>
            <w:tcW w:w="1009" w:type="dxa"/>
            <w:tcBorders>
              <w:top w:val="single" w:sz="4" w:space="0" w:color="auto"/>
              <w:left w:val="single" w:sz="4" w:space="0" w:color="auto"/>
              <w:bottom w:val="single" w:sz="4" w:space="0" w:color="auto"/>
              <w:right w:val="single" w:sz="4" w:space="0" w:color="auto"/>
            </w:tcBorders>
            <w:vAlign w:val="center"/>
            <w:hideMark/>
          </w:tcPr>
          <w:p w14:paraId="4FB8732C" w14:textId="77777777" w:rsidR="00E45D8D" w:rsidRPr="001909AC" w:rsidRDefault="00E45D8D" w:rsidP="00383389">
            <w:pPr>
              <w:spacing w:after="160" w:line="259" w:lineRule="auto"/>
              <w:jc w:val="center"/>
              <w:rPr>
                <w:rFonts w:ascii="Times New Roman" w:hAnsi="Times New Roman" w:cs="Times New Roman"/>
                <w:b/>
                <w:bCs/>
              </w:rPr>
            </w:pPr>
            <w:r w:rsidRPr="001909AC">
              <w:rPr>
                <w:rFonts w:ascii="Times New Roman" w:hAnsi="Times New Roman" w:cs="Times New Roman"/>
                <w:b/>
                <w:bCs/>
              </w:rPr>
              <w:t>2019</w:t>
            </w:r>
          </w:p>
        </w:tc>
        <w:tc>
          <w:tcPr>
            <w:tcW w:w="998" w:type="dxa"/>
            <w:tcBorders>
              <w:top w:val="single" w:sz="4" w:space="0" w:color="auto"/>
              <w:left w:val="single" w:sz="4" w:space="0" w:color="auto"/>
              <w:bottom w:val="single" w:sz="4" w:space="0" w:color="auto"/>
              <w:right w:val="single" w:sz="4" w:space="0" w:color="auto"/>
            </w:tcBorders>
            <w:vAlign w:val="center"/>
            <w:hideMark/>
          </w:tcPr>
          <w:p w14:paraId="722748DB" w14:textId="77777777" w:rsidR="00E45D8D" w:rsidRPr="001909AC" w:rsidRDefault="00E45D8D" w:rsidP="00383389">
            <w:pPr>
              <w:spacing w:after="160" w:line="259" w:lineRule="auto"/>
              <w:jc w:val="center"/>
              <w:rPr>
                <w:rFonts w:ascii="Times New Roman" w:hAnsi="Times New Roman" w:cs="Times New Roman"/>
                <w:b/>
                <w:bCs/>
              </w:rPr>
            </w:pPr>
            <w:r w:rsidRPr="001909AC">
              <w:rPr>
                <w:rFonts w:ascii="Times New Roman" w:hAnsi="Times New Roman" w:cs="Times New Roman"/>
                <w:b/>
                <w:bCs/>
              </w:rPr>
              <w:t>2020</w:t>
            </w:r>
          </w:p>
        </w:tc>
        <w:tc>
          <w:tcPr>
            <w:tcW w:w="998" w:type="dxa"/>
            <w:tcBorders>
              <w:top w:val="single" w:sz="4" w:space="0" w:color="auto"/>
              <w:left w:val="single" w:sz="4" w:space="0" w:color="auto"/>
              <w:bottom w:val="single" w:sz="4" w:space="0" w:color="auto"/>
              <w:right w:val="single" w:sz="4" w:space="0" w:color="auto"/>
            </w:tcBorders>
            <w:vAlign w:val="center"/>
            <w:hideMark/>
          </w:tcPr>
          <w:p w14:paraId="6822ECA5" w14:textId="77777777" w:rsidR="00E45D8D" w:rsidRPr="001909AC" w:rsidRDefault="00E45D8D" w:rsidP="00383389">
            <w:pPr>
              <w:spacing w:after="160" w:line="259" w:lineRule="auto"/>
              <w:jc w:val="center"/>
              <w:rPr>
                <w:rFonts w:ascii="Times New Roman" w:hAnsi="Times New Roman" w:cs="Times New Roman"/>
                <w:b/>
                <w:bCs/>
              </w:rPr>
            </w:pPr>
            <w:r w:rsidRPr="001909AC">
              <w:rPr>
                <w:rFonts w:ascii="Times New Roman" w:hAnsi="Times New Roman" w:cs="Times New Roman"/>
                <w:b/>
                <w:bCs/>
              </w:rPr>
              <w:t>2021</w:t>
            </w:r>
          </w:p>
        </w:tc>
        <w:tc>
          <w:tcPr>
            <w:tcW w:w="1128" w:type="dxa"/>
            <w:tcBorders>
              <w:top w:val="single" w:sz="4" w:space="0" w:color="auto"/>
              <w:left w:val="single" w:sz="4" w:space="0" w:color="auto"/>
              <w:bottom w:val="single" w:sz="4" w:space="0" w:color="auto"/>
              <w:right w:val="single" w:sz="4" w:space="0" w:color="auto"/>
            </w:tcBorders>
            <w:vAlign w:val="center"/>
            <w:hideMark/>
          </w:tcPr>
          <w:p w14:paraId="1EDD7625" w14:textId="77777777" w:rsidR="00E45D8D" w:rsidRPr="001909AC" w:rsidRDefault="00E45D8D" w:rsidP="00383389">
            <w:pPr>
              <w:spacing w:after="160" w:line="259" w:lineRule="auto"/>
              <w:jc w:val="center"/>
              <w:rPr>
                <w:rFonts w:ascii="Times New Roman" w:hAnsi="Times New Roman" w:cs="Times New Roman"/>
                <w:b/>
                <w:bCs/>
              </w:rPr>
            </w:pPr>
            <w:r w:rsidRPr="001909AC">
              <w:rPr>
                <w:rFonts w:ascii="Times New Roman" w:hAnsi="Times New Roman" w:cs="Times New Roman"/>
                <w:b/>
                <w:bCs/>
              </w:rPr>
              <w:t>2022</w:t>
            </w:r>
          </w:p>
        </w:tc>
        <w:tc>
          <w:tcPr>
            <w:tcW w:w="1088" w:type="dxa"/>
            <w:tcBorders>
              <w:top w:val="single" w:sz="4" w:space="0" w:color="auto"/>
              <w:left w:val="single" w:sz="4" w:space="0" w:color="auto"/>
              <w:bottom w:val="single" w:sz="4" w:space="0" w:color="auto"/>
              <w:right w:val="single" w:sz="4" w:space="0" w:color="auto"/>
            </w:tcBorders>
            <w:vAlign w:val="center"/>
            <w:hideMark/>
          </w:tcPr>
          <w:p w14:paraId="310A3B1D" w14:textId="77777777" w:rsidR="00E45D8D" w:rsidRPr="001909AC" w:rsidRDefault="00E45D8D" w:rsidP="00383389">
            <w:pPr>
              <w:spacing w:after="160" w:line="259" w:lineRule="auto"/>
              <w:jc w:val="center"/>
              <w:rPr>
                <w:rFonts w:ascii="Times New Roman" w:hAnsi="Times New Roman" w:cs="Times New Roman"/>
                <w:b/>
                <w:bCs/>
              </w:rPr>
            </w:pPr>
            <w:r w:rsidRPr="001909AC">
              <w:rPr>
                <w:rFonts w:ascii="Times New Roman" w:hAnsi="Times New Roman" w:cs="Times New Roman"/>
                <w:b/>
                <w:bCs/>
              </w:rPr>
              <w:t>2023</w:t>
            </w:r>
          </w:p>
        </w:tc>
        <w:tc>
          <w:tcPr>
            <w:tcW w:w="1387" w:type="dxa"/>
            <w:tcBorders>
              <w:top w:val="single" w:sz="4" w:space="0" w:color="auto"/>
              <w:left w:val="single" w:sz="4" w:space="0" w:color="auto"/>
              <w:bottom w:val="single" w:sz="4" w:space="0" w:color="auto"/>
              <w:right w:val="single" w:sz="4" w:space="0" w:color="auto"/>
            </w:tcBorders>
            <w:vAlign w:val="center"/>
          </w:tcPr>
          <w:p w14:paraId="708AA0EC" w14:textId="77777777" w:rsidR="00E45D8D" w:rsidRPr="00F82756" w:rsidRDefault="00E45D8D" w:rsidP="00383389">
            <w:pPr>
              <w:jc w:val="center"/>
              <w:rPr>
                <w:rFonts w:ascii="Times New Roman" w:hAnsi="Times New Roman" w:cs="Times New Roman"/>
                <w:b/>
                <w:bCs/>
              </w:rPr>
            </w:pPr>
            <w:r>
              <w:rPr>
                <w:rFonts w:ascii="Times New Roman" w:hAnsi="Times New Roman" w:cs="Times New Roman"/>
                <w:b/>
                <w:bCs/>
              </w:rPr>
              <w:t>Bình quân</w:t>
            </w:r>
          </w:p>
        </w:tc>
      </w:tr>
      <w:tr w:rsidR="003331B9" w:rsidRPr="001909AC" w14:paraId="719955B2" w14:textId="77777777" w:rsidTr="00383389">
        <w:trPr>
          <w:trHeight w:val="367"/>
        </w:trPr>
        <w:tc>
          <w:tcPr>
            <w:tcW w:w="758" w:type="dxa"/>
            <w:tcBorders>
              <w:top w:val="single" w:sz="4" w:space="0" w:color="auto"/>
              <w:left w:val="single" w:sz="4" w:space="0" w:color="auto"/>
              <w:bottom w:val="single" w:sz="4" w:space="0" w:color="auto"/>
              <w:right w:val="single" w:sz="4" w:space="0" w:color="auto"/>
            </w:tcBorders>
            <w:vAlign w:val="center"/>
          </w:tcPr>
          <w:p w14:paraId="76561991" w14:textId="1FA62B0F"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1</w:t>
            </w:r>
          </w:p>
        </w:tc>
        <w:tc>
          <w:tcPr>
            <w:tcW w:w="1591" w:type="dxa"/>
            <w:tcBorders>
              <w:top w:val="single" w:sz="4" w:space="0" w:color="auto"/>
              <w:left w:val="single" w:sz="4" w:space="0" w:color="auto"/>
              <w:bottom w:val="single" w:sz="4" w:space="0" w:color="auto"/>
              <w:right w:val="single" w:sz="4" w:space="0" w:color="auto"/>
            </w:tcBorders>
            <w:vAlign w:val="center"/>
            <w:hideMark/>
          </w:tcPr>
          <w:p w14:paraId="3CCAA5E8" w14:textId="28991AF8"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TVD</w:t>
            </w:r>
          </w:p>
        </w:tc>
        <w:tc>
          <w:tcPr>
            <w:tcW w:w="1009" w:type="dxa"/>
            <w:tcBorders>
              <w:top w:val="single" w:sz="4" w:space="0" w:color="auto"/>
              <w:left w:val="single" w:sz="4" w:space="0" w:color="auto"/>
              <w:bottom w:val="single" w:sz="4" w:space="0" w:color="auto"/>
              <w:right w:val="single" w:sz="4" w:space="0" w:color="auto"/>
            </w:tcBorders>
            <w:vAlign w:val="center"/>
            <w:hideMark/>
          </w:tcPr>
          <w:p w14:paraId="454B8142"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1,29%</w:t>
            </w:r>
          </w:p>
        </w:tc>
        <w:tc>
          <w:tcPr>
            <w:tcW w:w="998" w:type="dxa"/>
            <w:tcBorders>
              <w:top w:val="single" w:sz="4" w:space="0" w:color="auto"/>
              <w:left w:val="single" w:sz="4" w:space="0" w:color="auto"/>
              <w:bottom w:val="single" w:sz="4" w:space="0" w:color="auto"/>
              <w:right w:val="single" w:sz="4" w:space="0" w:color="auto"/>
            </w:tcBorders>
            <w:vAlign w:val="center"/>
            <w:hideMark/>
          </w:tcPr>
          <w:p w14:paraId="7CAAA1DB"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1,46%</w:t>
            </w:r>
          </w:p>
        </w:tc>
        <w:tc>
          <w:tcPr>
            <w:tcW w:w="998" w:type="dxa"/>
            <w:tcBorders>
              <w:top w:val="single" w:sz="4" w:space="0" w:color="auto"/>
              <w:left w:val="single" w:sz="4" w:space="0" w:color="auto"/>
              <w:bottom w:val="single" w:sz="4" w:space="0" w:color="auto"/>
              <w:right w:val="single" w:sz="4" w:space="0" w:color="auto"/>
            </w:tcBorders>
            <w:vAlign w:val="center"/>
            <w:hideMark/>
          </w:tcPr>
          <w:p w14:paraId="39104971"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1,90%</w:t>
            </w:r>
          </w:p>
        </w:tc>
        <w:tc>
          <w:tcPr>
            <w:tcW w:w="1128" w:type="dxa"/>
            <w:tcBorders>
              <w:top w:val="single" w:sz="4" w:space="0" w:color="auto"/>
              <w:left w:val="single" w:sz="4" w:space="0" w:color="auto"/>
              <w:bottom w:val="single" w:sz="4" w:space="0" w:color="auto"/>
              <w:right w:val="single" w:sz="4" w:space="0" w:color="auto"/>
            </w:tcBorders>
            <w:vAlign w:val="center"/>
            <w:hideMark/>
          </w:tcPr>
          <w:p w14:paraId="40DE49B2"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2,61%</w:t>
            </w:r>
          </w:p>
        </w:tc>
        <w:tc>
          <w:tcPr>
            <w:tcW w:w="1088" w:type="dxa"/>
            <w:tcBorders>
              <w:top w:val="single" w:sz="4" w:space="0" w:color="auto"/>
              <w:left w:val="single" w:sz="4" w:space="0" w:color="auto"/>
              <w:bottom w:val="single" w:sz="4" w:space="0" w:color="auto"/>
              <w:right w:val="single" w:sz="4" w:space="0" w:color="auto"/>
            </w:tcBorders>
            <w:vAlign w:val="center"/>
            <w:hideMark/>
          </w:tcPr>
          <w:p w14:paraId="2ABDFCBE"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2,11%</w:t>
            </w:r>
          </w:p>
        </w:tc>
        <w:tc>
          <w:tcPr>
            <w:tcW w:w="1387" w:type="dxa"/>
            <w:tcBorders>
              <w:top w:val="single" w:sz="4" w:space="0" w:color="auto"/>
              <w:left w:val="single" w:sz="4" w:space="0" w:color="auto"/>
              <w:bottom w:val="single" w:sz="4" w:space="0" w:color="auto"/>
              <w:right w:val="single" w:sz="4" w:space="0" w:color="auto"/>
            </w:tcBorders>
            <w:vAlign w:val="center"/>
          </w:tcPr>
          <w:p w14:paraId="5595DF03"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1,87%</w:t>
            </w:r>
          </w:p>
        </w:tc>
      </w:tr>
      <w:tr w:rsidR="003331B9" w:rsidRPr="001909AC" w14:paraId="25AAB7B1" w14:textId="77777777" w:rsidTr="00383389">
        <w:trPr>
          <w:trHeight w:val="340"/>
        </w:trPr>
        <w:tc>
          <w:tcPr>
            <w:tcW w:w="758" w:type="dxa"/>
            <w:tcBorders>
              <w:top w:val="single" w:sz="4" w:space="0" w:color="auto"/>
              <w:left w:val="single" w:sz="4" w:space="0" w:color="auto"/>
              <w:bottom w:val="single" w:sz="4" w:space="0" w:color="auto"/>
              <w:right w:val="single" w:sz="4" w:space="0" w:color="auto"/>
            </w:tcBorders>
            <w:vAlign w:val="center"/>
          </w:tcPr>
          <w:p w14:paraId="3E93A6A1" w14:textId="367958DD"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2</w:t>
            </w:r>
          </w:p>
        </w:tc>
        <w:tc>
          <w:tcPr>
            <w:tcW w:w="1591" w:type="dxa"/>
            <w:tcBorders>
              <w:top w:val="single" w:sz="4" w:space="0" w:color="auto"/>
              <w:left w:val="single" w:sz="4" w:space="0" w:color="auto"/>
              <w:bottom w:val="single" w:sz="4" w:space="0" w:color="auto"/>
              <w:right w:val="single" w:sz="4" w:space="0" w:color="auto"/>
            </w:tcBorders>
            <w:vAlign w:val="center"/>
            <w:hideMark/>
          </w:tcPr>
          <w:p w14:paraId="2279852D" w14:textId="36748C29"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MDC</w:t>
            </w:r>
          </w:p>
        </w:tc>
        <w:tc>
          <w:tcPr>
            <w:tcW w:w="1009" w:type="dxa"/>
            <w:tcBorders>
              <w:top w:val="single" w:sz="4" w:space="0" w:color="auto"/>
              <w:left w:val="single" w:sz="4" w:space="0" w:color="auto"/>
              <w:bottom w:val="single" w:sz="4" w:space="0" w:color="auto"/>
              <w:right w:val="single" w:sz="4" w:space="0" w:color="auto"/>
            </w:tcBorders>
            <w:vAlign w:val="center"/>
            <w:hideMark/>
          </w:tcPr>
          <w:p w14:paraId="2AF6DE66"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1,02%</w:t>
            </w:r>
          </w:p>
        </w:tc>
        <w:tc>
          <w:tcPr>
            <w:tcW w:w="998" w:type="dxa"/>
            <w:tcBorders>
              <w:top w:val="single" w:sz="4" w:space="0" w:color="auto"/>
              <w:left w:val="nil"/>
              <w:bottom w:val="single" w:sz="4" w:space="0" w:color="auto"/>
              <w:right w:val="single" w:sz="4" w:space="0" w:color="auto"/>
            </w:tcBorders>
            <w:vAlign w:val="center"/>
            <w:hideMark/>
          </w:tcPr>
          <w:p w14:paraId="5BBEBABB"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1,11%</w:t>
            </w:r>
          </w:p>
        </w:tc>
        <w:tc>
          <w:tcPr>
            <w:tcW w:w="998" w:type="dxa"/>
            <w:tcBorders>
              <w:top w:val="single" w:sz="4" w:space="0" w:color="auto"/>
              <w:left w:val="nil"/>
              <w:bottom w:val="single" w:sz="4" w:space="0" w:color="auto"/>
              <w:right w:val="single" w:sz="4" w:space="0" w:color="auto"/>
            </w:tcBorders>
            <w:vAlign w:val="center"/>
            <w:hideMark/>
          </w:tcPr>
          <w:p w14:paraId="3F0E834E"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1,31%</w:t>
            </w:r>
          </w:p>
        </w:tc>
        <w:tc>
          <w:tcPr>
            <w:tcW w:w="1128" w:type="dxa"/>
            <w:tcBorders>
              <w:top w:val="single" w:sz="4" w:space="0" w:color="auto"/>
              <w:left w:val="nil"/>
              <w:bottom w:val="single" w:sz="4" w:space="0" w:color="auto"/>
              <w:right w:val="single" w:sz="4" w:space="0" w:color="auto"/>
            </w:tcBorders>
            <w:vAlign w:val="center"/>
            <w:hideMark/>
          </w:tcPr>
          <w:p w14:paraId="2AD02C57"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3,20%</w:t>
            </w:r>
          </w:p>
        </w:tc>
        <w:tc>
          <w:tcPr>
            <w:tcW w:w="1088" w:type="dxa"/>
            <w:tcBorders>
              <w:top w:val="single" w:sz="4" w:space="0" w:color="auto"/>
              <w:left w:val="nil"/>
              <w:bottom w:val="single" w:sz="4" w:space="0" w:color="auto"/>
              <w:right w:val="single" w:sz="4" w:space="0" w:color="auto"/>
            </w:tcBorders>
            <w:vAlign w:val="center"/>
            <w:hideMark/>
          </w:tcPr>
          <w:p w14:paraId="0F41D9C1"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1,96%</w:t>
            </w:r>
          </w:p>
        </w:tc>
        <w:tc>
          <w:tcPr>
            <w:tcW w:w="1387" w:type="dxa"/>
            <w:tcBorders>
              <w:top w:val="single" w:sz="4" w:space="0" w:color="auto"/>
              <w:left w:val="nil"/>
              <w:bottom w:val="single" w:sz="4" w:space="0" w:color="auto"/>
              <w:right w:val="single" w:sz="4" w:space="0" w:color="auto"/>
            </w:tcBorders>
            <w:vAlign w:val="center"/>
          </w:tcPr>
          <w:p w14:paraId="6C4B73EA"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1,72%</w:t>
            </w:r>
          </w:p>
        </w:tc>
      </w:tr>
      <w:tr w:rsidR="003331B9" w:rsidRPr="001909AC" w14:paraId="7DE33E6B" w14:textId="77777777" w:rsidTr="00383389">
        <w:trPr>
          <w:trHeight w:val="393"/>
        </w:trPr>
        <w:tc>
          <w:tcPr>
            <w:tcW w:w="758" w:type="dxa"/>
            <w:tcBorders>
              <w:top w:val="single" w:sz="4" w:space="0" w:color="auto"/>
              <w:left w:val="single" w:sz="4" w:space="0" w:color="auto"/>
              <w:bottom w:val="single" w:sz="4" w:space="0" w:color="auto"/>
              <w:right w:val="single" w:sz="4" w:space="0" w:color="auto"/>
            </w:tcBorders>
            <w:vAlign w:val="center"/>
          </w:tcPr>
          <w:p w14:paraId="6F1A52F9" w14:textId="01A3B866"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3</w:t>
            </w:r>
          </w:p>
        </w:tc>
        <w:tc>
          <w:tcPr>
            <w:tcW w:w="1591" w:type="dxa"/>
            <w:tcBorders>
              <w:top w:val="single" w:sz="4" w:space="0" w:color="auto"/>
              <w:left w:val="single" w:sz="4" w:space="0" w:color="auto"/>
              <w:bottom w:val="single" w:sz="4" w:space="0" w:color="auto"/>
              <w:right w:val="single" w:sz="4" w:space="0" w:color="auto"/>
            </w:tcBorders>
            <w:vAlign w:val="center"/>
            <w:hideMark/>
          </w:tcPr>
          <w:p w14:paraId="2155D97E" w14:textId="04B243B0"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HLC</w:t>
            </w:r>
          </w:p>
        </w:tc>
        <w:tc>
          <w:tcPr>
            <w:tcW w:w="1009" w:type="dxa"/>
            <w:tcBorders>
              <w:top w:val="single" w:sz="4" w:space="0" w:color="auto"/>
              <w:left w:val="single" w:sz="4" w:space="0" w:color="auto"/>
              <w:bottom w:val="single" w:sz="4" w:space="0" w:color="auto"/>
              <w:right w:val="single" w:sz="4" w:space="0" w:color="auto"/>
            </w:tcBorders>
            <w:vAlign w:val="center"/>
            <w:hideMark/>
          </w:tcPr>
          <w:p w14:paraId="75858898"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1,61%</w:t>
            </w:r>
          </w:p>
        </w:tc>
        <w:tc>
          <w:tcPr>
            <w:tcW w:w="998" w:type="dxa"/>
            <w:tcBorders>
              <w:top w:val="single" w:sz="4" w:space="0" w:color="auto"/>
              <w:left w:val="single" w:sz="4" w:space="0" w:color="auto"/>
              <w:bottom w:val="single" w:sz="4" w:space="0" w:color="auto"/>
              <w:right w:val="single" w:sz="4" w:space="0" w:color="auto"/>
            </w:tcBorders>
            <w:vAlign w:val="center"/>
            <w:hideMark/>
          </w:tcPr>
          <w:p w14:paraId="1ED6168C"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1,55%</w:t>
            </w:r>
          </w:p>
        </w:tc>
        <w:tc>
          <w:tcPr>
            <w:tcW w:w="998" w:type="dxa"/>
            <w:tcBorders>
              <w:top w:val="single" w:sz="4" w:space="0" w:color="auto"/>
              <w:left w:val="single" w:sz="4" w:space="0" w:color="auto"/>
              <w:bottom w:val="single" w:sz="4" w:space="0" w:color="auto"/>
              <w:right w:val="single" w:sz="4" w:space="0" w:color="auto"/>
            </w:tcBorders>
            <w:vAlign w:val="center"/>
            <w:hideMark/>
          </w:tcPr>
          <w:p w14:paraId="162BBEEC"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2,33%</w:t>
            </w:r>
          </w:p>
        </w:tc>
        <w:tc>
          <w:tcPr>
            <w:tcW w:w="1128" w:type="dxa"/>
            <w:tcBorders>
              <w:top w:val="single" w:sz="4" w:space="0" w:color="auto"/>
              <w:left w:val="single" w:sz="4" w:space="0" w:color="auto"/>
              <w:bottom w:val="single" w:sz="4" w:space="0" w:color="auto"/>
              <w:right w:val="single" w:sz="4" w:space="0" w:color="auto"/>
            </w:tcBorders>
            <w:vAlign w:val="center"/>
            <w:hideMark/>
          </w:tcPr>
          <w:p w14:paraId="274810D8"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2,10%</w:t>
            </w:r>
          </w:p>
        </w:tc>
        <w:tc>
          <w:tcPr>
            <w:tcW w:w="1088" w:type="dxa"/>
            <w:tcBorders>
              <w:top w:val="single" w:sz="4" w:space="0" w:color="auto"/>
              <w:left w:val="single" w:sz="4" w:space="0" w:color="auto"/>
              <w:bottom w:val="single" w:sz="4" w:space="0" w:color="auto"/>
              <w:right w:val="single" w:sz="4" w:space="0" w:color="auto"/>
            </w:tcBorders>
            <w:vAlign w:val="center"/>
            <w:hideMark/>
          </w:tcPr>
          <w:p w14:paraId="12BAEF49" w14:textId="77777777" w:rsidR="003331B9" w:rsidRPr="001909AC" w:rsidRDefault="003331B9" w:rsidP="003331B9">
            <w:pPr>
              <w:spacing w:after="160" w:line="259" w:lineRule="auto"/>
              <w:jc w:val="center"/>
              <w:rPr>
                <w:rFonts w:ascii="Times New Roman" w:hAnsi="Times New Roman" w:cs="Times New Roman"/>
                <w:b/>
                <w:bCs/>
              </w:rPr>
            </w:pPr>
            <w:r w:rsidRPr="001909AC">
              <w:rPr>
                <w:rFonts w:ascii="Times New Roman" w:hAnsi="Times New Roman" w:cs="Times New Roman"/>
              </w:rPr>
              <w:t>3,16%</w:t>
            </w:r>
          </w:p>
        </w:tc>
        <w:tc>
          <w:tcPr>
            <w:tcW w:w="1387" w:type="dxa"/>
            <w:tcBorders>
              <w:top w:val="single" w:sz="4" w:space="0" w:color="auto"/>
              <w:left w:val="single" w:sz="4" w:space="0" w:color="auto"/>
              <w:bottom w:val="single" w:sz="4" w:space="0" w:color="auto"/>
              <w:right w:val="single" w:sz="4" w:space="0" w:color="auto"/>
            </w:tcBorders>
            <w:vAlign w:val="center"/>
          </w:tcPr>
          <w:p w14:paraId="287A7B91"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2,15%</w:t>
            </w:r>
          </w:p>
        </w:tc>
      </w:tr>
      <w:tr w:rsidR="003331B9" w:rsidRPr="001909AC" w14:paraId="4D501BF6" w14:textId="77777777" w:rsidTr="00383389">
        <w:trPr>
          <w:trHeight w:val="340"/>
        </w:trPr>
        <w:tc>
          <w:tcPr>
            <w:tcW w:w="758" w:type="dxa"/>
            <w:tcBorders>
              <w:top w:val="single" w:sz="4" w:space="0" w:color="auto"/>
              <w:left w:val="single" w:sz="4" w:space="0" w:color="auto"/>
              <w:bottom w:val="single" w:sz="4" w:space="0" w:color="auto"/>
              <w:right w:val="single" w:sz="4" w:space="0" w:color="auto"/>
            </w:tcBorders>
            <w:vAlign w:val="center"/>
          </w:tcPr>
          <w:p w14:paraId="4BD7FEB2" w14:textId="112F2624"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4</w:t>
            </w:r>
          </w:p>
        </w:tc>
        <w:tc>
          <w:tcPr>
            <w:tcW w:w="1591" w:type="dxa"/>
            <w:tcBorders>
              <w:top w:val="single" w:sz="4" w:space="0" w:color="auto"/>
              <w:left w:val="single" w:sz="4" w:space="0" w:color="auto"/>
              <w:bottom w:val="single" w:sz="4" w:space="0" w:color="auto"/>
              <w:right w:val="single" w:sz="4" w:space="0" w:color="auto"/>
            </w:tcBorders>
            <w:vAlign w:val="center"/>
            <w:hideMark/>
          </w:tcPr>
          <w:p w14:paraId="11DE796C" w14:textId="0C4F248A"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THT</w:t>
            </w:r>
          </w:p>
        </w:tc>
        <w:tc>
          <w:tcPr>
            <w:tcW w:w="1009" w:type="dxa"/>
            <w:tcBorders>
              <w:top w:val="single" w:sz="4" w:space="0" w:color="auto"/>
              <w:left w:val="single" w:sz="4" w:space="0" w:color="auto"/>
              <w:bottom w:val="single" w:sz="4" w:space="0" w:color="auto"/>
              <w:right w:val="single" w:sz="4" w:space="0" w:color="auto"/>
            </w:tcBorders>
            <w:vAlign w:val="center"/>
            <w:hideMark/>
          </w:tcPr>
          <w:p w14:paraId="1EE4E31A"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2,64%</w:t>
            </w:r>
          </w:p>
        </w:tc>
        <w:tc>
          <w:tcPr>
            <w:tcW w:w="998" w:type="dxa"/>
            <w:tcBorders>
              <w:top w:val="single" w:sz="4" w:space="0" w:color="auto"/>
              <w:left w:val="single" w:sz="4" w:space="0" w:color="auto"/>
              <w:bottom w:val="single" w:sz="4" w:space="0" w:color="auto"/>
              <w:right w:val="single" w:sz="4" w:space="0" w:color="auto"/>
            </w:tcBorders>
            <w:vAlign w:val="center"/>
            <w:hideMark/>
          </w:tcPr>
          <w:p w14:paraId="4DE91F22"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1,26%</w:t>
            </w:r>
          </w:p>
        </w:tc>
        <w:tc>
          <w:tcPr>
            <w:tcW w:w="998" w:type="dxa"/>
            <w:tcBorders>
              <w:top w:val="single" w:sz="4" w:space="0" w:color="auto"/>
              <w:left w:val="single" w:sz="4" w:space="0" w:color="auto"/>
              <w:bottom w:val="single" w:sz="4" w:space="0" w:color="auto"/>
              <w:right w:val="single" w:sz="4" w:space="0" w:color="auto"/>
            </w:tcBorders>
            <w:vAlign w:val="center"/>
            <w:hideMark/>
          </w:tcPr>
          <w:p w14:paraId="035C2828"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1,14%</w:t>
            </w:r>
          </w:p>
        </w:tc>
        <w:tc>
          <w:tcPr>
            <w:tcW w:w="1128" w:type="dxa"/>
            <w:tcBorders>
              <w:top w:val="single" w:sz="4" w:space="0" w:color="auto"/>
              <w:left w:val="single" w:sz="4" w:space="0" w:color="auto"/>
              <w:bottom w:val="single" w:sz="4" w:space="0" w:color="auto"/>
              <w:right w:val="single" w:sz="4" w:space="0" w:color="auto"/>
            </w:tcBorders>
            <w:vAlign w:val="center"/>
            <w:hideMark/>
          </w:tcPr>
          <w:p w14:paraId="017D40FB"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1,51%</w:t>
            </w:r>
          </w:p>
        </w:tc>
        <w:tc>
          <w:tcPr>
            <w:tcW w:w="1088" w:type="dxa"/>
            <w:tcBorders>
              <w:top w:val="single" w:sz="4" w:space="0" w:color="auto"/>
              <w:left w:val="single" w:sz="4" w:space="0" w:color="auto"/>
              <w:bottom w:val="single" w:sz="4" w:space="0" w:color="auto"/>
              <w:right w:val="single" w:sz="4" w:space="0" w:color="auto"/>
            </w:tcBorders>
            <w:vAlign w:val="center"/>
            <w:hideMark/>
          </w:tcPr>
          <w:p w14:paraId="3D32845F"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1,64%</w:t>
            </w:r>
          </w:p>
        </w:tc>
        <w:tc>
          <w:tcPr>
            <w:tcW w:w="1387" w:type="dxa"/>
            <w:tcBorders>
              <w:top w:val="single" w:sz="4" w:space="0" w:color="auto"/>
              <w:left w:val="single" w:sz="4" w:space="0" w:color="auto"/>
              <w:bottom w:val="single" w:sz="4" w:space="0" w:color="auto"/>
              <w:right w:val="single" w:sz="4" w:space="0" w:color="auto"/>
            </w:tcBorders>
            <w:vAlign w:val="center"/>
          </w:tcPr>
          <w:p w14:paraId="560D0A47"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1,64%</w:t>
            </w:r>
          </w:p>
        </w:tc>
      </w:tr>
      <w:tr w:rsidR="003331B9" w:rsidRPr="001909AC" w14:paraId="2241FD9F" w14:textId="77777777" w:rsidTr="00383389">
        <w:trPr>
          <w:trHeight w:val="340"/>
        </w:trPr>
        <w:tc>
          <w:tcPr>
            <w:tcW w:w="758" w:type="dxa"/>
            <w:tcBorders>
              <w:top w:val="single" w:sz="4" w:space="0" w:color="auto"/>
              <w:left w:val="single" w:sz="4" w:space="0" w:color="auto"/>
              <w:bottom w:val="single" w:sz="4" w:space="0" w:color="auto"/>
              <w:right w:val="single" w:sz="4" w:space="0" w:color="auto"/>
            </w:tcBorders>
            <w:vAlign w:val="center"/>
          </w:tcPr>
          <w:p w14:paraId="5D5C4CF0" w14:textId="74A6C8B2"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5</w:t>
            </w:r>
          </w:p>
        </w:tc>
        <w:tc>
          <w:tcPr>
            <w:tcW w:w="1591" w:type="dxa"/>
            <w:tcBorders>
              <w:top w:val="single" w:sz="4" w:space="0" w:color="auto"/>
              <w:left w:val="single" w:sz="4" w:space="0" w:color="auto"/>
              <w:bottom w:val="single" w:sz="4" w:space="0" w:color="auto"/>
              <w:right w:val="single" w:sz="4" w:space="0" w:color="auto"/>
            </w:tcBorders>
            <w:vAlign w:val="center"/>
            <w:hideMark/>
          </w:tcPr>
          <w:p w14:paraId="154D81DD" w14:textId="5DE05929" w:rsidR="003331B9" w:rsidRPr="001909AC" w:rsidRDefault="003331B9" w:rsidP="00383389">
            <w:pPr>
              <w:spacing w:after="160" w:line="259" w:lineRule="auto"/>
              <w:jc w:val="center"/>
              <w:rPr>
                <w:rFonts w:ascii="Times New Roman" w:hAnsi="Times New Roman" w:cs="Times New Roman"/>
                <w:b/>
                <w:bCs/>
              </w:rPr>
            </w:pPr>
            <w:r>
              <w:rPr>
                <w:rFonts w:ascii="Times New Roman" w:hAnsi="Times New Roman" w:cs="Times New Roman"/>
                <w:b/>
                <w:bCs/>
                <w:sz w:val="26"/>
                <w:szCs w:val="26"/>
              </w:rPr>
              <w:t>NBC</w:t>
            </w:r>
          </w:p>
        </w:tc>
        <w:tc>
          <w:tcPr>
            <w:tcW w:w="1009" w:type="dxa"/>
            <w:tcBorders>
              <w:top w:val="single" w:sz="4" w:space="0" w:color="auto"/>
              <w:left w:val="single" w:sz="4" w:space="0" w:color="auto"/>
              <w:bottom w:val="single" w:sz="4" w:space="0" w:color="auto"/>
              <w:right w:val="single" w:sz="4" w:space="0" w:color="auto"/>
            </w:tcBorders>
            <w:vAlign w:val="center"/>
            <w:hideMark/>
          </w:tcPr>
          <w:p w14:paraId="597BB86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1,22%</w:t>
            </w:r>
          </w:p>
        </w:tc>
        <w:tc>
          <w:tcPr>
            <w:tcW w:w="998" w:type="dxa"/>
            <w:tcBorders>
              <w:top w:val="single" w:sz="4" w:space="0" w:color="auto"/>
              <w:left w:val="single" w:sz="4" w:space="0" w:color="auto"/>
              <w:bottom w:val="single" w:sz="4" w:space="0" w:color="auto"/>
              <w:right w:val="single" w:sz="4" w:space="0" w:color="auto"/>
            </w:tcBorders>
            <w:vAlign w:val="center"/>
            <w:hideMark/>
          </w:tcPr>
          <w:p w14:paraId="7A5F0FD3"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2,11%</w:t>
            </w:r>
          </w:p>
        </w:tc>
        <w:tc>
          <w:tcPr>
            <w:tcW w:w="998" w:type="dxa"/>
            <w:tcBorders>
              <w:top w:val="single" w:sz="4" w:space="0" w:color="auto"/>
              <w:left w:val="single" w:sz="4" w:space="0" w:color="auto"/>
              <w:bottom w:val="single" w:sz="4" w:space="0" w:color="auto"/>
              <w:right w:val="single" w:sz="4" w:space="0" w:color="auto"/>
            </w:tcBorders>
            <w:vAlign w:val="center"/>
            <w:hideMark/>
          </w:tcPr>
          <w:p w14:paraId="2BEF16E0"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1,68%</w:t>
            </w:r>
          </w:p>
        </w:tc>
        <w:tc>
          <w:tcPr>
            <w:tcW w:w="1128" w:type="dxa"/>
            <w:tcBorders>
              <w:top w:val="single" w:sz="4" w:space="0" w:color="auto"/>
              <w:left w:val="single" w:sz="4" w:space="0" w:color="auto"/>
              <w:bottom w:val="single" w:sz="4" w:space="0" w:color="auto"/>
              <w:right w:val="single" w:sz="4" w:space="0" w:color="auto"/>
            </w:tcBorders>
            <w:vAlign w:val="center"/>
            <w:hideMark/>
          </w:tcPr>
          <w:p w14:paraId="0E4D67B8"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1,307%</w:t>
            </w:r>
          </w:p>
        </w:tc>
        <w:tc>
          <w:tcPr>
            <w:tcW w:w="1088" w:type="dxa"/>
            <w:tcBorders>
              <w:top w:val="single" w:sz="4" w:space="0" w:color="auto"/>
              <w:left w:val="single" w:sz="4" w:space="0" w:color="auto"/>
              <w:bottom w:val="single" w:sz="4" w:space="0" w:color="auto"/>
              <w:right w:val="single" w:sz="4" w:space="0" w:color="auto"/>
            </w:tcBorders>
            <w:vAlign w:val="center"/>
            <w:hideMark/>
          </w:tcPr>
          <w:p w14:paraId="4A90B73D" w14:textId="77777777" w:rsidR="003331B9" w:rsidRPr="001909AC" w:rsidRDefault="003331B9" w:rsidP="003331B9">
            <w:pPr>
              <w:spacing w:after="160" w:line="259" w:lineRule="auto"/>
              <w:jc w:val="center"/>
              <w:rPr>
                <w:rFonts w:ascii="Times New Roman" w:hAnsi="Times New Roman" w:cs="Times New Roman"/>
              </w:rPr>
            </w:pPr>
            <w:r w:rsidRPr="001909AC">
              <w:rPr>
                <w:rFonts w:ascii="Times New Roman" w:hAnsi="Times New Roman" w:cs="Times New Roman"/>
              </w:rPr>
              <w:t>3,20%</w:t>
            </w:r>
          </w:p>
        </w:tc>
        <w:tc>
          <w:tcPr>
            <w:tcW w:w="1387" w:type="dxa"/>
            <w:tcBorders>
              <w:top w:val="single" w:sz="4" w:space="0" w:color="auto"/>
              <w:left w:val="single" w:sz="4" w:space="0" w:color="auto"/>
              <w:bottom w:val="single" w:sz="4" w:space="0" w:color="auto"/>
              <w:right w:val="single" w:sz="4" w:space="0" w:color="auto"/>
            </w:tcBorders>
            <w:vAlign w:val="center"/>
          </w:tcPr>
          <w:p w14:paraId="2CD27E3F"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1,90%</w:t>
            </w:r>
          </w:p>
        </w:tc>
      </w:tr>
    </w:tbl>
    <w:p w14:paraId="58AB8238" w14:textId="25038368" w:rsidR="00E45D8D" w:rsidRPr="00B1640A" w:rsidRDefault="00B1640A" w:rsidP="00B1640A">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46AF86CB" w14:textId="77777777" w:rsidR="00E45D8D" w:rsidRDefault="00E45D8D" w:rsidP="00E45D8D">
      <w:pPr>
        <w:jc w:val="center"/>
      </w:pPr>
    </w:p>
    <w:p w14:paraId="595AB4C1" w14:textId="1EF11752" w:rsidR="00133F6A" w:rsidRDefault="00E45D8D" w:rsidP="007541B0">
      <w:pPr>
        <w:jc w:val="center"/>
        <w:rPr>
          <w:lang w:val="vi-VN"/>
        </w:rPr>
      </w:pPr>
      <w:r>
        <w:rPr>
          <w:noProof/>
          <w:lang w:eastAsia="en-US"/>
        </w:rPr>
        <w:lastRenderedPageBreak/>
        <w:drawing>
          <wp:inline distT="0" distB="0" distL="0" distR="0" wp14:anchorId="098C082B" wp14:editId="71AD4305">
            <wp:extent cx="5661660" cy="2903220"/>
            <wp:effectExtent l="0" t="0" r="15240" b="1143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1DF5D83C" w14:textId="77777777" w:rsidR="007541B0" w:rsidRPr="007541B0" w:rsidRDefault="007541B0" w:rsidP="007541B0">
      <w:pPr>
        <w:jc w:val="center"/>
        <w:rPr>
          <w:lang w:val="vi-VN"/>
        </w:rPr>
      </w:pPr>
    </w:p>
    <w:p w14:paraId="1B555855" w14:textId="10DBBFD3" w:rsidR="00E45D8D" w:rsidRPr="00F22BA5" w:rsidRDefault="00404429" w:rsidP="00427A0C">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Dựa vào bảng phân tích cho thấy, </w:t>
      </w:r>
      <w:r w:rsidRPr="00F22BA5">
        <w:rPr>
          <w:rFonts w:ascii="Times New Roman" w:hAnsi="Times New Roman" w:cs="Times New Roman"/>
          <w:iCs/>
          <w:sz w:val="26"/>
          <w:szCs w:val="26"/>
          <w:lang w:val="vi-VN"/>
        </w:rPr>
        <w:t>n</w:t>
      </w:r>
      <w:r w:rsidRPr="006F14BD">
        <w:rPr>
          <w:rFonts w:ascii="Times New Roman" w:hAnsi="Times New Roman" w:cs="Times New Roman"/>
          <w:iCs/>
          <w:sz w:val="26"/>
          <w:szCs w:val="26"/>
          <w:lang w:val="vi-VN"/>
        </w:rPr>
        <w:t>ăm 2019–2020</w:t>
      </w:r>
      <w:r w:rsidRPr="00F22BA5">
        <w:rPr>
          <w:rFonts w:ascii="Times New Roman" w:hAnsi="Times New Roman" w:cs="Times New Roman"/>
          <w:iCs/>
          <w:sz w:val="26"/>
          <w:szCs w:val="26"/>
          <w:lang w:val="vi-VN"/>
        </w:rPr>
        <w:t>, c</w:t>
      </w:r>
      <w:r w:rsidR="00E45D8D" w:rsidRPr="006F14BD">
        <w:rPr>
          <w:rFonts w:ascii="Times New Roman" w:hAnsi="Times New Roman" w:cs="Times New Roman"/>
          <w:sz w:val="26"/>
          <w:szCs w:val="26"/>
          <w:lang w:val="vi-VN"/>
        </w:rPr>
        <w:t>ác công ty đều có tỷ suất ROS ở mức thấp, dưới 2%, cho thấy giai đoạn này</w:t>
      </w:r>
      <w:r w:rsidR="00427A0C" w:rsidRPr="00F22BA5">
        <w:rPr>
          <w:rFonts w:ascii="Times New Roman" w:hAnsi="Times New Roman" w:cs="Times New Roman"/>
          <w:sz w:val="26"/>
          <w:szCs w:val="26"/>
          <w:lang w:val="vi-VN"/>
        </w:rPr>
        <w:t xml:space="preserve"> các CTCP</w:t>
      </w:r>
      <w:r w:rsidR="00E45D8D" w:rsidRPr="006F14BD">
        <w:rPr>
          <w:rFonts w:ascii="Times New Roman" w:hAnsi="Times New Roman" w:cs="Times New Roman"/>
          <w:sz w:val="26"/>
          <w:szCs w:val="26"/>
          <w:lang w:val="vi-VN"/>
        </w:rPr>
        <w:t xml:space="preserve"> ngành than có lợi nhuận sau thuế khiêm tốn so với doanh thu. </w:t>
      </w:r>
      <w:r w:rsidR="00427A0C" w:rsidRPr="006F14BD">
        <w:rPr>
          <w:rFonts w:ascii="Times New Roman" w:hAnsi="Times New Roman" w:cs="Times New Roman"/>
          <w:iCs/>
          <w:sz w:val="26"/>
          <w:szCs w:val="26"/>
          <w:lang w:val="vi-VN"/>
        </w:rPr>
        <w:t>Năm 2021</w:t>
      </w:r>
      <w:r w:rsidR="00427A0C" w:rsidRPr="00F22BA5">
        <w:rPr>
          <w:rFonts w:ascii="Times New Roman" w:hAnsi="Times New Roman" w:cs="Times New Roman"/>
          <w:iCs/>
          <w:sz w:val="26"/>
          <w:szCs w:val="26"/>
          <w:lang w:val="vi-VN"/>
        </w:rPr>
        <w:t>, đ</w:t>
      </w:r>
      <w:r w:rsidR="00E45D8D" w:rsidRPr="006F14BD">
        <w:rPr>
          <w:rFonts w:ascii="Times New Roman" w:hAnsi="Times New Roman" w:cs="Times New Roman"/>
          <w:sz w:val="26"/>
          <w:szCs w:val="26"/>
          <w:lang w:val="vi-VN"/>
        </w:rPr>
        <w:t>a số doanh nghiệp ghi nhận sự cải thiện nhẹ về ROS. Dấu hiệu này cho thấy sự phục hồi sau giai đoạn khó khăn, đồng thời phản ánh chiến lược cắt giảm chi phí bắt đầu có hiệu quả.</w:t>
      </w:r>
      <w:r w:rsidR="00427A0C" w:rsidRPr="00F22BA5">
        <w:rPr>
          <w:rFonts w:ascii="Times New Roman" w:hAnsi="Times New Roman" w:cs="Times New Roman"/>
          <w:sz w:val="26"/>
          <w:szCs w:val="26"/>
          <w:lang w:val="vi-VN"/>
        </w:rPr>
        <w:t xml:space="preserve"> </w:t>
      </w:r>
      <w:r w:rsidR="00427A0C" w:rsidRPr="006F14BD">
        <w:rPr>
          <w:rFonts w:ascii="Times New Roman" w:hAnsi="Times New Roman" w:cs="Times New Roman"/>
          <w:iCs/>
          <w:sz w:val="26"/>
          <w:szCs w:val="26"/>
          <w:lang w:val="vi-VN"/>
        </w:rPr>
        <w:t>Năm 2022</w:t>
      </w:r>
      <w:r w:rsidR="00427A0C" w:rsidRPr="00F22BA5">
        <w:rPr>
          <w:rFonts w:ascii="Times New Roman" w:hAnsi="Times New Roman" w:cs="Times New Roman"/>
          <w:iCs/>
          <w:sz w:val="26"/>
          <w:szCs w:val="26"/>
          <w:lang w:val="vi-VN"/>
        </w:rPr>
        <w:t>, đ</w:t>
      </w:r>
      <w:r w:rsidR="00E45D8D" w:rsidRPr="006F14BD">
        <w:rPr>
          <w:rFonts w:ascii="Times New Roman" w:hAnsi="Times New Roman" w:cs="Times New Roman"/>
          <w:sz w:val="26"/>
          <w:szCs w:val="26"/>
          <w:lang w:val="vi-VN"/>
        </w:rPr>
        <w:t>ây là năm đột phá với ROS tăng mạnh ở nhiều công ty (</w:t>
      </w:r>
      <w:r w:rsidR="00427A0C" w:rsidRPr="00F22BA5">
        <w:rPr>
          <w:rFonts w:ascii="Times New Roman" w:hAnsi="Times New Roman" w:cs="Times New Roman"/>
          <w:sz w:val="26"/>
          <w:szCs w:val="26"/>
          <w:lang w:val="vi-VN"/>
        </w:rPr>
        <w:t xml:space="preserve">CTCP </w:t>
      </w:r>
      <w:r w:rsidR="00E45D8D" w:rsidRPr="006F14BD">
        <w:rPr>
          <w:rFonts w:ascii="Times New Roman" w:hAnsi="Times New Roman" w:cs="Times New Roman"/>
          <w:sz w:val="26"/>
          <w:szCs w:val="26"/>
          <w:lang w:val="vi-VN"/>
        </w:rPr>
        <w:t xml:space="preserve">Than Mông Dương, </w:t>
      </w:r>
      <w:r w:rsidR="00427A0C" w:rsidRPr="00F22BA5">
        <w:rPr>
          <w:rFonts w:ascii="Times New Roman" w:hAnsi="Times New Roman" w:cs="Times New Roman"/>
          <w:sz w:val="26"/>
          <w:szCs w:val="26"/>
          <w:lang w:val="vi-VN"/>
        </w:rPr>
        <w:t xml:space="preserve">CTCP </w:t>
      </w:r>
      <w:r w:rsidR="00D73EE0">
        <w:rPr>
          <w:rFonts w:ascii="Times New Roman" w:hAnsi="Times New Roman" w:cs="Times New Roman"/>
          <w:sz w:val="26"/>
          <w:szCs w:val="26"/>
          <w:lang w:val="vi-VN"/>
        </w:rPr>
        <w:t>Vàng Danh).</w:t>
      </w:r>
      <w:r w:rsidR="00D73EE0" w:rsidRPr="00F22BA5">
        <w:rPr>
          <w:rFonts w:ascii="Times New Roman" w:hAnsi="Times New Roman" w:cs="Times New Roman"/>
          <w:sz w:val="26"/>
          <w:szCs w:val="26"/>
          <w:lang w:val="vi-VN"/>
        </w:rPr>
        <w:t xml:space="preserve"> Đây cũng là thời điểm g</w:t>
      </w:r>
      <w:r w:rsidR="00E45D8D" w:rsidRPr="006F14BD">
        <w:rPr>
          <w:rFonts w:ascii="Times New Roman" w:hAnsi="Times New Roman" w:cs="Times New Roman"/>
          <w:sz w:val="26"/>
          <w:szCs w:val="26"/>
          <w:lang w:val="vi-VN"/>
        </w:rPr>
        <w:t>iá than tăng trên thị trường quốc tế và nhu cầu trong nước cao sau dị</w:t>
      </w:r>
      <w:r w:rsidR="00427A0C" w:rsidRPr="006F14BD">
        <w:rPr>
          <w:rFonts w:ascii="Times New Roman" w:hAnsi="Times New Roman" w:cs="Times New Roman"/>
          <w:sz w:val="26"/>
          <w:szCs w:val="26"/>
          <w:lang w:val="vi-VN"/>
        </w:rPr>
        <w:t xml:space="preserve">ch COVID-19 </w:t>
      </w:r>
      <w:r w:rsidR="00427A0C" w:rsidRPr="00F22BA5">
        <w:rPr>
          <w:rFonts w:ascii="Times New Roman" w:hAnsi="Times New Roman" w:cs="Times New Roman"/>
          <w:sz w:val="26"/>
          <w:szCs w:val="26"/>
          <w:lang w:val="vi-VN"/>
        </w:rPr>
        <w:t>đã góp phần tăng doanh thu của các doanh nghiệp bên cạnh đó các đơn vị thực hiện tốt việc cắt giảm chi phí dẫn tới ROS có nhiều cải thiện. Tuy nhiên, đến n</w:t>
      </w:r>
      <w:r w:rsidR="00427A0C" w:rsidRPr="006F14BD">
        <w:rPr>
          <w:rFonts w:ascii="Times New Roman" w:hAnsi="Times New Roman" w:cs="Times New Roman"/>
          <w:iCs/>
          <w:sz w:val="26"/>
          <w:szCs w:val="26"/>
          <w:lang w:val="vi-VN"/>
        </w:rPr>
        <w:t>ăm 2023</w:t>
      </w:r>
      <w:r w:rsidR="00427A0C" w:rsidRPr="00F22BA5">
        <w:rPr>
          <w:rFonts w:ascii="Times New Roman" w:hAnsi="Times New Roman" w:cs="Times New Roman"/>
          <w:iCs/>
          <w:sz w:val="26"/>
          <w:szCs w:val="26"/>
          <w:lang w:val="vi-VN"/>
        </w:rPr>
        <w:t>, t</w:t>
      </w:r>
      <w:r w:rsidR="00E45D8D" w:rsidRPr="006F14BD">
        <w:rPr>
          <w:rFonts w:ascii="Times New Roman" w:hAnsi="Times New Roman" w:cs="Times New Roman"/>
          <w:sz w:val="26"/>
          <w:szCs w:val="26"/>
          <w:lang w:val="vi-VN"/>
        </w:rPr>
        <w:t xml:space="preserve">ình hình phân hóa rõ rệt. Một số công ty như </w:t>
      </w:r>
      <w:r w:rsidR="00427A0C" w:rsidRPr="00F22BA5">
        <w:rPr>
          <w:rFonts w:ascii="Times New Roman" w:hAnsi="Times New Roman" w:cs="Times New Roman"/>
          <w:sz w:val="26"/>
          <w:szCs w:val="26"/>
          <w:lang w:val="vi-VN"/>
        </w:rPr>
        <w:t xml:space="preserve">CTCP Than </w:t>
      </w:r>
      <w:r w:rsidR="00E45D8D" w:rsidRPr="006F14BD">
        <w:rPr>
          <w:rFonts w:ascii="Times New Roman" w:hAnsi="Times New Roman" w:cs="Times New Roman"/>
          <w:sz w:val="26"/>
          <w:szCs w:val="26"/>
          <w:lang w:val="vi-VN"/>
        </w:rPr>
        <w:t>Hà Lầm và</w:t>
      </w:r>
      <w:r w:rsidR="00427A0C" w:rsidRPr="00F22BA5">
        <w:rPr>
          <w:rFonts w:ascii="Times New Roman" w:hAnsi="Times New Roman" w:cs="Times New Roman"/>
          <w:sz w:val="26"/>
          <w:szCs w:val="26"/>
          <w:lang w:val="vi-VN"/>
        </w:rPr>
        <w:t xml:space="preserve"> CTCP Than</w:t>
      </w:r>
      <w:r w:rsidR="00E45D8D" w:rsidRPr="006F14BD">
        <w:rPr>
          <w:rFonts w:ascii="Times New Roman" w:hAnsi="Times New Roman" w:cs="Times New Roman"/>
          <w:sz w:val="26"/>
          <w:szCs w:val="26"/>
          <w:lang w:val="vi-VN"/>
        </w:rPr>
        <w:t xml:space="preserve"> Núi Béo vẫn tiếp tục cải thiện lợi nhuận, trong khi các công ty khác như </w:t>
      </w:r>
      <w:r w:rsidR="00427A0C" w:rsidRPr="00F22BA5">
        <w:rPr>
          <w:rFonts w:ascii="Times New Roman" w:hAnsi="Times New Roman" w:cs="Times New Roman"/>
          <w:sz w:val="26"/>
          <w:szCs w:val="26"/>
          <w:lang w:val="vi-VN"/>
        </w:rPr>
        <w:t xml:space="preserve">CTCP Than </w:t>
      </w:r>
      <w:r w:rsidR="00E45D8D" w:rsidRPr="006F14BD">
        <w:rPr>
          <w:rFonts w:ascii="Times New Roman" w:hAnsi="Times New Roman" w:cs="Times New Roman"/>
          <w:sz w:val="26"/>
          <w:szCs w:val="26"/>
          <w:lang w:val="vi-VN"/>
        </w:rPr>
        <w:t xml:space="preserve">Vàng Danh và </w:t>
      </w:r>
      <w:r w:rsidR="00427A0C" w:rsidRPr="00F22BA5">
        <w:rPr>
          <w:rFonts w:ascii="Times New Roman" w:hAnsi="Times New Roman" w:cs="Times New Roman"/>
          <w:sz w:val="26"/>
          <w:szCs w:val="26"/>
          <w:lang w:val="vi-VN"/>
        </w:rPr>
        <w:t xml:space="preserve">CTCP Than </w:t>
      </w:r>
      <w:r w:rsidR="00E45D8D" w:rsidRPr="006F14BD">
        <w:rPr>
          <w:rFonts w:ascii="Times New Roman" w:hAnsi="Times New Roman" w:cs="Times New Roman"/>
          <w:sz w:val="26"/>
          <w:szCs w:val="26"/>
          <w:lang w:val="vi-VN"/>
        </w:rPr>
        <w:t>Mông Dương bắt đầu giảm tỷ suất lợi nhuận</w:t>
      </w:r>
      <w:r w:rsidR="00D73EE0" w:rsidRPr="00F22BA5">
        <w:rPr>
          <w:rFonts w:ascii="Times New Roman" w:hAnsi="Times New Roman" w:cs="Times New Roman"/>
          <w:sz w:val="26"/>
          <w:szCs w:val="26"/>
          <w:lang w:val="vi-VN"/>
        </w:rPr>
        <w:t xml:space="preserve"> trên doanh thu</w:t>
      </w:r>
      <w:r w:rsidR="00E45D8D" w:rsidRPr="006F14BD">
        <w:rPr>
          <w:rFonts w:ascii="Times New Roman" w:hAnsi="Times New Roman" w:cs="Times New Roman"/>
          <w:sz w:val="26"/>
          <w:szCs w:val="26"/>
          <w:lang w:val="vi-VN"/>
        </w:rPr>
        <w:t>. Điều này phản ánh mức</w:t>
      </w:r>
      <w:r w:rsidR="00E45D8D" w:rsidRPr="00AF3D5D">
        <w:rPr>
          <w:rFonts w:ascii="Times New Roman" w:hAnsi="Times New Roman" w:cs="Times New Roman"/>
          <w:sz w:val="26"/>
          <w:szCs w:val="26"/>
          <w:lang w:val="vi-VN"/>
        </w:rPr>
        <w:t xml:space="preserve"> độ thích ứng khác nhau với các điều kiện thị trườ</w:t>
      </w:r>
      <w:r w:rsidR="00D73EE0">
        <w:rPr>
          <w:rFonts w:ascii="Times New Roman" w:hAnsi="Times New Roman" w:cs="Times New Roman"/>
          <w:sz w:val="26"/>
          <w:szCs w:val="26"/>
          <w:lang w:val="vi-VN"/>
        </w:rPr>
        <w:t>ng</w:t>
      </w:r>
      <w:r w:rsidR="00E45D8D" w:rsidRPr="00AF3D5D">
        <w:rPr>
          <w:rFonts w:ascii="Times New Roman" w:hAnsi="Times New Roman" w:cs="Times New Roman"/>
          <w:sz w:val="26"/>
          <w:szCs w:val="26"/>
          <w:lang w:val="vi-VN"/>
        </w:rPr>
        <w:t>, đặc biệt là biến động giá đầ</w:t>
      </w:r>
      <w:r w:rsidR="00427A0C">
        <w:rPr>
          <w:rFonts w:ascii="Times New Roman" w:hAnsi="Times New Roman" w:cs="Times New Roman"/>
          <w:sz w:val="26"/>
          <w:szCs w:val="26"/>
          <w:lang w:val="vi-VN"/>
        </w:rPr>
        <w:t xml:space="preserve">u vào và chi phí </w:t>
      </w:r>
      <w:r w:rsidR="00427A0C" w:rsidRPr="00F22BA5">
        <w:rPr>
          <w:rFonts w:ascii="Times New Roman" w:hAnsi="Times New Roman" w:cs="Times New Roman"/>
          <w:sz w:val="26"/>
          <w:szCs w:val="26"/>
          <w:lang w:val="vi-VN"/>
        </w:rPr>
        <w:t>quản lý củ</w:t>
      </w:r>
      <w:r w:rsidR="00D73EE0" w:rsidRPr="00F22BA5">
        <w:rPr>
          <w:rFonts w:ascii="Times New Roman" w:hAnsi="Times New Roman" w:cs="Times New Roman"/>
          <w:sz w:val="26"/>
          <w:szCs w:val="26"/>
          <w:lang w:val="vi-VN"/>
        </w:rPr>
        <w:t>a các</w:t>
      </w:r>
      <w:r w:rsidR="00427A0C" w:rsidRPr="00F22BA5">
        <w:rPr>
          <w:rFonts w:ascii="Times New Roman" w:hAnsi="Times New Roman" w:cs="Times New Roman"/>
          <w:sz w:val="26"/>
          <w:szCs w:val="26"/>
          <w:lang w:val="vi-VN"/>
        </w:rPr>
        <w:t xml:space="preserve"> đơn vị.</w:t>
      </w:r>
    </w:p>
    <w:p w14:paraId="5F9A0134" w14:textId="35D0EB32" w:rsidR="00E45D8D" w:rsidRPr="00AF3D5D" w:rsidRDefault="006510B3" w:rsidP="00E45D8D">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bCs/>
          <w:iCs/>
          <w:sz w:val="26"/>
          <w:szCs w:val="26"/>
          <w:lang w:val="vi-VN"/>
        </w:rPr>
        <w:t>Như vậy, g</w:t>
      </w:r>
      <w:r w:rsidR="00E45D8D" w:rsidRPr="006F14BD">
        <w:rPr>
          <w:rFonts w:ascii="Times New Roman" w:hAnsi="Times New Roman" w:cs="Times New Roman"/>
          <w:sz w:val="26"/>
          <w:szCs w:val="26"/>
          <w:lang w:val="vi-VN"/>
        </w:rPr>
        <w:t>iai</w:t>
      </w:r>
      <w:r w:rsidR="00E45D8D" w:rsidRPr="00AF3D5D">
        <w:rPr>
          <w:rFonts w:ascii="Times New Roman" w:hAnsi="Times New Roman" w:cs="Times New Roman"/>
          <w:sz w:val="26"/>
          <w:szCs w:val="26"/>
          <w:lang w:val="vi-VN"/>
        </w:rPr>
        <w:t xml:space="preserve"> đoạn 2019–2023 cho thấy ngành than Việt Nam có xu hướng cải thiện về hiệu quả sinh lời, đặc biệt từ năm 2021 trở đi, nhờ yếu tố giá than thuận lợi và sự phục hồi kinh tế sau đại dịch. Tuy nhiên, các công ty trong ngành có mức độ biến động khác nhau, phản ánh sự khác biệt về năng lực quản trị chi phí, công nghệ khai thác và thị trường tiêu thụ.</w:t>
      </w:r>
    </w:p>
    <w:p w14:paraId="322CFEA9" w14:textId="6AC00CFF" w:rsidR="00E45D8D" w:rsidRPr="0012569A" w:rsidRDefault="00E45D8D" w:rsidP="00E45D8D">
      <w:pPr>
        <w:spacing w:line="312" w:lineRule="auto"/>
        <w:ind w:firstLine="720"/>
        <w:jc w:val="both"/>
        <w:rPr>
          <w:rFonts w:ascii="Times New Roman" w:hAnsi="Times New Roman" w:cs="Times New Roman"/>
          <w:sz w:val="26"/>
          <w:szCs w:val="26"/>
          <w:lang w:val="vi-VN"/>
        </w:rPr>
      </w:pPr>
      <w:r w:rsidRPr="0012569A">
        <w:rPr>
          <w:rFonts w:ascii="Times New Roman" w:hAnsi="Times New Roman" w:cs="Times New Roman"/>
          <w:sz w:val="26"/>
          <w:szCs w:val="26"/>
          <w:lang w:val="vi-VN"/>
        </w:rPr>
        <w:t>Nhìn chung, CTCP Than Hà Lầm và CTCP Than Núi Béo là hai doanh nghiệp nổi bật về khả năng cải thiện tỷ suất lợi nhuận</w:t>
      </w:r>
      <w:r w:rsidR="00D73EE0" w:rsidRPr="00F22BA5">
        <w:rPr>
          <w:rFonts w:ascii="Times New Roman" w:hAnsi="Times New Roman" w:cs="Times New Roman"/>
          <w:sz w:val="26"/>
          <w:szCs w:val="26"/>
          <w:lang w:val="vi-VN"/>
        </w:rPr>
        <w:t xml:space="preserve"> trên doanh thu khá</w:t>
      </w:r>
      <w:r w:rsidRPr="0012569A">
        <w:rPr>
          <w:rFonts w:ascii="Times New Roman" w:hAnsi="Times New Roman" w:cs="Times New Roman"/>
          <w:sz w:val="26"/>
          <w:szCs w:val="26"/>
          <w:lang w:val="vi-VN"/>
        </w:rPr>
        <w:t xml:space="preserve"> bền vững. Trong khi đó, </w:t>
      </w:r>
      <w:r w:rsidR="00D73EE0" w:rsidRPr="0012569A">
        <w:rPr>
          <w:rFonts w:ascii="Times New Roman" w:hAnsi="Times New Roman" w:cs="Times New Roman"/>
          <w:sz w:val="26"/>
          <w:szCs w:val="26"/>
          <w:lang w:val="vi-VN"/>
        </w:rPr>
        <w:t xml:space="preserve">CTCP Than </w:t>
      </w:r>
      <w:r w:rsidRPr="0012569A">
        <w:rPr>
          <w:rFonts w:ascii="Times New Roman" w:hAnsi="Times New Roman" w:cs="Times New Roman"/>
          <w:sz w:val="26"/>
          <w:szCs w:val="26"/>
          <w:lang w:val="vi-VN"/>
        </w:rPr>
        <w:t xml:space="preserve">Than Hà Tu cần xem xét lại chiến lược kinh doanh do </w:t>
      </w:r>
      <w:r w:rsidRPr="0012569A">
        <w:rPr>
          <w:rFonts w:ascii="Times New Roman" w:hAnsi="Times New Roman" w:cs="Times New Roman"/>
          <w:sz w:val="26"/>
          <w:szCs w:val="26"/>
          <w:lang w:val="vi-VN"/>
        </w:rPr>
        <w:lastRenderedPageBreak/>
        <w:t xml:space="preserve">hiệu quả </w:t>
      </w:r>
      <w:r w:rsidR="00D73EE0" w:rsidRPr="00F22BA5">
        <w:rPr>
          <w:rFonts w:ascii="Times New Roman" w:hAnsi="Times New Roman" w:cs="Times New Roman"/>
          <w:sz w:val="26"/>
          <w:szCs w:val="26"/>
          <w:lang w:val="vi-VN"/>
        </w:rPr>
        <w:t>kinh doanh</w:t>
      </w:r>
      <w:r w:rsidRPr="0012569A">
        <w:rPr>
          <w:rFonts w:ascii="Times New Roman" w:hAnsi="Times New Roman" w:cs="Times New Roman"/>
          <w:sz w:val="26"/>
          <w:szCs w:val="26"/>
          <w:lang w:val="vi-VN"/>
        </w:rPr>
        <w:t xml:space="preserve"> giảm sút. </w:t>
      </w:r>
      <w:r w:rsidR="00D73EE0" w:rsidRPr="00973841">
        <w:rPr>
          <w:rFonts w:ascii="Times New Roman" w:hAnsi="Times New Roman" w:cs="Times New Roman"/>
          <w:sz w:val="26"/>
          <w:szCs w:val="26"/>
          <w:lang w:val="vi-VN"/>
        </w:rPr>
        <w:t>Các doanh nghiệp trong ngành</w:t>
      </w:r>
      <w:r w:rsidRPr="00973841">
        <w:rPr>
          <w:rFonts w:ascii="Times New Roman" w:hAnsi="Times New Roman" w:cs="Times New Roman"/>
          <w:sz w:val="26"/>
          <w:szCs w:val="26"/>
          <w:lang w:val="vi-VN"/>
        </w:rPr>
        <w:t xml:space="preserve"> </w:t>
      </w:r>
      <w:r w:rsidRPr="0012569A">
        <w:rPr>
          <w:rFonts w:ascii="Times New Roman" w:hAnsi="Times New Roman" w:cs="Times New Roman"/>
          <w:sz w:val="26"/>
          <w:szCs w:val="26"/>
          <w:lang w:val="vi-VN"/>
        </w:rPr>
        <w:t>cần chú trọng hơn đến việc tối ưu chi phí, nâng cao hiệu suất vận hành và tăng cường năng lực thích ứng với biến động thị trường để duy trì lợi nhuận trong các giai đoạn tới.</w:t>
      </w:r>
    </w:p>
    <w:p w14:paraId="033259E9" w14:textId="6A2CD1FF" w:rsidR="00E45D8D" w:rsidRPr="00EC6124" w:rsidRDefault="00D73EE0" w:rsidP="008A5BBD">
      <w:pPr>
        <w:pStyle w:val="p3"/>
      </w:pPr>
      <w:bookmarkStart w:id="233" w:name="_Toc197781187"/>
      <w:bookmarkStart w:id="234" w:name="_Toc197781470"/>
      <w:bookmarkStart w:id="235" w:name="_Toc198281678"/>
      <w:bookmarkStart w:id="236" w:name="_Toc198284463"/>
      <w:bookmarkStart w:id="237" w:name="_Toc198284844"/>
      <w:bookmarkStart w:id="238" w:name="_Toc198709996"/>
      <w:r w:rsidRPr="00F22BA5">
        <w:t>+</w:t>
      </w:r>
      <w:r w:rsidR="00973841">
        <w:t xml:space="preserve"> </w:t>
      </w:r>
      <w:r w:rsidR="00E45D8D" w:rsidRPr="00EC6124">
        <w:t>Tỷ suất lợi nhuận trước thuế và lãi vay trên vốn kinh doanh hay tỷ suất sinh lời kinh tế của tài sản (BEP)</w:t>
      </w:r>
      <w:bookmarkEnd w:id="233"/>
      <w:bookmarkEnd w:id="234"/>
      <w:bookmarkEnd w:id="235"/>
      <w:bookmarkEnd w:id="236"/>
      <w:bookmarkEnd w:id="237"/>
      <w:bookmarkEnd w:id="238"/>
    </w:p>
    <w:p w14:paraId="3DB0022E" w14:textId="77777777" w:rsidR="00E45D8D" w:rsidRDefault="00E45D8D" w:rsidP="00E45D8D">
      <w:pPr>
        <w:spacing w:line="312" w:lineRule="auto"/>
        <w:ind w:firstLine="720"/>
        <w:jc w:val="both"/>
        <w:rPr>
          <w:rFonts w:ascii="Times New Roman" w:hAnsi="Times New Roman" w:cs="Times New Roman"/>
          <w:sz w:val="26"/>
          <w:szCs w:val="26"/>
          <w:lang w:val="vi-VN"/>
        </w:rPr>
      </w:pPr>
      <w:r w:rsidRPr="00E45D8D">
        <w:rPr>
          <w:rFonts w:ascii="Times New Roman" w:hAnsi="Times New Roman" w:cs="Times New Roman"/>
          <w:sz w:val="26"/>
          <w:szCs w:val="26"/>
          <w:lang w:val="vi-VN"/>
        </w:rPr>
        <w:t>Tỷ suất lợi nhuận trước thuế và lãi vay trên vốn kinh doanh (BEP) nhằm đánh giá hiệu quả sinh lời của tài sản trước khi chịu ảnh hưởng của chính sách tài chính và thuế. Chỉ tiêu này phản ánh khả năng tạo ra lợi nhuận từ hoạt động kinh doanh cốt lõi, cho thấy mức độ hiệu quả trong việc sử dụng toàn bộ vốn đầu tư vào sản xuất và khai thác. Đối với ngành khai khoáng – nơi yêu cầu vốn lớn và chi phí cố định cao – BEP là công cụ quan trọng giúp công ty so sánh hiệu quả kinh doanh thuần túy giữa các kỳ hoặc với các doanh nghiệp khác, từ đó định hướng cải thiện hiệu quả sử dụng tài sản và nâng cao giá trị doanh nghiệp.</w:t>
      </w:r>
    </w:p>
    <w:p w14:paraId="7601E9E4" w14:textId="16B77A50" w:rsidR="008B5AD7" w:rsidRPr="008B5AD7" w:rsidRDefault="008B5AD7" w:rsidP="008B5AD7">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 xml:space="preserve">Bảng </w:t>
      </w:r>
      <w:r w:rsidR="00EB49DB" w:rsidRPr="00F22BA5">
        <w:rPr>
          <w:rFonts w:ascii="Times New Roman" w:hAnsi="Times New Roman" w:cs="Times New Roman"/>
          <w:b/>
          <w:sz w:val="26"/>
          <w:szCs w:val="26"/>
          <w:lang w:val="vi-VN"/>
        </w:rPr>
        <w:t>2.15</w:t>
      </w:r>
      <w:r w:rsidRPr="004A1CD3">
        <w:rPr>
          <w:rFonts w:ascii="Times New Roman" w:hAnsi="Times New Roman" w:cs="Times New Roman"/>
          <w:b/>
          <w:sz w:val="26"/>
          <w:szCs w:val="26"/>
          <w:lang w:val="vi-VN"/>
        </w:rPr>
        <w:t xml:space="preserve">. </w:t>
      </w:r>
      <w:r>
        <w:rPr>
          <w:rFonts w:ascii="Times New Roman" w:hAnsi="Times New Roman" w:cs="Times New Roman"/>
          <w:b/>
          <w:sz w:val="26"/>
          <w:szCs w:val="26"/>
          <w:lang w:val="vi-VN"/>
        </w:rPr>
        <w:t xml:space="preserve">Tỷ suất lợi nhuận trước thuế và lãi vay trên vốn kinh doanh </w:t>
      </w:r>
      <w:r w:rsidRPr="004A1CD3">
        <w:rPr>
          <w:rFonts w:ascii="Times New Roman" w:hAnsi="Times New Roman" w:cs="Times New Roman"/>
          <w:b/>
          <w:sz w:val="26"/>
          <w:szCs w:val="26"/>
          <w:lang w:val="vi-VN"/>
        </w:rPr>
        <w:t>của các CTCP niêm yết thuộc TKV</w:t>
      </w:r>
      <w:r>
        <w:rPr>
          <w:rFonts w:ascii="Times New Roman" w:hAnsi="Times New Roman" w:cs="Times New Roman"/>
          <w:b/>
          <w:sz w:val="26"/>
          <w:szCs w:val="26"/>
          <w:lang w:val="vi-VN"/>
        </w:rPr>
        <w:t xml:space="preserve"> giai đoạn 2019 – 2023</w:t>
      </w:r>
    </w:p>
    <w:tbl>
      <w:tblPr>
        <w:tblStyle w:val="TableGrid"/>
        <w:tblW w:w="8958" w:type="dxa"/>
        <w:tblInd w:w="-5" w:type="dxa"/>
        <w:tblLook w:val="04A0" w:firstRow="1" w:lastRow="0" w:firstColumn="1" w:lastColumn="0" w:noHBand="0" w:noVBand="1"/>
      </w:tblPr>
      <w:tblGrid>
        <w:gridCol w:w="896"/>
        <w:gridCol w:w="1596"/>
        <w:gridCol w:w="1028"/>
        <w:gridCol w:w="976"/>
        <w:gridCol w:w="1062"/>
        <w:gridCol w:w="1105"/>
        <w:gridCol w:w="1102"/>
        <w:gridCol w:w="1193"/>
      </w:tblGrid>
      <w:tr w:rsidR="00451383" w:rsidRPr="001909AC" w14:paraId="3DC15DE0" w14:textId="77777777" w:rsidTr="00133F6A">
        <w:trPr>
          <w:trHeight w:val="285"/>
        </w:trPr>
        <w:tc>
          <w:tcPr>
            <w:tcW w:w="896" w:type="dxa"/>
            <w:tcBorders>
              <w:top w:val="single" w:sz="4" w:space="0" w:color="auto"/>
              <w:left w:val="single" w:sz="4" w:space="0" w:color="auto"/>
              <w:bottom w:val="single" w:sz="4" w:space="0" w:color="auto"/>
              <w:right w:val="single" w:sz="4" w:space="0" w:color="auto"/>
            </w:tcBorders>
            <w:vAlign w:val="center"/>
          </w:tcPr>
          <w:p w14:paraId="7E721062" w14:textId="2DA943C5" w:rsidR="00451383" w:rsidRPr="00451383" w:rsidRDefault="00451383" w:rsidP="00451383">
            <w:pPr>
              <w:spacing w:after="160" w:line="259" w:lineRule="auto"/>
              <w:jc w:val="center"/>
              <w:rPr>
                <w:rFonts w:ascii="Times New Roman" w:hAnsi="Times New Roman" w:cs="Times New Roman"/>
                <w:b/>
                <w:bCs/>
                <w:lang w:val="vi-VN"/>
              </w:rPr>
            </w:pPr>
            <w:r>
              <w:rPr>
                <w:rFonts w:ascii="Times New Roman" w:hAnsi="Times New Roman" w:cs="Times New Roman"/>
                <w:b/>
                <w:bCs/>
              </w:rPr>
              <w:t>TT</w:t>
            </w:r>
          </w:p>
        </w:tc>
        <w:tc>
          <w:tcPr>
            <w:tcW w:w="1596" w:type="dxa"/>
            <w:tcBorders>
              <w:top w:val="single" w:sz="4" w:space="0" w:color="auto"/>
              <w:left w:val="single" w:sz="4" w:space="0" w:color="auto"/>
              <w:bottom w:val="single" w:sz="4" w:space="0" w:color="auto"/>
              <w:right w:val="single" w:sz="4" w:space="0" w:color="auto"/>
            </w:tcBorders>
            <w:vAlign w:val="center"/>
            <w:hideMark/>
          </w:tcPr>
          <w:p w14:paraId="441DC3A4" w14:textId="3DA2B3C3" w:rsidR="00451383" w:rsidRPr="001909AC" w:rsidRDefault="0031049D" w:rsidP="00451383">
            <w:pPr>
              <w:spacing w:after="160" w:line="259" w:lineRule="auto"/>
              <w:jc w:val="center"/>
              <w:rPr>
                <w:rFonts w:ascii="Times New Roman" w:hAnsi="Times New Roman" w:cs="Times New Roman"/>
                <w:b/>
                <w:bCs/>
              </w:rPr>
            </w:pPr>
            <w:r>
              <w:rPr>
                <w:rFonts w:ascii="Times New Roman" w:hAnsi="Times New Roman" w:cs="Times New Roman"/>
                <w:b/>
                <w:bCs/>
                <w:sz w:val="26"/>
                <w:szCs w:val="26"/>
              </w:rPr>
              <w:t>Công ty</w:t>
            </w:r>
          </w:p>
        </w:tc>
        <w:tc>
          <w:tcPr>
            <w:tcW w:w="1028" w:type="dxa"/>
            <w:tcBorders>
              <w:top w:val="single" w:sz="4" w:space="0" w:color="auto"/>
              <w:left w:val="single" w:sz="4" w:space="0" w:color="auto"/>
              <w:bottom w:val="single" w:sz="4" w:space="0" w:color="auto"/>
              <w:right w:val="single" w:sz="4" w:space="0" w:color="auto"/>
            </w:tcBorders>
            <w:vAlign w:val="center"/>
            <w:hideMark/>
          </w:tcPr>
          <w:p w14:paraId="44E73847" w14:textId="77777777" w:rsidR="00451383" w:rsidRPr="001909AC" w:rsidRDefault="00451383" w:rsidP="00451383">
            <w:pPr>
              <w:spacing w:after="160" w:line="259" w:lineRule="auto"/>
              <w:jc w:val="center"/>
              <w:rPr>
                <w:rFonts w:ascii="Times New Roman" w:hAnsi="Times New Roman" w:cs="Times New Roman"/>
                <w:b/>
                <w:bCs/>
              </w:rPr>
            </w:pPr>
            <w:r w:rsidRPr="001909AC">
              <w:rPr>
                <w:rFonts w:ascii="Times New Roman" w:hAnsi="Times New Roman" w:cs="Times New Roman"/>
                <w:b/>
                <w:bCs/>
              </w:rPr>
              <w:t>2019</w:t>
            </w:r>
          </w:p>
        </w:tc>
        <w:tc>
          <w:tcPr>
            <w:tcW w:w="976" w:type="dxa"/>
            <w:tcBorders>
              <w:top w:val="single" w:sz="4" w:space="0" w:color="auto"/>
              <w:left w:val="single" w:sz="4" w:space="0" w:color="auto"/>
              <w:bottom w:val="single" w:sz="4" w:space="0" w:color="auto"/>
              <w:right w:val="single" w:sz="4" w:space="0" w:color="auto"/>
            </w:tcBorders>
            <w:vAlign w:val="center"/>
            <w:hideMark/>
          </w:tcPr>
          <w:p w14:paraId="7566E37E" w14:textId="77777777" w:rsidR="00451383" w:rsidRPr="001909AC" w:rsidRDefault="00451383" w:rsidP="00451383">
            <w:pPr>
              <w:spacing w:after="160" w:line="259" w:lineRule="auto"/>
              <w:jc w:val="center"/>
              <w:rPr>
                <w:rFonts w:ascii="Times New Roman" w:hAnsi="Times New Roman" w:cs="Times New Roman"/>
                <w:b/>
                <w:bCs/>
              </w:rPr>
            </w:pPr>
            <w:r w:rsidRPr="001909AC">
              <w:rPr>
                <w:rFonts w:ascii="Times New Roman" w:hAnsi="Times New Roman" w:cs="Times New Roman"/>
                <w:b/>
                <w:bCs/>
              </w:rPr>
              <w:t>2020</w:t>
            </w:r>
          </w:p>
        </w:tc>
        <w:tc>
          <w:tcPr>
            <w:tcW w:w="1062" w:type="dxa"/>
            <w:tcBorders>
              <w:top w:val="single" w:sz="4" w:space="0" w:color="auto"/>
              <w:left w:val="single" w:sz="4" w:space="0" w:color="auto"/>
              <w:bottom w:val="single" w:sz="4" w:space="0" w:color="auto"/>
              <w:right w:val="single" w:sz="4" w:space="0" w:color="auto"/>
            </w:tcBorders>
            <w:vAlign w:val="center"/>
            <w:hideMark/>
          </w:tcPr>
          <w:p w14:paraId="0732419A" w14:textId="77777777" w:rsidR="00451383" w:rsidRPr="001909AC" w:rsidRDefault="00451383" w:rsidP="00451383">
            <w:pPr>
              <w:spacing w:after="160" w:line="259" w:lineRule="auto"/>
              <w:jc w:val="center"/>
              <w:rPr>
                <w:rFonts w:ascii="Times New Roman" w:hAnsi="Times New Roman" w:cs="Times New Roman"/>
                <w:b/>
                <w:bCs/>
              </w:rPr>
            </w:pPr>
            <w:r w:rsidRPr="001909AC">
              <w:rPr>
                <w:rFonts w:ascii="Times New Roman" w:hAnsi="Times New Roman" w:cs="Times New Roman"/>
                <w:b/>
                <w:bCs/>
              </w:rPr>
              <w:t>2021</w:t>
            </w:r>
          </w:p>
        </w:tc>
        <w:tc>
          <w:tcPr>
            <w:tcW w:w="1105" w:type="dxa"/>
            <w:tcBorders>
              <w:top w:val="single" w:sz="4" w:space="0" w:color="auto"/>
              <w:left w:val="single" w:sz="4" w:space="0" w:color="auto"/>
              <w:bottom w:val="single" w:sz="4" w:space="0" w:color="auto"/>
              <w:right w:val="single" w:sz="4" w:space="0" w:color="auto"/>
            </w:tcBorders>
            <w:vAlign w:val="center"/>
            <w:hideMark/>
          </w:tcPr>
          <w:p w14:paraId="2E0B68EB" w14:textId="77777777" w:rsidR="00451383" w:rsidRPr="001909AC" w:rsidRDefault="00451383" w:rsidP="00451383">
            <w:pPr>
              <w:spacing w:after="160" w:line="259" w:lineRule="auto"/>
              <w:jc w:val="center"/>
              <w:rPr>
                <w:rFonts w:ascii="Times New Roman" w:hAnsi="Times New Roman" w:cs="Times New Roman"/>
                <w:b/>
                <w:bCs/>
              </w:rPr>
            </w:pPr>
            <w:r w:rsidRPr="001909AC">
              <w:rPr>
                <w:rFonts w:ascii="Times New Roman" w:hAnsi="Times New Roman" w:cs="Times New Roman"/>
                <w:b/>
                <w:bCs/>
              </w:rPr>
              <w:t>2022</w:t>
            </w:r>
          </w:p>
        </w:tc>
        <w:tc>
          <w:tcPr>
            <w:tcW w:w="1102" w:type="dxa"/>
            <w:tcBorders>
              <w:top w:val="single" w:sz="4" w:space="0" w:color="auto"/>
              <w:left w:val="single" w:sz="4" w:space="0" w:color="auto"/>
              <w:bottom w:val="single" w:sz="4" w:space="0" w:color="auto"/>
              <w:right w:val="single" w:sz="4" w:space="0" w:color="auto"/>
            </w:tcBorders>
            <w:vAlign w:val="center"/>
            <w:hideMark/>
          </w:tcPr>
          <w:p w14:paraId="06C4CD27" w14:textId="77777777" w:rsidR="00451383" w:rsidRPr="001909AC" w:rsidRDefault="00451383" w:rsidP="00451383">
            <w:pPr>
              <w:spacing w:after="160" w:line="259" w:lineRule="auto"/>
              <w:jc w:val="center"/>
              <w:rPr>
                <w:rFonts w:ascii="Times New Roman" w:hAnsi="Times New Roman" w:cs="Times New Roman"/>
                <w:b/>
                <w:bCs/>
              </w:rPr>
            </w:pPr>
            <w:r w:rsidRPr="001909AC">
              <w:rPr>
                <w:rFonts w:ascii="Times New Roman" w:hAnsi="Times New Roman" w:cs="Times New Roman"/>
                <w:b/>
                <w:bCs/>
              </w:rPr>
              <w:t>2023</w:t>
            </w:r>
          </w:p>
        </w:tc>
        <w:tc>
          <w:tcPr>
            <w:tcW w:w="1193" w:type="dxa"/>
            <w:tcBorders>
              <w:top w:val="single" w:sz="4" w:space="0" w:color="auto"/>
              <w:left w:val="single" w:sz="4" w:space="0" w:color="auto"/>
              <w:bottom w:val="single" w:sz="4" w:space="0" w:color="auto"/>
              <w:right w:val="single" w:sz="4" w:space="0" w:color="auto"/>
            </w:tcBorders>
            <w:vAlign w:val="center"/>
          </w:tcPr>
          <w:p w14:paraId="46FEF31C" w14:textId="77777777" w:rsidR="00451383" w:rsidRPr="00F82756" w:rsidRDefault="00451383" w:rsidP="00451383">
            <w:pPr>
              <w:jc w:val="center"/>
              <w:rPr>
                <w:rFonts w:ascii="Times New Roman" w:hAnsi="Times New Roman" w:cs="Times New Roman"/>
                <w:b/>
                <w:bCs/>
              </w:rPr>
            </w:pPr>
            <w:r>
              <w:rPr>
                <w:rFonts w:ascii="Times New Roman" w:hAnsi="Times New Roman" w:cs="Times New Roman"/>
                <w:b/>
                <w:bCs/>
              </w:rPr>
              <w:t>Bình quân</w:t>
            </w:r>
          </w:p>
        </w:tc>
      </w:tr>
      <w:tr w:rsidR="003331B9" w:rsidRPr="001909AC" w14:paraId="1B47F9A3" w14:textId="77777777" w:rsidTr="00133F6A">
        <w:trPr>
          <w:trHeight w:val="308"/>
        </w:trPr>
        <w:tc>
          <w:tcPr>
            <w:tcW w:w="896" w:type="dxa"/>
            <w:tcBorders>
              <w:top w:val="single" w:sz="4" w:space="0" w:color="auto"/>
              <w:left w:val="single" w:sz="4" w:space="0" w:color="auto"/>
              <w:bottom w:val="single" w:sz="4" w:space="0" w:color="auto"/>
              <w:right w:val="single" w:sz="4" w:space="0" w:color="auto"/>
            </w:tcBorders>
            <w:vAlign w:val="center"/>
          </w:tcPr>
          <w:p w14:paraId="7F7E5D8A" w14:textId="26F56764"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1</w:t>
            </w:r>
          </w:p>
        </w:tc>
        <w:tc>
          <w:tcPr>
            <w:tcW w:w="1596" w:type="dxa"/>
            <w:tcBorders>
              <w:top w:val="single" w:sz="4" w:space="0" w:color="auto"/>
              <w:left w:val="single" w:sz="4" w:space="0" w:color="auto"/>
              <w:bottom w:val="single" w:sz="4" w:space="0" w:color="auto"/>
              <w:right w:val="single" w:sz="4" w:space="0" w:color="auto"/>
            </w:tcBorders>
            <w:vAlign w:val="center"/>
            <w:hideMark/>
          </w:tcPr>
          <w:p w14:paraId="3E3B3903" w14:textId="280EE86C" w:rsidR="003331B9" w:rsidRPr="001909AC"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TVD</w:t>
            </w:r>
          </w:p>
        </w:tc>
        <w:tc>
          <w:tcPr>
            <w:tcW w:w="1028" w:type="dxa"/>
            <w:tcBorders>
              <w:top w:val="single" w:sz="4" w:space="0" w:color="auto"/>
              <w:left w:val="single" w:sz="4" w:space="0" w:color="auto"/>
              <w:bottom w:val="single" w:sz="4" w:space="0" w:color="auto"/>
              <w:right w:val="single" w:sz="4" w:space="0" w:color="auto"/>
            </w:tcBorders>
            <w:vAlign w:val="center"/>
            <w:hideMark/>
          </w:tcPr>
          <w:p w14:paraId="0106EB61"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9,06%</w:t>
            </w:r>
          </w:p>
        </w:tc>
        <w:tc>
          <w:tcPr>
            <w:tcW w:w="976" w:type="dxa"/>
            <w:tcBorders>
              <w:top w:val="single" w:sz="4" w:space="0" w:color="auto"/>
              <w:left w:val="single" w:sz="4" w:space="0" w:color="auto"/>
              <w:bottom w:val="single" w:sz="4" w:space="0" w:color="auto"/>
              <w:right w:val="single" w:sz="4" w:space="0" w:color="auto"/>
            </w:tcBorders>
            <w:vAlign w:val="center"/>
            <w:hideMark/>
          </w:tcPr>
          <w:p w14:paraId="0180A010"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6,70%</w:t>
            </w:r>
          </w:p>
        </w:tc>
        <w:tc>
          <w:tcPr>
            <w:tcW w:w="1062" w:type="dxa"/>
            <w:tcBorders>
              <w:top w:val="single" w:sz="4" w:space="0" w:color="auto"/>
              <w:left w:val="single" w:sz="4" w:space="0" w:color="auto"/>
              <w:bottom w:val="single" w:sz="4" w:space="0" w:color="auto"/>
              <w:right w:val="single" w:sz="4" w:space="0" w:color="auto"/>
            </w:tcBorders>
            <w:vAlign w:val="center"/>
            <w:hideMark/>
          </w:tcPr>
          <w:p w14:paraId="3E8945A7"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8,90%</w:t>
            </w:r>
          </w:p>
        </w:tc>
        <w:tc>
          <w:tcPr>
            <w:tcW w:w="1105" w:type="dxa"/>
            <w:tcBorders>
              <w:top w:val="single" w:sz="4" w:space="0" w:color="auto"/>
              <w:left w:val="single" w:sz="4" w:space="0" w:color="auto"/>
              <w:bottom w:val="single" w:sz="4" w:space="0" w:color="auto"/>
              <w:right w:val="single" w:sz="4" w:space="0" w:color="auto"/>
            </w:tcBorders>
            <w:vAlign w:val="center"/>
            <w:hideMark/>
          </w:tcPr>
          <w:p w14:paraId="3341F3B7"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10,39%</w:t>
            </w:r>
          </w:p>
        </w:tc>
        <w:tc>
          <w:tcPr>
            <w:tcW w:w="1102" w:type="dxa"/>
            <w:tcBorders>
              <w:top w:val="single" w:sz="4" w:space="0" w:color="auto"/>
              <w:left w:val="single" w:sz="4" w:space="0" w:color="auto"/>
              <w:bottom w:val="single" w:sz="4" w:space="0" w:color="auto"/>
              <w:right w:val="single" w:sz="4" w:space="0" w:color="auto"/>
            </w:tcBorders>
            <w:vAlign w:val="center"/>
            <w:hideMark/>
          </w:tcPr>
          <w:p w14:paraId="042F8F1F"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11,19%</w:t>
            </w:r>
          </w:p>
        </w:tc>
        <w:tc>
          <w:tcPr>
            <w:tcW w:w="1193" w:type="dxa"/>
            <w:tcBorders>
              <w:top w:val="single" w:sz="4" w:space="0" w:color="auto"/>
              <w:left w:val="single" w:sz="4" w:space="0" w:color="auto"/>
              <w:bottom w:val="single" w:sz="4" w:space="0" w:color="auto"/>
              <w:right w:val="single" w:sz="4" w:space="0" w:color="auto"/>
            </w:tcBorders>
            <w:vAlign w:val="center"/>
          </w:tcPr>
          <w:p w14:paraId="2F92515C"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9,25%</w:t>
            </w:r>
          </w:p>
        </w:tc>
      </w:tr>
      <w:tr w:rsidR="003331B9" w:rsidRPr="001909AC" w14:paraId="6AC96F9D" w14:textId="77777777" w:rsidTr="00133F6A">
        <w:trPr>
          <w:trHeight w:val="285"/>
        </w:trPr>
        <w:tc>
          <w:tcPr>
            <w:tcW w:w="896" w:type="dxa"/>
            <w:tcBorders>
              <w:top w:val="single" w:sz="4" w:space="0" w:color="auto"/>
              <w:left w:val="single" w:sz="4" w:space="0" w:color="auto"/>
              <w:bottom w:val="single" w:sz="4" w:space="0" w:color="auto"/>
              <w:right w:val="single" w:sz="4" w:space="0" w:color="auto"/>
            </w:tcBorders>
            <w:vAlign w:val="center"/>
          </w:tcPr>
          <w:p w14:paraId="3DF2F106" w14:textId="50B7BFF6"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2</w:t>
            </w:r>
          </w:p>
        </w:tc>
        <w:tc>
          <w:tcPr>
            <w:tcW w:w="1596" w:type="dxa"/>
            <w:tcBorders>
              <w:top w:val="single" w:sz="4" w:space="0" w:color="auto"/>
              <w:left w:val="single" w:sz="4" w:space="0" w:color="auto"/>
              <w:bottom w:val="single" w:sz="4" w:space="0" w:color="auto"/>
              <w:right w:val="single" w:sz="4" w:space="0" w:color="auto"/>
            </w:tcBorders>
            <w:vAlign w:val="center"/>
            <w:hideMark/>
          </w:tcPr>
          <w:p w14:paraId="33409312" w14:textId="4E16D84B" w:rsidR="003331B9" w:rsidRPr="001909AC"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MDC</w:t>
            </w:r>
          </w:p>
        </w:tc>
        <w:tc>
          <w:tcPr>
            <w:tcW w:w="1028" w:type="dxa"/>
            <w:tcBorders>
              <w:top w:val="single" w:sz="4" w:space="0" w:color="auto"/>
              <w:left w:val="single" w:sz="4" w:space="0" w:color="auto"/>
              <w:bottom w:val="single" w:sz="4" w:space="0" w:color="auto"/>
              <w:right w:val="single" w:sz="4" w:space="0" w:color="auto"/>
            </w:tcBorders>
            <w:vAlign w:val="center"/>
            <w:hideMark/>
          </w:tcPr>
          <w:p w14:paraId="4F56DD80"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8,66%</w:t>
            </w:r>
          </w:p>
        </w:tc>
        <w:tc>
          <w:tcPr>
            <w:tcW w:w="976" w:type="dxa"/>
            <w:tcBorders>
              <w:top w:val="single" w:sz="4" w:space="0" w:color="auto"/>
              <w:left w:val="nil"/>
              <w:bottom w:val="single" w:sz="4" w:space="0" w:color="auto"/>
              <w:right w:val="single" w:sz="4" w:space="0" w:color="auto"/>
            </w:tcBorders>
            <w:vAlign w:val="center"/>
            <w:hideMark/>
          </w:tcPr>
          <w:p w14:paraId="527C47AC"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5,68%</w:t>
            </w:r>
          </w:p>
        </w:tc>
        <w:tc>
          <w:tcPr>
            <w:tcW w:w="1062" w:type="dxa"/>
            <w:tcBorders>
              <w:top w:val="single" w:sz="4" w:space="0" w:color="auto"/>
              <w:left w:val="nil"/>
              <w:bottom w:val="single" w:sz="4" w:space="0" w:color="auto"/>
              <w:right w:val="single" w:sz="4" w:space="0" w:color="auto"/>
            </w:tcBorders>
            <w:vAlign w:val="center"/>
            <w:hideMark/>
          </w:tcPr>
          <w:p w14:paraId="04D678F7"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6,06%</w:t>
            </w:r>
          </w:p>
        </w:tc>
        <w:tc>
          <w:tcPr>
            <w:tcW w:w="1105" w:type="dxa"/>
            <w:tcBorders>
              <w:top w:val="single" w:sz="4" w:space="0" w:color="auto"/>
              <w:left w:val="nil"/>
              <w:bottom w:val="single" w:sz="4" w:space="0" w:color="auto"/>
              <w:right w:val="single" w:sz="4" w:space="0" w:color="auto"/>
            </w:tcBorders>
            <w:vAlign w:val="center"/>
            <w:hideMark/>
          </w:tcPr>
          <w:p w14:paraId="32EB494A"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10,35%</w:t>
            </w:r>
          </w:p>
        </w:tc>
        <w:tc>
          <w:tcPr>
            <w:tcW w:w="1102" w:type="dxa"/>
            <w:tcBorders>
              <w:top w:val="single" w:sz="4" w:space="0" w:color="auto"/>
              <w:left w:val="nil"/>
              <w:bottom w:val="single" w:sz="4" w:space="0" w:color="auto"/>
              <w:right w:val="single" w:sz="4" w:space="0" w:color="auto"/>
            </w:tcBorders>
            <w:vAlign w:val="center"/>
            <w:hideMark/>
          </w:tcPr>
          <w:p w14:paraId="07676025"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8,77%</w:t>
            </w:r>
          </w:p>
        </w:tc>
        <w:tc>
          <w:tcPr>
            <w:tcW w:w="1193" w:type="dxa"/>
            <w:tcBorders>
              <w:top w:val="single" w:sz="4" w:space="0" w:color="auto"/>
              <w:left w:val="nil"/>
              <w:bottom w:val="single" w:sz="4" w:space="0" w:color="auto"/>
              <w:right w:val="single" w:sz="4" w:space="0" w:color="auto"/>
            </w:tcBorders>
            <w:vAlign w:val="center"/>
          </w:tcPr>
          <w:p w14:paraId="23E03120"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7,90%</w:t>
            </w:r>
          </w:p>
        </w:tc>
      </w:tr>
      <w:tr w:rsidR="003331B9" w:rsidRPr="001909AC" w14:paraId="25E7ECD2" w14:textId="77777777" w:rsidTr="00133F6A">
        <w:trPr>
          <w:trHeight w:val="329"/>
        </w:trPr>
        <w:tc>
          <w:tcPr>
            <w:tcW w:w="896" w:type="dxa"/>
            <w:tcBorders>
              <w:top w:val="single" w:sz="4" w:space="0" w:color="auto"/>
              <w:left w:val="single" w:sz="4" w:space="0" w:color="auto"/>
              <w:bottom w:val="single" w:sz="4" w:space="0" w:color="auto"/>
              <w:right w:val="single" w:sz="4" w:space="0" w:color="auto"/>
            </w:tcBorders>
            <w:vAlign w:val="center"/>
          </w:tcPr>
          <w:p w14:paraId="4863A88C" w14:textId="25865B15"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3</w:t>
            </w:r>
          </w:p>
        </w:tc>
        <w:tc>
          <w:tcPr>
            <w:tcW w:w="1596" w:type="dxa"/>
            <w:tcBorders>
              <w:top w:val="single" w:sz="4" w:space="0" w:color="auto"/>
              <w:left w:val="single" w:sz="4" w:space="0" w:color="auto"/>
              <w:bottom w:val="single" w:sz="4" w:space="0" w:color="auto"/>
              <w:right w:val="single" w:sz="4" w:space="0" w:color="auto"/>
            </w:tcBorders>
            <w:vAlign w:val="center"/>
            <w:hideMark/>
          </w:tcPr>
          <w:p w14:paraId="4CCBD5D1" w14:textId="5C9665AB" w:rsidR="003331B9" w:rsidRPr="001909AC"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HLC</w:t>
            </w:r>
          </w:p>
        </w:tc>
        <w:tc>
          <w:tcPr>
            <w:tcW w:w="1028" w:type="dxa"/>
            <w:tcBorders>
              <w:top w:val="single" w:sz="4" w:space="0" w:color="auto"/>
              <w:left w:val="single" w:sz="4" w:space="0" w:color="auto"/>
              <w:bottom w:val="single" w:sz="4" w:space="0" w:color="auto"/>
              <w:right w:val="single" w:sz="4" w:space="0" w:color="auto"/>
            </w:tcBorders>
            <w:vAlign w:val="center"/>
            <w:hideMark/>
          </w:tcPr>
          <w:p w14:paraId="42D68F76"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11,68%</w:t>
            </w:r>
          </w:p>
        </w:tc>
        <w:tc>
          <w:tcPr>
            <w:tcW w:w="976" w:type="dxa"/>
            <w:tcBorders>
              <w:top w:val="single" w:sz="4" w:space="0" w:color="auto"/>
              <w:left w:val="single" w:sz="4" w:space="0" w:color="auto"/>
              <w:bottom w:val="single" w:sz="4" w:space="0" w:color="auto"/>
              <w:right w:val="single" w:sz="4" w:space="0" w:color="auto"/>
            </w:tcBorders>
            <w:vAlign w:val="center"/>
            <w:hideMark/>
          </w:tcPr>
          <w:p w14:paraId="3C4A8838"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7,49%</w:t>
            </w:r>
          </w:p>
        </w:tc>
        <w:tc>
          <w:tcPr>
            <w:tcW w:w="1062" w:type="dxa"/>
            <w:tcBorders>
              <w:top w:val="single" w:sz="4" w:space="0" w:color="auto"/>
              <w:left w:val="single" w:sz="4" w:space="0" w:color="auto"/>
              <w:bottom w:val="single" w:sz="4" w:space="0" w:color="auto"/>
              <w:right w:val="single" w:sz="4" w:space="0" w:color="auto"/>
            </w:tcBorders>
            <w:vAlign w:val="center"/>
            <w:hideMark/>
          </w:tcPr>
          <w:p w14:paraId="1258AAD5"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8,70%</w:t>
            </w:r>
          </w:p>
        </w:tc>
        <w:tc>
          <w:tcPr>
            <w:tcW w:w="1105" w:type="dxa"/>
            <w:tcBorders>
              <w:top w:val="single" w:sz="4" w:space="0" w:color="auto"/>
              <w:left w:val="single" w:sz="4" w:space="0" w:color="auto"/>
              <w:bottom w:val="single" w:sz="4" w:space="0" w:color="auto"/>
              <w:right w:val="single" w:sz="4" w:space="0" w:color="auto"/>
            </w:tcBorders>
            <w:vAlign w:val="center"/>
            <w:hideMark/>
          </w:tcPr>
          <w:p w14:paraId="6E9E62BA"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7,71%</w:t>
            </w:r>
          </w:p>
        </w:tc>
        <w:tc>
          <w:tcPr>
            <w:tcW w:w="1102" w:type="dxa"/>
            <w:tcBorders>
              <w:top w:val="single" w:sz="4" w:space="0" w:color="auto"/>
              <w:left w:val="single" w:sz="4" w:space="0" w:color="auto"/>
              <w:bottom w:val="single" w:sz="4" w:space="0" w:color="auto"/>
              <w:right w:val="single" w:sz="4" w:space="0" w:color="auto"/>
            </w:tcBorders>
            <w:vAlign w:val="center"/>
            <w:hideMark/>
          </w:tcPr>
          <w:p w14:paraId="4D3E5FFF"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9,41%</w:t>
            </w:r>
          </w:p>
        </w:tc>
        <w:tc>
          <w:tcPr>
            <w:tcW w:w="1193" w:type="dxa"/>
            <w:tcBorders>
              <w:top w:val="single" w:sz="4" w:space="0" w:color="auto"/>
              <w:left w:val="single" w:sz="4" w:space="0" w:color="auto"/>
              <w:bottom w:val="single" w:sz="4" w:space="0" w:color="auto"/>
              <w:right w:val="single" w:sz="4" w:space="0" w:color="auto"/>
            </w:tcBorders>
            <w:vAlign w:val="center"/>
          </w:tcPr>
          <w:p w14:paraId="6CF59F2A"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9,00%</w:t>
            </w:r>
          </w:p>
        </w:tc>
      </w:tr>
      <w:tr w:rsidR="003331B9" w:rsidRPr="001909AC" w14:paraId="2BAC2526" w14:textId="77777777" w:rsidTr="00133F6A">
        <w:trPr>
          <w:trHeight w:val="285"/>
        </w:trPr>
        <w:tc>
          <w:tcPr>
            <w:tcW w:w="896" w:type="dxa"/>
            <w:tcBorders>
              <w:top w:val="single" w:sz="4" w:space="0" w:color="auto"/>
              <w:left w:val="single" w:sz="4" w:space="0" w:color="auto"/>
              <w:bottom w:val="single" w:sz="4" w:space="0" w:color="auto"/>
              <w:right w:val="single" w:sz="4" w:space="0" w:color="auto"/>
            </w:tcBorders>
            <w:vAlign w:val="center"/>
          </w:tcPr>
          <w:p w14:paraId="3F5B57BD" w14:textId="28DEE404"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4</w:t>
            </w:r>
          </w:p>
        </w:tc>
        <w:tc>
          <w:tcPr>
            <w:tcW w:w="1596" w:type="dxa"/>
            <w:tcBorders>
              <w:top w:val="single" w:sz="4" w:space="0" w:color="auto"/>
              <w:left w:val="single" w:sz="4" w:space="0" w:color="auto"/>
              <w:bottom w:val="single" w:sz="4" w:space="0" w:color="auto"/>
              <w:right w:val="single" w:sz="4" w:space="0" w:color="auto"/>
            </w:tcBorders>
            <w:vAlign w:val="center"/>
            <w:hideMark/>
          </w:tcPr>
          <w:p w14:paraId="4D74F0C1" w14:textId="48B5D844" w:rsidR="003331B9" w:rsidRPr="001909AC"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THT</w:t>
            </w:r>
          </w:p>
        </w:tc>
        <w:tc>
          <w:tcPr>
            <w:tcW w:w="1028" w:type="dxa"/>
            <w:tcBorders>
              <w:top w:val="single" w:sz="4" w:space="0" w:color="auto"/>
              <w:left w:val="single" w:sz="4" w:space="0" w:color="auto"/>
              <w:bottom w:val="single" w:sz="4" w:space="0" w:color="auto"/>
              <w:right w:val="single" w:sz="4" w:space="0" w:color="auto"/>
            </w:tcBorders>
            <w:vAlign w:val="center"/>
            <w:hideMark/>
          </w:tcPr>
          <w:p w14:paraId="1A450C5C"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6,92%</w:t>
            </w:r>
          </w:p>
        </w:tc>
        <w:tc>
          <w:tcPr>
            <w:tcW w:w="976" w:type="dxa"/>
            <w:tcBorders>
              <w:top w:val="single" w:sz="4" w:space="0" w:color="auto"/>
              <w:left w:val="single" w:sz="4" w:space="0" w:color="auto"/>
              <w:bottom w:val="single" w:sz="4" w:space="0" w:color="auto"/>
              <w:right w:val="single" w:sz="4" w:space="0" w:color="auto"/>
            </w:tcBorders>
            <w:vAlign w:val="center"/>
            <w:hideMark/>
          </w:tcPr>
          <w:p w14:paraId="65F7DCA4" w14:textId="77777777" w:rsidR="003331B9" w:rsidRPr="001909AC" w:rsidRDefault="003331B9" w:rsidP="003331B9">
            <w:pPr>
              <w:spacing w:after="160" w:line="259" w:lineRule="auto"/>
              <w:jc w:val="right"/>
              <w:rPr>
                <w:rFonts w:ascii="Times New Roman" w:hAnsi="Times New Roman" w:cs="Times New Roman"/>
                <w:bCs/>
              </w:rPr>
            </w:pPr>
            <w:r w:rsidRPr="001909AC">
              <w:rPr>
                <w:rFonts w:ascii="Times New Roman" w:hAnsi="Times New Roman" w:cs="Times New Roman"/>
                <w:bCs/>
              </w:rPr>
              <w:t>6,13%</w:t>
            </w:r>
          </w:p>
        </w:tc>
        <w:tc>
          <w:tcPr>
            <w:tcW w:w="1062" w:type="dxa"/>
            <w:tcBorders>
              <w:top w:val="single" w:sz="4" w:space="0" w:color="auto"/>
              <w:left w:val="single" w:sz="4" w:space="0" w:color="auto"/>
              <w:bottom w:val="single" w:sz="4" w:space="0" w:color="auto"/>
              <w:right w:val="single" w:sz="4" w:space="0" w:color="auto"/>
            </w:tcBorders>
            <w:vAlign w:val="center"/>
            <w:hideMark/>
          </w:tcPr>
          <w:p w14:paraId="70D87AC2" w14:textId="77777777" w:rsidR="003331B9" w:rsidRPr="001909AC" w:rsidRDefault="003331B9" w:rsidP="003331B9">
            <w:pPr>
              <w:spacing w:after="160" w:line="259" w:lineRule="auto"/>
              <w:jc w:val="right"/>
              <w:rPr>
                <w:rFonts w:ascii="Times New Roman" w:hAnsi="Times New Roman" w:cs="Times New Roman"/>
                <w:bCs/>
              </w:rPr>
            </w:pPr>
            <w:r w:rsidRPr="001909AC">
              <w:rPr>
                <w:rFonts w:ascii="Times New Roman" w:hAnsi="Times New Roman" w:cs="Times New Roman"/>
                <w:bCs/>
              </w:rPr>
              <w:t>7,07%</w:t>
            </w:r>
          </w:p>
        </w:tc>
        <w:tc>
          <w:tcPr>
            <w:tcW w:w="1105" w:type="dxa"/>
            <w:tcBorders>
              <w:top w:val="single" w:sz="4" w:space="0" w:color="auto"/>
              <w:left w:val="single" w:sz="4" w:space="0" w:color="auto"/>
              <w:bottom w:val="single" w:sz="4" w:space="0" w:color="auto"/>
              <w:right w:val="single" w:sz="4" w:space="0" w:color="auto"/>
            </w:tcBorders>
            <w:vAlign w:val="center"/>
            <w:hideMark/>
          </w:tcPr>
          <w:p w14:paraId="3BEA55FE"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7,59%</w:t>
            </w:r>
          </w:p>
        </w:tc>
        <w:tc>
          <w:tcPr>
            <w:tcW w:w="1102" w:type="dxa"/>
            <w:tcBorders>
              <w:top w:val="single" w:sz="4" w:space="0" w:color="auto"/>
              <w:left w:val="single" w:sz="4" w:space="0" w:color="auto"/>
              <w:bottom w:val="single" w:sz="4" w:space="0" w:color="auto"/>
              <w:right w:val="single" w:sz="4" w:space="0" w:color="auto"/>
            </w:tcBorders>
            <w:vAlign w:val="center"/>
            <w:hideMark/>
          </w:tcPr>
          <w:p w14:paraId="27F1D24F"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6,32%</w:t>
            </w:r>
          </w:p>
        </w:tc>
        <w:tc>
          <w:tcPr>
            <w:tcW w:w="1193" w:type="dxa"/>
            <w:tcBorders>
              <w:top w:val="single" w:sz="4" w:space="0" w:color="auto"/>
              <w:left w:val="single" w:sz="4" w:space="0" w:color="auto"/>
              <w:bottom w:val="single" w:sz="4" w:space="0" w:color="auto"/>
              <w:right w:val="single" w:sz="4" w:space="0" w:color="auto"/>
            </w:tcBorders>
            <w:vAlign w:val="center"/>
          </w:tcPr>
          <w:p w14:paraId="031DDCCC"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6,81%</w:t>
            </w:r>
          </w:p>
        </w:tc>
      </w:tr>
      <w:tr w:rsidR="003331B9" w:rsidRPr="001909AC" w14:paraId="63F7F0BD" w14:textId="77777777" w:rsidTr="00133F6A">
        <w:trPr>
          <w:trHeight w:val="285"/>
        </w:trPr>
        <w:tc>
          <w:tcPr>
            <w:tcW w:w="896" w:type="dxa"/>
            <w:tcBorders>
              <w:top w:val="single" w:sz="4" w:space="0" w:color="auto"/>
              <w:left w:val="single" w:sz="4" w:space="0" w:color="auto"/>
              <w:bottom w:val="single" w:sz="4" w:space="0" w:color="auto"/>
              <w:right w:val="single" w:sz="4" w:space="0" w:color="auto"/>
            </w:tcBorders>
            <w:vAlign w:val="center"/>
          </w:tcPr>
          <w:p w14:paraId="2E07DA3B" w14:textId="276CB74F" w:rsidR="003331B9" w:rsidRPr="001909AC" w:rsidRDefault="003331B9" w:rsidP="003331B9">
            <w:pPr>
              <w:spacing w:after="160" w:line="259" w:lineRule="auto"/>
              <w:jc w:val="center"/>
              <w:rPr>
                <w:rFonts w:ascii="Times New Roman" w:hAnsi="Times New Roman" w:cs="Times New Roman"/>
                <w:b/>
                <w:bCs/>
              </w:rPr>
            </w:pPr>
            <w:r>
              <w:rPr>
                <w:rFonts w:ascii="Times New Roman" w:hAnsi="Times New Roman" w:cs="Times New Roman"/>
                <w:b/>
                <w:bCs/>
              </w:rPr>
              <w:t>5</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619EEA3" w14:textId="5C40CB6B" w:rsidR="003331B9" w:rsidRPr="001909AC"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NBC</w:t>
            </w:r>
          </w:p>
        </w:tc>
        <w:tc>
          <w:tcPr>
            <w:tcW w:w="1028" w:type="dxa"/>
            <w:tcBorders>
              <w:top w:val="single" w:sz="4" w:space="0" w:color="auto"/>
              <w:left w:val="single" w:sz="4" w:space="0" w:color="auto"/>
              <w:bottom w:val="single" w:sz="4" w:space="0" w:color="auto"/>
              <w:right w:val="single" w:sz="4" w:space="0" w:color="auto"/>
            </w:tcBorders>
            <w:vAlign w:val="center"/>
            <w:hideMark/>
          </w:tcPr>
          <w:p w14:paraId="2BE4A6CD"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6,05%</w:t>
            </w:r>
          </w:p>
        </w:tc>
        <w:tc>
          <w:tcPr>
            <w:tcW w:w="976" w:type="dxa"/>
            <w:tcBorders>
              <w:top w:val="single" w:sz="4" w:space="0" w:color="auto"/>
              <w:left w:val="nil"/>
              <w:bottom w:val="single" w:sz="4" w:space="0" w:color="auto"/>
              <w:right w:val="single" w:sz="4" w:space="0" w:color="auto"/>
            </w:tcBorders>
            <w:vAlign w:val="center"/>
            <w:hideMark/>
          </w:tcPr>
          <w:p w14:paraId="7DDFDA2A"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6,49%</w:t>
            </w:r>
          </w:p>
        </w:tc>
        <w:tc>
          <w:tcPr>
            <w:tcW w:w="1062" w:type="dxa"/>
            <w:tcBorders>
              <w:top w:val="single" w:sz="4" w:space="0" w:color="auto"/>
              <w:left w:val="nil"/>
              <w:bottom w:val="single" w:sz="4" w:space="0" w:color="auto"/>
              <w:right w:val="single" w:sz="4" w:space="0" w:color="auto"/>
            </w:tcBorders>
            <w:vAlign w:val="center"/>
            <w:hideMark/>
          </w:tcPr>
          <w:p w14:paraId="0FC17958"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6,42%</w:t>
            </w:r>
          </w:p>
        </w:tc>
        <w:tc>
          <w:tcPr>
            <w:tcW w:w="1105" w:type="dxa"/>
            <w:tcBorders>
              <w:top w:val="single" w:sz="4" w:space="0" w:color="auto"/>
              <w:left w:val="nil"/>
              <w:bottom w:val="single" w:sz="4" w:space="0" w:color="auto"/>
              <w:right w:val="single" w:sz="4" w:space="0" w:color="auto"/>
            </w:tcBorders>
            <w:vAlign w:val="center"/>
            <w:hideMark/>
          </w:tcPr>
          <w:p w14:paraId="0C58D0A8" w14:textId="77777777" w:rsidR="003331B9" w:rsidRPr="001909AC" w:rsidRDefault="003331B9" w:rsidP="003331B9">
            <w:pPr>
              <w:spacing w:after="160" w:line="259" w:lineRule="auto"/>
              <w:jc w:val="right"/>
              <w:rPr>
                <w:rFonts w:ascii="Times New Roman" w:hAnsi="Times New Roman" w:cs="Times New Roman"/>
              </w:rPr>
            </w:pPr>
            <w:r w:rsidRPr="001909AC">
              <w:rPr>
                <w:rFonts w:ascii="Times New Roman" w:hAnsi="Times New Roman" w:cs="Times New Roman"/>
              </w:rPr>
              <w:t>6,51%</w:t>
            </w:r>
          </w:p>
        </w:tc>
        <w:tc>
          <w:tcPr>
            <w:tcW w:w="1102" w:type="dxa"/>
            <w:tcBorders>
              <w:top w:val="single" w:sz="4" w:space="0" w:color="auto"/>
              <w:left w:val="nil"/>
              <w:bottom w:val="single" w:sz="4" w:space="0" w:color="auto"/>
              <w:right w:val="single" w:sz="4" w:space="0" w:color="auto"/>
            </w:tcBorders>
            <w:shd w:val="clear" w:color="auto" w:fill="FFFFFF"/>
            <w:vAlign w:val="center"/>
            <w:hideMark/>
          </w:tcPr>
          <w:p w14:paraId="46496C89" w14:textId="77777777" w:rsidR="003331B9" w:rsidRPr="001909AC" w:rsidRDefault="003331B9" w:rsidP="003331B9">
            <w:pPr>
              <w:spacing w:after="160" w:line="259" w:lineRule="auto"/>
              <w:jc w:val="right"/>
              <w:rPr>
                <w:rFonts w:ascii="Times New Roman" w:hAnsi="Times New Roman" w:cs="Times New Roman"/>
                <w:b/>
                <w:bCs/>
              </w:rPr>
            </w:pPr>
            <w:r w:rsidRPr="001909AC">
              <w:rPr>
                <w:rFonts w:ascii="Times New Roman" w:hAnsi="Times New Roman" w:cs="Times New Roman"/>
              </w:rPr>
              <w:t>9,65%</w:t>
            </w:r>
          </w:p>
        </w:tc>
        <w:tc>
          <w:tcPr>
            <w:tcW w:w="1193" w:type="dxa"/>
            <w:tcBorders>
              <w:top w:val="single" w:sz="4" w:space="0" w:color="auto"/>
              <w:left w:val="nil"/>
              <w:bottom w:val="single" w:sz="4" w:space="0" w:color="auto"/>
              <w:right w:val="single" w:sz="4" w:space="0" w:color="auto"/>
            </w:tcBorders>
            <w:shd w:val="clear" w:color="auto" w:fill="FFFFFF"/>
            <w:vAlign w:val="center"/>
          </w:tcPr>
          <w:p w14:paraId="09D5A3C2" w14:textId="77777777" w:rsidR="003331B9" w:rsidRPr="00F82756" w:rsidRDefault="003331B9" w:rsidP="003331B9">
            <w:pPr>
              <w:jc w:val="center"/>
              <w:rPr>
                <w:rFonts w:ascii="Times New Roman" w:hAnsi="Times New Roman" w:cs="Times New Roman"/>
              </w:rPr>
            </w:pPr>
            <w:r>
              <w:rPr>
                <w:rFonts w:ascii="Times New Roman" w:hAnsi="Times New Roman" w:cs="Times New Roman"/>
              </w:rPr>
              <w:t>7,02%</w:t>
            </w:r>
          </w:p>
        </w:tc>
      </w:tr>
    </w:tbl>
    <w:p w14:paraId="57C50FAC" w14:textId="1771CBEC" w:rsidR="00E45D8D" w:rsidRPr="00B1640A" w:rsidRDefault="00B1640A" w:rsidP="00B1640A">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1B44C029" w14:textId="28AB3786" w:rsidR="00451383" w:rsidRDefault="00451383" w:rsidP="007541B0">
      <w:pPr>
        <w:spacing w:line="312" w:lineRule="auto"/>
        <w:jc w:val="center"/>
        <w:rPr>
          <w:rFonts w:ascii="Times New Roman" w:hAnsi="Times New Roman" w:cs="Times New Roman"/>
          <w:sz w:val="26"/>
          <w:szCs w:val="26"/>
          <w:lang w:val="vi-VN"/>
        </w:rPr>
      </w:pPr>
      <w:r>
        <w:rPr>
          <w:noProof/>
          <w:lang w:eastAsia="en-US"/>
        </w:rPr>
        <w:lastRenderedPageBreak/>
        <w:drawing>
          <wp:inline distT="0" distB="0" distL="0" distR="0" wp14:anchorId="462B306C" wp14:editId="7C2D5A8B">
            <wp:extent cx="5475642" cy="2904565"/>
            <wp:effectExtent l="0" t="0" r="10795" b="1016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37CDAC7D" w14:textId="77777777" w:rsidR="007541B0" w:rsidRPr="008344F6" w:rsidRDefault="007541B0" w:rsidP="007541B0">
      <w:pPr>
        <w:spacing w:line="312" w:lineRule="auto"/>
        <w:jc w:val="center"/>
        <w:rPr>
          <w:rFonts w:ascii="Times New Roman" w:hAnsi="Times New Roman" w:cs="Times New Roman"/>
          <w:sz w:val="26"/>
          <w:szCs w:val="26"/>
          <w:lang w:val="vi-VN"/>
        </w:rPr>
      </w:pPr>
    </w:p>
    <w:p w14:paraId="29D918C3" w14:textId="46EDE84A" w:rsidR="00451383" w:rsidRPr="00AF3D5D" w:rsidRDefault="00385AFA" w:rsidP="00385AFA">
      <w:pPr>
        <w:spacing w:line="312" w:lineRule="auto"/>
        <w:ind w:firstLine="720"/>
        <w:jc w:val="both"/>
        <w:rPr>
          <w:rFonts w:ascii="Times New Roman" w:hAnsi="Times New Roman" w:cs="Times New Roman"/>
          <w:sz w:val="26"/>
          <w:szCs w:val="26"/>
          <w:lang w:val="vi-VN"/>
        </w:rPr>
      </w:pPr>
      <w:r w:rsidRPr="00AF3D5D">
        <w:rPr>
          <w:rFonts w:ascii="Times New Roman" w:hAnsi="Times New Roman" w:cs="Times New Roman"/>
          <w:sz w:val="26"/>
          <w:szCs w:val="26"/>
          <w:lang w:val="vi-VN"/>
        </w:rPr>
        <w:t xml:space="preserve">Giai đoạn 2019–2023 cho thấy sự biến động nhưng có xu hướng phục hồi trong hiệu quả sử dụng vốn kinh doanh (BEP) của các công ty cổ phần than. </w:t>
      </w:r>
      <w:r w:rsidR="00D73EE0" w:rsidRPr="00385AFA">
        <w:rPr>
          <w:rFonts w:ascii="Times New Roman" w:hAnsi="Times New Roman" w:cs="Times New Roman"/>
          <w:iCs/>
          <w:sz w:val="26"/>
          <w:szCs w:val="26"/>
          <w:lang w:val="vi-VN"/>
        </w:rPr>
        <w:t>Năm 2019</w:t>
      </w:r>
      <w:r w:rsidR="00451383" w:rsidRPr="00385AFA">
        <w:rPr>
          <w:rFonts w:ascii="Times New Roman" w:hAnsi="Times New Roman" w:cs="Times New Roman"/>
          <w:sz w:val="26"/>
          <w:szCs w:val="26"/>
          <w:lang w:val="vi-VN"/>
        </w:rPr>
        <w:t xml:space="preserve"> là năm có mức BEP cao nhất đối với hầu hết các doanh nghiệp, đặc biệt là Hà Lầm (11,68%) và Vàng Danh (9,06%). Điều này phản ánh môi trường kinh doanh thuận lợi và hiệu quả sử dụng vốn tốt trong thời điểm trước đại dịch.</w:t>
      </w:r>
      <w:r w:rsidR="00D73EE0" w:rsidRPr="00F22BA5">
        <w:rPr>
          <w:rFonts w:ascii="Times New Roman" w:hAnsi="Times New Roman" w:cs="Times New Roman"/>
          <w:sz w:val="26"/>
          <w:szCs w:val="26"/>
          <w:lang w:val="vi-VN"/>
        </w:rPr>
        <w:t xml:space="preserve"> </w:t>
      </w:r>
      <w:r w:rsidR="00D73EE0" w:rsidRPr="00385AFA">
        <w:rPr>
          <w:rFonts w:ascii="Times New Roman" w:hAnsi="Times New Roman" w:cs="Times New Roman"/>
          <w:iCs/>
          <w:sz w:val="26"/>
          <w:szCs w:val="26"/>
          <w:lang w:val="vi-VN"/>
        </w:rPr>
        <w:t>Năm 2020</w:t>
      </w:r>
      <w:r w:rsidR="00D73EE0" w:rsidRPr="00F22BA5">
        <w:rPr>
          <w:rFonts w:ascii="Times New Roman" w:hAnsi="Times New Roman" w:cs="Times New Roman"/>
          <w:iCs/>
          <w:sz w:val="26"/>
          <w:szCs w:val="26"/>
          <w:lang w:val="vi-VN"/>
        </w:rPr>
        <w:t xml:space="preserve">, </w:t>
      </w:r>
      <w:r w:rsidR="00451383" w:rsidRPr="00385AFA">
        <w:rPr>
          <w:rFonts w:ascii="Times New Roman" w:hAnsi="Times New Roman" w:cs="Times New Roman"/>
          <w:sz w:val="26"/>
          <w:szCs w:val="26"/>
          <w:lang w:val="vi-VN"/>
        </w:rPr>
        <w:t xml:space="preserve">BEP đồng loạt sụt giảm, đặc biệt ở các công ty như </w:t>
      </w:r>
      <w:r w:rsidR="00D73EE0" w:rsidRPr="00F22BA5">
        <w:rPr>
          <w:rFonts w:ascii="Times New Roman" w:hAnsi="Times New Roman" w:cs="Times New Roman"/>
          <w:sz w:val="26"/>
          <w:szCs w:val="26"/>
          <w:lang w:val="vi-VN"/>
        </w:rPr>
        <w:t xml:space="preserve">CTCP Than </w:t>
      </w:r>
      <w:r w:rsidR="00451383" w:rsidRPr="00385AFA">
        <w:rPr>
          <w:rFonts w:ascii="Times New Roman" w:hAnsi="Times New Roman" w:cs="Times New Roman"/>
          <w:sz w:val="26"/>
          <w:szCs w:val="26"/>
          <w:lang w:val="vi-VN"/>
        </w:rPr>
        <w:t>Mông Dương và</w:t>
      </w:r>
      <w:r w:rsidR="00D73EE0" w:rsidRPr="00F22BA5">
        <w:rPr>
          <w:rFonts w:ascii="Times New Roman" w:hAnsi="Times New Roman" w:cs="Times New Roman"/>
          <w:sz w:val="26"/>
          <w:szCs w:val="26"/>
          <w:lang w:val="vi-VN"/>
        </w:rPr>
        <w:t xml:space="preserve"> CTCP Than</w:t>
      </w:r>
      <w:r w:rsidR="00451383" w:rsidRPr="00385AFA">
        <w:rPr>
          <w:rFonts w:ascii="Times New Roman" w:hAnsi="Times New Roman" w:cs="Times New Roman"/>
          <w:sz w:val="26"/>
          <w:szCs w:val="26"/>
          <w:lang w:val="vi-VN"/>
        </w:rPr>
        <w:t xml:space="preserve"> Hà Lầm. </w:t>
      </w:r>
      <w:r w:rsidR="00D73EE0" w:rsidRPr="00F22BA5">
        <w:rPr>
          <w:rFonts w:ascii="Times New Roman" w:hAnsi="Times New Roman" w:cs="Times New Roman"/>
          <w:sz w:val="26"/>
          <w:szCs w:val="26"/>
          <w:lang w:val="vi-VN"/>
        </w:rPr>
        <w:t>Các doanh nghiệp bị</w:t>
      </w:r>
      <w:r w:rsidR="00451383" w:rsidRPr="00385AFA">
        <w:rPr>
          <w:rFonts w:ascii="Times New Roman" w:hAnsi="Times New Roman" w:cs="Times New Roman"/>
          <w:sz w:val="26"/>
          <w:szCs w:val="26"/>
          <w:lang w:val="vi-VN"/>
        </w:rPr>
        <w:t xml:space="preserve"> ảnh hưởng của đại dịch COVID-19 khiến doanh thu và biên lợi nhuận sụt giảm, trong khi </w:t>
      </w:r>
      <w:r w:rsidR="00D73EE0" w:rsidRPr="00F22BA5">
        <w:rPr>
          <w:rFonts w:ascii="Times New Roman" w:hAnsi="Times New Roman" w:cs="Times New Roman"/>
          <w:sz w:val="26"/>
          <w:szCs w:val="26"/>
          <w:lang w:val="vi-VN"/>
        </w:rPr>
        <w:t xml:space="preserve">chi phí lãi vay ở mức cao. </w:t>
      </w:r>
      <w:r w:rsidR="00D73EE0" w:rsidRPr="00385AFA">
        <w:rPr>
          <w:rFonts w:ascii="Times New Roman" w:hAnsi="Times New Roman" w:cs="Times New Roman"/>
          <w:iCs/>
          <w:sz w:val="26"/>
          <w:szCs w:val="26"/>
          <w:lang w:val="vi-VN"/>
        </w:rPr>
        <w:t>Năm 2021–202</w:t>
      </w:r>
      <w:r w:rsidR="00D73EE0" w:rsidRPr="00F22BA5">
        <w:rPr>
          <w:rFonts w:ascii="Times New Roman" w:hAnsi="Times New Roman" w:cs="Times New Roman"/>
          <w:iCs/>
          <w:sz w:val="26"/>
          <w:szCs w:val="26"/>
          <w:lang w:val="vi-VN"/>
        </w:rPr>
        <w:t>2,</w:t>
      </w:r>
      <w:r w:rsidR="00D73EE0" w:rsidRPr="00F22BA5">
        <w:rPr>
          <w:rFonts w:ascii="Times New Roman" w:hAnsi="Times New Roman" w:cs="Times New Roman"/>
          <w:sz w:val="26"/>
          <w:szCs w:val="26"/>
          <w:lang w:val="vi-VN"/>
        </w:rPr>
        <w:t xml:space="preserve"> c</w:t>
      </w:r>
      <w:r w:rsidR="00451383" w:rsidRPr="00385AFA">
        <w:rPr>
          <w:rFonts w:ascii="Times New Roman" w:hAnsi="Times New Roman" w:cs="Times New Roman"/>
          <w:sz w:val="26"/>
          <w:szCs w:val="26"/>
          <w:lang w:val="vi-VN"/>
        </w:rPr>
        <w:t>ác doanh nghiệp bắt đầu hồi phụ</w:t>
      </w:r>
      <w:r w:rsidR="00D73EE0" w:rsidRPr="00385AFA">
        <w:rPr>
          <w:rFonts w:ascii="Times New Roman" w:hAnsi="Times New Roman" w:cs="Times New Roman"/>
          <w:sz w:val="26"/>
          <w:szCs w:val="26"/>
          <w:lang w:val="vi-VN"/>
        </w:rPr>
        <w:t>c</w:t>
      </w:r>
      <w:r w:rsidR="00D73EE0" w:rsidRPr="00F22BA5">
        <w:rPr>
          <w:rFonts w:ascii="Times New Roman" w:hAnsi="Times New Roman" w:cs="Times New Roman"/>
          <w:sz w:val="26"/>
          <w:szCs w:val="26"/>
          <w:lang w:val="vi-VN"/>
        </w:rPr>
        <w:t>, m</w:t>
      </w:r>
      <w:r w:rsidR="00451383" w:rsidRPr="00385AFA">
        <w:rPr>
          <w:rFonts w:ascii="Times New Roman" w:hAnsi="Times New Roman" w:cs="Times New Roman"/>
          <w:sz w:val="26"/>
          <w:szCs w:val="26"/>
          <w:lang w:val="vi-VN"/>
        </w:rPr>
        <w:t>ột số doanh nghiệp như</w:t>
      </w:r>
      <w:r w:rsidR="00D73EE0" w:rsidRPr="00F22BA5">
        <w:rPr>
          <w:rFonts w:ascii="Times New Roman" w:hAnsi="Times New Roman" w:cs="Times New Roman"/>
          <w:sz w:val="26"/>
          <w:szCs w:val="26"/>
          <w:lang w:val="vi-VN"/>
        </w:rPr>
        <w:t xml:space="preserve"> CTCP Than</w:t>
      </w:r>
      <w:r w:rsidR="00451383" w:rsidRPr="00385AFA">
        <w:rPr>
          <w:rFonts w:ascii="Times New Roman" w:hAnsi="Times New Roman" w:cs="Times New Roman"/>
          <w:sz w:val="26"/>
          <w:szCs w:val="26"/>
          <w:lang w:val="vi-VN"/>
        </w:rPr>
        <w:t xml:space="preserve"> Vàng Danh và </w:t>
      </w:r>
      <w:r w:rsidR="00D73EE0" w:rsidRPr="00F22BA5">
        <w:rPr>
          <w:rFonts w:ascii="Times New Roman" w:hAnsi="Times New Roman" w:cs="Times New Roman"/>
          <w:sz w:val="26"/>
          <w:szCs w:val="26"/>
          <w:lang w:val="vi-VN"/>
        </w:rPr>
        <w:t xml:space="preserve">CTCP Than </w:t>
      </w:r>
      <w:r w:rsidR="00451383" w:rsidRPr="00385AFA">
        <w:rPr>
          <w:rFonts w:ascii="Times New Roman" w:hAnsi="Times New Roman" w:cs="Times New Roman"/>
          <w:sz w:val="26"/>
          <w:szCs w:val="26"/>
          <w:lang w:val="vi-VN"/>
        </w:rPr>
        <w:t xml:space="preserve">Mông Dương có mức tăng trưởng BEP đáng kể vào cuối năm 2022. Tuy nhiên, không phải tất cả đều cải thiện rõ nét, ví dụ </w:t>
      </w:r>
      <w:r w:rsidR="00D73EE0" w:rsidRPr="00F22BA5">
        <w:rPr>
          <w:rFonts w:ascii="Times New Roman" w:hAnsi="Times New Roman" w:cs="Times New Roman"/>
          <w:sz w:val="26"/>
          <w:szCs w:val="26"/>
          <w:lang w:val="vi-VN"/>
        </w:rPr>
        <w:t xml:space="preserve">CTCP Than </w:t>
      </w:r>
      <w:r w:rsidR="00451383" w:rsidRPr="00385AFA">
        <w:rPr>
          <w:rFonts w:ascii="Times New Roman" w:hAnsi="Times New Roman" w:cs="Times New Roman"/>
          <w:sz w:val="26"/>
          <w:szCs w:val="26"/>
          <w:lang w:val="vi-VN"/>
        </w:rPr>
        <w:t xml:space="preserve">Hà Tu và </w:t>
      </w:r>
      <w:r w:rsidR="00D73EE0" w:rsidRPr="00F22BA5">
        <w:rPr>
          <w:rFonts w:ascii="Times New Roman" w:hAnsi="Times New Roman" w:cs="Times New Roman"/>
          <w:sz w:val="26"/>
          <w:szCs w:val="26"/>
          <w:lang w:val="vi-VN"/>
        </w:rPr>
        <w:t xml:space="preserve">CTCP Than </w:t>
      </w:r>
      <w:r w:rsidR="00451383" w:rsidRPr="00385AFA">
        <w:rPr>
          <w:rFonts w:ascii="Times New Roman" w:hAnsi="Times New Roman" w:cs="Times New Roman"/>
          <w:sz w:val="26"/>
          <w:szCs w:val="26"/>
          <w:lang w:val="vi-VN"/>
        </w:rPr>
        <w:t xml:space="preserve">Hà Lầm </w:t>
      </w:r>
      <w:r w:rsidRPr="00F22BA5">
        <w:rPr>
          <w:rFonts w:ascii="Times New Roman" w:hAnsi="Times New Roman" w:cs="Times New Roman"/>
          <w:sz w:val="26"/>
          <w:szCs w:val="26"/>
          <w:lang w:val="vi-VN"/>
        </w:rPr>
        <w:t>có BEP ở mức thấp</w:t>
      </w:r>
      <w:r w:rsidR="00451383" w:rsidRPr="00385AFA">
        <w:rPr>
          <w:rFonts w:ascii="Times New Roman" w:hAnsi="Times New Roman" w:cs="Times New Roman"/>
          <w:sz w:val="26"/>
          <w:szCs w:val="26"/>
          <w:lang w:val="vi-VN"/>
        </w:rPr>
        <w:t>.</w:t>
      </w:r>
      <w:r w:rsidR="00D73EE0" w:rsidRPr="00F22BA5">
        <w:rPr>
          <w:rFonts w:ascii="Times New Roman" w:hAnsi="Times New Roman" w:cs="Times New Roman"/>
          <w:sz w:val="26"/>
          <w:szCs w:val="26"/>
          <w:lang w:val="vi-VN"/>
        </w:rPr>
        <w:t xml:space="preserve"> </w:t>
      </w:r>
      <w:r w:rsidR="00D73EE0" w:rsidRPr="00385AFA">
        <w:rPr>
          <w:rFonts w:ascii="Times New Roman" w:hAnsi="Times New Roman" w:cs="Times New Roman"/>
          <w:iCs/>
          <w:sz w:val="26"/>
          <w:szCs w:val="26"/>
          <w:lang w:val="vi-VN"/>
        </w:rPr>
        <w:t>Năm 2023</w:t>
      </w:r>
      <w:r w:rsidR="00D73EE0" w:rsidRPr="00F22BA5">
        <w:rPr>
          <w:rFonts w:ascii="Times New Roman" w:hAnsi="Times New Roman" w:cs="Times New Roman"/>
          <w:iCs/>
          <w:sz w:val="26"/>
          <w:szCs w:val="26"/>
          <w:lang w:val="vi-VN"/>
        </w:rPr>
        <w:t>, h</w:t>
      </w:r>
      <w:r w:rsidR="00451383" w:rsidRPr="00385AFA">
        <w:rPr>
          <w:rFonts w:ascii="Times New Roman" w:hAnsi="Times New Roman" w:cs="Times New Roman"/>
          <w:sz w:val="26"/>
          <w:szCs w:val="26"/>
          <w:lang w:val="vi-VN"/>
        </w:rPr>
        <w:t xml:space="preserve">ầu hết các doanh nghiệp đều có BEP tăng hoặc phục hồi, đặc biệt là </w:t>
      </w:r>
      <w:r w:rsidR="00D73EE0" w:rsidRPr="00F22BA5">
        <w:rPr>
          <w:rFonts w:ascii="Times New Roman" w:hAnsi="Times New Roman" w:cs="Times New Roman"/>
          <w:sz w:val="26"/>
          <w:szCs w:val="26"/>
          <w:lang w:val="vi-VN"/>
        </w:rPr>
        <w:t xml:space="preserve">CTCP Than </w:t>
      </w:r>
      <w:r w:rsidR="00451383" w:rsidRPr="00385AFA">
        <w:rPr>
          <w:rFonts w:ascii="Times New Roman" w:hAnsi="Times New Roman" w:cs="Times New Roman"/>
          <w:sz w:val="26"/>
          <w:szCs w:val="26"/>
          <w:lang w:val="vi-VN"/>
        </w:rPr>
        <w:t xml:space="preserve">Vàng Danh và </w:t>
      </w:r>
      <w:r w:rsidR="00D73EE0" w:rsidRPr="00F22BA5">
        <w:rPr>
          <w:rFonts w:ascii="Times New Roman" w:hAnsi="Times New Roman" w:cs="Times New Roman"/>
          <w:sz w:val="26"/>
          <w:szCs w:val="26"/>
          <w:lang w:val="vi-VN"/>
        </w:rPr>
        <w:t xml:space="preserve">CTCP Than </w:t>
      </w:r>
      <w:r w:rsidR="00451383" w:rsidRPr="00385AFA">
        <w:rPr>
          <w:rFonts w:ascii="Times New Roman" w:hAnsi="Times New Roman" w:cs="Times New Roman"/>
          <w:sz w:val="26"/>
          <w:szCs w:val="26"/>
          <w:lang w:val="vi-VN"/>
        </w:rPr>
        <w:t xml:space="preserve">Núi Béo. </w:t>
      </w:r>
      <w:r w:rsidR="00D73EE0" w:rsidRPr="00385AFA">
        <w:rPr>
          <w:rFonts w:ascii="Times New Roman" w:hAnsi="Times New Roman" w:cs="Times New Roman"/>
          <w:sz w:val="26"/>
          <w:szCs w:val="26"/>
          <w:lang w:val="vi-VN"/>
        </w:rPr>
        <w:t xml:space="preserve">Điều này thể hiện khả năng kiểm soát chi phí tài chính và hoạt động sản xuất </w:t>
      </w:r>
      <w:r w:rsidR="00D73EE0" w:rsidRPr="00F22BA5">
        <w:rPr>
          <w:rFonts w:ascii="Times New Roman" w:hAnsi="Times New Roman" w:cs="Times New Roman"/>
          <w:sz w:val="26"/>
          <w:szCs w:val="26"/>
          <w:lang w:val="vi-VN"/>
        </w:rPr>
        <w:t>kinh doanh phục hồi</w:t>
      </w:r>
      <w:r w:rsidR="00D73EE0" w:rsidRPr="00385AFA">
        <w:rPr>
          <w:rFonts w:ascii="Times New Roman" w:hAnsi="Times New Roman" w:cs="Times New Roman"/>
          <w:sz w:val="26"/>
          <w:szCs w:val="26"/>
          <w:lang w:val="vi-VN"/>
        </w:rPr>
        <w:t xml:space="preserve">, đồng thời tận dụng vốn </w:t>
      </w:r>
      <w:r w:rsidR="00D73EE0" w:rsidRPr="00F22BA5">
        <w:rPr>
          <w:rFonts w:ascii="Times New Roman" w:hAnsi="Times New Roman" w:cs="Times New Roman"/>
          <w:sz w:val="26"/>
          <w:szCs w:val="26"/>
          <w:lang w:val="vi-VN"/>
        </w:rPr>
        <w:t xml:space="preserve">và sử dụng </w:t>
      </w:r>
      <w:r w:rsidR="00D73EE0" w:rsidRPr="00385AFA">
        <w:rPr>
          <w:rFonts w:ascii="Times New Roman" w:hAnsi="Times New Roman" w:cs="Times New Roman"/>
          <w:sz w:val="26"/>
          <w:szCs w:val="26"/>
          <w:lang w:val="vi-VN"/>
        </w:rPr>
        <w:t>hiệu quả ngày càng cao</w:t>
      </w:r>
      <w:r w:rsidRPr="00F22BA5">
        <w:rPr>
          <w:rFonts w:ascii="Times New Roman" w:hAnsi="Times New Roman" w:cs="Times New Roman"/>
          <w:sz w:val="26"/>
          <w:szCs w:val="26"/>
          <w:lang w:val="vi-VN"/>
        </w:rPr>
        <w:t xml:space="preserve"> của các đơn vị</w:t>
      </w:r>
      <w:r w:rsidR="00D73EE0" w:rsidRPr="00385AFA">
        <w:rPr>
          <w:rFonts w:ascii="Times New Roman" w:hAnsi="Times New Roman" w:cs="Times New Roman"/>
          <w:sz w:val="26"/>
          <w:szCs w:val="26"/>
          <w:lang w:val="vi-VN"/>
        </w:rPr>
        <w:t>.</w:t>
      </w:r>
      <w:r w:rsidR="00451383" w:rsidRPr="00AF3D5D">
        <w:rPr>
          <w:rFonts w:ascii="Times New Roman" w:hAnsi="Times New Roman" w:cs="Times New Roman"/>
          <w:sz w:val="26"/>
          <w:szCs w:val="26"/>
          <w:lang w:val="vi-VN"/>
        </w:rPr>
        <w:t>.</w:t>
      </w:r>
    </w:p>
    <w:p w14:paraId="0897A91D" w14:textId="0C5C9EBB" w:rsidR="00451383" w:rsidRPr="00EC6124" w:rsidRDefault="00385AFA" w:rsidP="008A5BBD">
      <w:pPr>
        <w:pStyle w:val="p3"/>
      </w:pPr>
      <w:bookmarkStart w:id="239" w:name="_Toc197781188"/>
      <w:bookmarkStart w:id="240" w:name="_Toc197781471"/>
      <w:bookmarkStart w:id="241" w:name="_Toc198281679"/>
      <w:bookmarkStart w:id="242" w:name="_Toc198284464"/>
      <w:bookmarkStart w:id="243" w:name="_Toc198284845"/>
      <w:bookmarkStart w:id="244" w:name="_Toc198709997"/>
      <w:r w:rsidRPr="00F22BA5">
        <w:t>+</w:t>
      </w:r>
      <w:r w:rsidR="00451383" w:rsidRPr="00EC6124">
        <w:t xml:space="preserve"> Tỷ suất lợi nhuận sau thuế trên vốn kinh doanh (ROA)</w:t>
      </w:r>
      <w:bookmarkEnd w:id="239"/>
      <w:bookmarkEnd w:id="240"/>
      <w:bookmarkEnd w:id="241"/>
      <w:bookmarkEnd w:id="242"/>
      <w:bookmarkEnd w:id="243"/>
      <w:bookmarkEnd w:id="244"/>
    </w:p>
    <w:p w14:paraId="3D3F80D2" w14:textId="5F4E0D9E" w:rsidR="00451383" w:rsidRDefault="00451383" w:rsidP="00451383">
      <w:pPr>
        <w:spacing w:line="312" w:lineRule="auto"/>
        <w:ind w:firstLine="720"/>
        <w:jc w:val="both"/>
        <w:rPr>
          <w:rFonts w:ascii="Times New Roman" w:hAnsi="Times New Roman" w:cs="Times New Roman"/>
          <w:sz w:val="26"/>
          <w:szCs w:val="26"/>
          <w:lang w:val="vi-VN"/>
        </w:rPr>
      </w:pPr>
      <w:r w:rsidRPr="00451383">
        <w:rPr>
          <w:rFonts w:ascii="Times New Roman" w:hAnsi="Times New Roman" w:cs="Times New Roman"/>
          <w:sz w:val="26"/>
          <w:szCs w:val="26"/>
          <w:lang w:val="vi-VN"/>
        </w:rPr>
        <w:t xml:space="preserve">Doanh nghiệp tính tỷ suất lợi nhuận sau thuế trên vốn kinh doanh (ROA) để đánh giá khả năng sinh lời ròng từ việc sử dụng toàn bộ tài sản của doanh nghiệp sau khi đã trừ thuế. Chỉ tiêu này cho biết mỗi đồng vốn đầu tư vào tài sản tạo ra bao nhiêu đồng lợi nhuận thực sự, từ đó phản ánh hiệu quả tổng thể trong việc quản lý tài sản và kiểm soát chi phí. Đối với </w:t>
      </w:r>
      <w:r w:rsidR="00385AFA" w:rsidRPr="00F22BA5">
        <w:rPr>
          <w:rFonts w:ascii="Times New Roman" w:hAnsi="Times New Roman" w:cs="Times New Roman"/>
          <w:sz w:val="26"/>
          <w:szCs w:val="26"/>
          <w:lang w:val="vi-VN"/>
        </w:rPr>
        <w:t xml:space="preserve">các </w:t>
      </w:r>
      <w:r w:rsidRPr="00451383">
        <w:rPr>
          <w:rFonts w:ascii="Times New Roman" w:hAnsi="Times New Roman" w:cs="Times New Roman"/>
          <w:sz w:val="26"/>
          <w:szCs w:val="26"/>
          <w:lang w:val="vi-VN"/>
        </w:rPr>
        <w:t xml:space="preserve">doanh nghiệp khai </w:t>
      </w:r>
      <w:r w:rsidR="00385AFA" w:rsidRPr="00F22BA5">
        <w:rPr>
          <w:rFonts w:ascii="Times New Roman" w:hAnsi="Times New Roman" w:cs="Times New Roman"/>
          <w:sz w:val="26"/>
          <w:szCs w:val="26"/>
          <w:lang w:val="vi-VN"/>
        </w:rPr>
        <w:t>thác than</w:t>
      </w:r>
      <w:r w:rsidRPr="00451383">
        <w:rPr>
          <w:rFonts w:ascii="Times New Roman" w:hAnsi="Times New Roman" w:cs="Times New Roman"/>
          <w:sz w:val="26"/>
          <w:szCs w:val="26"/>
          <w:lang w:val="vi-VN"/>
        </w:rPr>
        <w:t xml:space="preserve"> có quy mô tài sản lớn và vốn đầu tư dài hạn </w:t>
      </w:r>
      <w:r w:rsidR="00385AFA" w:rsidRPr="00F22BA5">
        <w:rPr>
          <w:rFonts w:ascii="Times New Roman" w:hAnsi="Times New Roman" w:cs="Times New Roman"/>
          <w:sz w:val="26"/>
          <w:szCs w:val="26"/>
          <w:lang w:val="vi-VN"/>
        </w:rPr>
        <w:t xml:space="preserve">thuộc </w:t>
      </w:r>
      <w:r w:rsidRPr="00451383">
        <w:rPr>
          <w:rFonts w:ascii="Times New Roman" w:hAnsi="Times New Roman" w:cs="Times New Roman"/>
          <w:sz w:val="26"/>
          <w:szCs w:val="26"/>
          <w:lang w:val="vi-VN"/>
        </w:rPr>
        <w:t xml:space="preserve">TKV, ROA là cơ sở quan trọng để đánh giá hiệu </w:t>
      </w:r>
      <w:r w:rsidRPr="00451383">
        <w:rPr>
          <w:rFonts w:ascii="Times New Roman" w:hAnsi="Times New Roman" w:cs="Times New Roman"/>
          <w:sz w:val="26"/>
          <w:szCs w:val="26"/>
          <w:lang w:val="vi-VN"/>
        </w:rPr>
        <w:lastRenderedPageBreak/>
        <w:t xml:space="preserve">quả kinh doanh, so sánh với </w:t>
      </w:r>
      <w:r w:rsidR="00385AFA" w:rsidRPr="00F22BA5">
        <w:rPr>
          <w:rFonts w:ascii="Times New Roman" w:hAnsi="Times New Roman" w:cs="Times New Roman"/>
          <w:sz w:val="26"/>
          <w:szCs w:val="26"/>
          <w:lang w:val="vi-VN"/>
        </w:rPr>
        <w:t>doanh nghiệp</w:t>
      </w:r>
      <w:r w:rsidRPr="00451383">
        <w:rPr>
          <w:rFonts w:ascii="Times New Roman" w:hAnsi="Times New Roman" w:cs="Times New Roman"/>
          <w:sz w:val="26"/>
          <w:szCs w:val="26"/>
          <w:lang w:val="vi-VN"/>
        </w:rPr>
        <w:t xml:space="preserve"> cùng ngành và thu hút nhà đầu tư trên thị trường chứng khoán.</w:t>
      </w:r>
    </w:p>
    <w:p w14:paraId="4713B265" w14:textId="795F244D" w:rsidR="008B5AD7" w:rsidRDefault="008B5AD7" w:rsidP="008B5AD7">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 xml:space="preserve">Bảng </w:t>
      </w:r>
      <w:r w:rsidR="00EB49DB" w:rsidRPr="00F22BA5">
        <w:rPr>
          <w:rFonts w:ascii="Times New Roman" w:hAnsi="Times New Roman" w:cs="Times New Roman"/>
          <w:b/>
          <w:sz w:val="26"/>
          <w:szCs w:val="26"/>
          <w:lang w:val="vi-VN"/>
        </w:rPr>
        <w:t>2.16</w:t>
      </w:r>
      <w:r w:rsidRPr="004A1CD3">
        <w:rPr>
          <w:rFonts w:ascii="Times New Roman" w:hAnsi="Times New Roman" w:cs="Times New Roman"/>
          <w:b/>
          <w:sz w:val="26"/>
          <w:szCs w:val="26"/>
          <w:lang w:val="vi-VN"/>
        </w:rPr>
        <w:t xml:space="preserve">. </w:t>
      </w:r>
      <w:r>
        <w:rPr>
          <w:rFonts w:ascii="Times New Roman" w:hAnsi="Times New Roman" w:cs="Times New Roman"/>
          <w:b/>
          <w:sz w:val="26"/>
          <w:szCs w:val="26"/>
          <w:lang w:val="vi-VN"/>
        </w:rPr>
        <w:t xml:space="preserve">Tỷ suất lợi nhuận sau thuế trên vốn kinh doanh </w:t>
      </w:r>
      <w:r w:rsidRPr="004A1CD3">
        <w:rPr>
          <w:rFonts w:ascii="Times New Roman" w:hAnsi="Times New Roman" w:cs="Times New Roman"/>
          <w:b/>
          <w:sz w:val="26"/>
          <w:szCs w:val="26"/>
          <w:lang w:val="vi-VN"/>
        </w:rPr>
        <w:t xml:space="preserve">của các CTCP </w:t>
      </w:r>
    </w:p>
    <w:p w14:paraId="34B2B698" w14:textId="4318BB21" w:rsidR="008B5AD7" w:rsidRPr="008B5AD7" w:rsidRDefault="008B5AD7" w:rsidP="008B5AD7">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niêm yết thuộc TKV</w:t>
      </w:r>
      <w:r>
        <w:rPr>
          <w:rFonts w:ascii="Times New Roman" w:hAnsi="Times New Roman" w:cs="Times New Roman"/>
          <w:b/>
          <w:sz w:val="26"/>
          <w:szCs w:val="26"/>
          <w:lang w:val="vi-VN"/>
        </w:rPr>
        <w:t xml:space="preserve"> giai đoạn 2019 – 2023</w:t>
      </w:r>
    </w:p>
    <w:tbl>
      <w:tblPr>
        <w:tblStyle w:val="TableGrid"/>
        <w:tblW w:w="9065" w:type="dxa"/>
        <w:tblInd w:w="-5" w:type="dxa"/>
        <w:tblLook w:val="04A0" w:firstRow="1" w:lastRow="0" w:firstColumn="1" w:lastColumn="0" w:noHBand="0" w:noVBand="1"/>
      </w:tblPr>
      <w:tblGrid>
        <w:gridCol w:w="907"/>
        <w:gridCol w:w="1483"/>
        <w:gridCol w:w="1030"/>
        <w:gridCol w:w="1019"/>
        <w:gridCol w:w="1105"/>
        <w:gridCol w:w="1105"/>
        <w:gridCol w:w="1019"/>
        <w:gridCol w:w="1397"/>
      </w:tblGrid>
      <w:tr w:rsidR="00AF3D5D" w:rsidRPr="001909AC" w14:paraId="7902E92E" w14:textId="77777777" w:rsidTr="00133F6A">
        <w:trPr>
          <w:trHeight w:val="250"/>
        </w:trPr>
        <w:tc>
          <w:tcPr>
            <w:tcW w:w="907" w:type="dxa"/>
            <w:tcBorders>
              <w:top w:val="single" w:sz="4" w:space="0" w:color="auto"/>
              <w:left w:val="single" w:sz="4" w:space="0" w:color="auto"/>
              <w:bottom w:val="single" w:sz="4" w:space="0" w:color="auto"/>
              <w:right w:val="single" w:sz="4" w:space="0" w:color="auto"/>
            </w:tcBorders>
            <w:vAlign w:val="center"/>
          </w:tcPr>
          <w:p w14:paraId="3B3C1E63" w14:textId="5729919D" w:rsidR="00AF3D5D" w:rsidRPr="001909AC" w:rsidRDefault="00AF3D5D" w:rsidP="00AF3D5D">
            <w:pPr>
              <w:spacing w:after="160" w:line="259" w:lineRule="auto"/>
              <w:jc w:val="center"/>
              <w:rPr>
                <w:rFonts w:ascii="Times New Roman" w:hAnsi="Times New Roman" w:cs="Times New Roman"/>
                <w:b/>
                <w:bCs/>
              </w:rPr>
            </w:pPr>
            <w:r>
              <w:rPr>
                <w:rFonts w:ascii="Times New Roman" w:hAnsi="Times New Roman" w:cs="Times New Roman"/>
                <w:b/>
                <w:bCs/>
              </w:rPr>
              <w:t>TT</w:t>
            </w:r>
          </w:p>
        </w:tc>
        <w:tc>
          <w:tcPr>
            <w:tcW w:w="1483" w:type="dxa"/>
            <w:tcBorders>
              <w:top w:val="single" w:sz="4" w:space="0" w:color="auto"/>
              <w:left w:val="single" w:sz="4" w:space="0" w:color="auto"/>
              <w:bottom w:val="single" w:sz="4" w:space="0" w:color="auto"/>
              <w:right w:val="single" w:sz="4" w:space="0" w:color="auto"/>
            </w:tcBorders>
            <w:vAlign w:val="center"/>
            <w:hideMark/>
          </w:tcPr>
          <w:p w14:paraId="7F080C4E" w14:textId="077BF6CA" w:rsidR="00AF3D5D" w:rsidRPr="001909AC" w:rsidRDefault="005D1700" w:rsidP="00133F6A">
            <w:pPr>
              <w:spacing w:after="160" w:line="259" w:lineRule="auto"/>
              <w:jc w:val="center"/>
              <w:rPr>
                <w:rFonts w:ascii="Times New Roman" w:hAnsi="Times New Roman" w:cs="Times New Roman"/>
                <w:b/>
                <w:bCs/>
              </w:rPr>
            </w:pPr>
            <w:r>
              <w:rPr>
                <w:rFonts w:ascii="Times New Roman" w:hAnsi="Times New Roman" w:cs="Times New Roman"/>
                <w:b/>
                <w:bCs/>
              </w:rPr>
              <w:t>Công ty</w:t>
            </w:r>
          </w:p>
        </w:tc>
        <w:tc>
          <w:tcPr>
            <w:tcW w:w="1030" w:type="dxa"/>
            <w:tcBorders>
              <w:top w:val="single" w:sz="4" w:space="0" w:color="auto"/>
              <w:left w:val="single" w:sz="4" w:space="0" w:color="auto"/>
              <w:bottom w:val="single" w:sz="4" w:space="0" w:color="auto"/>
              <w:right w:val="single" w:sz="4" w:space="0" w:color="auto"/>
            </w:tcBorders>
            <w:vAlign w:val="center"/>
            <w:hideMark/>
          </w:tcPr>
          <w:p w14:paraId="72CD04D1" w14:textId="77777777" w:rsidR="00AF3D5D" w:rsidRPr="001909AC" w:rsidRDefault="00AF3D5D" w:rsidP="00AF3D5D">
            <w:pPr>
              <w:spacing w:after="160" w:line="259" w:lineRule="auto"/>
              <w:jc w:val="center"/>
              <w:rPr>
                <w:rFonts w:ascii="Times New Roman" w:hAnsi="Times New Roman" w:cs="Times New Roman"/>
                <w:b/>
                <w:bCs/>
              </w:rPr>
            </w:pPr>
            <w:r w:rsidRPr="001909AC">
              <w:rPr>
                <w:rFonts w:ascii="Times New Roman" w:hAnsi="Times New Roman" w:cs="Times New Roman"/>
                <w:b/>
                <w:bCs/>
              </w:rPr>
              <w:t>2019</w:t>
            </w:r>
          </w:p>
        </w:tc>
        <w:tc>
          <w:tcPr>
            <w:tcW w:w="1019" w:type="dxa"/>
            <w:tcBorders>
              <w:top w:val="single" w:sz="4" w:space="0" w:color="auto"/>
              <w:left w:val="single" w:sz="4" w:space="0" w:color="auto"/>
              <w:bottom w:val="single" w:sz="4" w:space="0" w:color="auto"/>
              <w:right w:val="single" w:sz="4" w:space="0" w:color="auto"/>
            </w:tcBorders>
            <w:vAlign w:val="center"/>
            <w:hideMark/>
          </w:tcPr>
          <w:p w14:paraId="3E3EC920" w14:textId="77777777" w:rsidR="00AF3D5D" w:rsidRPr="001909AC" w:rsidRDefault="00AF3D5D" w:rsidP="00AF3D5D">
            <w:pPr>
              <w:spacing w:after="160" w:line="259" w:lineRule="auto"/>
              <w:jc w:val="center"/>
              <w:rPr>
                <w:rFonts w:ascii="Times New Roman" w:hAnsi="Times New Roman" w:cs="Times New Roman"/>
                <w:b/>
                <w:bCs/>
              </w:rPr>
            </w:pPr>
            <w:r w:rsidRPr="001909AC">
              <w:rPr>
                <w:rFonts w:ascii="Times New Roman" w:hAnsi="Times New Roman" w:cs="Times New Roman"/>
                <w:b/>
                <w:bCs/>
              </w:rPr>
              <w:t>2020</w:t>
            </w:r>
          </w:p>
        </w:tc>
        <w:tc>
          <w:tcPr>
            <w:tcW w:w="1105" w:type="dxa"/>
            <w:tcBorders>
              <w:top w:val="single" w:sz="4" w:space="0" w:color="auto"/>
              <w:left w:val="single" w:sz="4" w:space="0" w:color="auto"/>
              <w:bottom w:val="single" w:sz="4" w:space="0" w:color="auto"/>
              <w:right w:val="single" w:sz="4" w:space="0" w:color="auto"/>
            </w:tcBorders>
            <w:vAlign w:val="center"/>
            <w:hideMark/>
          </w:tcPr>
          <w:p w14:paraId="09B6AC91" w14:textId="77777777" w:rsidR="00AF3D5D" w:rsidRPr="001909AC" w:rsidRDefault="00AF3D5D" w:rsidP="00AF3D5D">
            <w:pPr>
              <w:spacing w:after="160" w:line="259" w:lineRule="auto"/>
              <w:jc w:val="center"/>
              <w:rPr>
                <w:rFonts w:ascii="Times New Roman" w:hAnsi="Times New Roman" w:cs="Times New Roman"/>
                <w:b/>
                <w:bCs/>
              </w:rPr>
            </w:pPr>
            <w:r w:rsidRPr="001909AC">
              <w:rPr>
                <w:rFonts w:ascii="Times New Roman" w:hAnsi="Times New Roman" w:cs="Times New Roman"/>
                <w:b/>
                <w:bCs/>
              </w:rPr>
              <w:t>2021</w:t>
            </w:r>
          </w:p>
        </w:tc>
        <w:tc>
          <w:tcPr>
            <w:tcW w:w="1105" w:type="dxa"/>
            <w:tcBorders>
              <w:top w:val="single" w:sz="4" w:space="0" w:color="auto"/>
              <w:left w:val="single" w:sz="4" w:space="0" w:color="auto"/>
              <w:bottom w:val="single" w:sz="4" w:space="0" w:color="auto"/>
              <w:right w:val="single" w:sz="4" w:space="0" w:color="auto"/>
            </w:tcBorders>
            <w:vAlign w:val="center"/>
            <w:hideMark/>
          </w:tcPr>
          <w:p w14:paraId="4006E548" w14:textId="77777777" w:rsidR="00AF3D5D" w:rsidRPr="001909AC" w:rsidRDefault="00AF3D5D" w:rsidP="00AF3D5D">
            <w:pPr>
              <w:spacing w:after="160" w:line="259" w:lineRule="auto"/>
              <w:jc w:val="center"/>
              <w:rPr>
                <w:rFonts w:ascii="Times New Roman" w:hAnsi="Times New Roman" w:cs="Times New Roman"/>
                <w:b/>
                <w:bCs/>
              </w:rPr>
            </w:pPr>
            <w:r w:rsidRPr="001909AC">
              <w:rPr>
                <w:rFonts w:ascii="Times New Roman" w:hAnsi="Times New Roman" w:cs="Times New Roman"/>
                <w:b/>
                <w:bCs/>
              </w:rPr>
              <w:t>2022</w:t>
            </w:r>
          </w:p>
        </w:tc>
        <w:tc>
          <w:tcPr>
            <w:tcW w:w="1019" w:type="dxa"/>
            <w:tcBorders>
              <w:top w:val="single" w:sz="4" w:space="0" w:color="auto"/>
              <w:left w:val="single" w:sz="4" w:space="0" w:color="auto"/>
              <w:bottom w:val="single" w:sz="4" w:space="0" w:color="auto"/>
              <w:right w:val="single" w:sz="4" w:space="0" w:color="auto"/>
            </w:tcBorders>
            <w:vAlign w:val="center"/>
            <w:hideMark/>
          </w:tcPr>
          <w:p w14:paraId="6396D43F" w14:textId="77777777" w:rsidR="00AF3D5D" w:rsidRPr="001909AC" w:rsidRDefault="00AF3D5D" w:rsidP="00AF3D5D">
            <w:pPr>
              <w:spacing w:after="160" w:line="259" w:lineRule="auto"/>
              <w:jc w:val="center"/>
              <w:rPr>
                <w:rFonts w:ascii="Times New Roman" w:hAnsi="Times New Roman" w:cs="Times New Roman"/>
                <w:b/>
                <w:bCs/>
              </w:rPr>
            </w:pPr>
            <w:r w:rsidRPr="001909AC">
              <w:rPr>
                <w:rFonts w:ascii="Times New Roman" w:hAnsi="Times New Roman" w:cs="Times New Roman"/>
                <w:b/>
                <w:bCs/>
              </w:rPr>
              <w:t>2023</w:t>
            </w:r>
          </w:p>
        </w:tc>
        <w:tc>
          <w:tcPr>
            <w:tcW w:w="1397" w:type="dxa"/>
            <w:tcBorders>
              <w:top w:val="single" w:sz="4" w:space="0" w:color="auto"/>
              <w:left w:val="single" w:sz="4" w:space="0" w:color="auto"/>
              <w:bottom w:val="single" w:sz="4" w:space="0" w:color="auto"/>
              <w:right w:val="single" w:sz="4" w:space="0" w:color="auto"/>
            </w:tcBorders>
            <w:vAlign w:val="center"/>
          </w:tcPr>
          <w:p w14:paraId="2C594D9A" w14:textId="77777777" w:rsidR="00AF3D5D" w:rsidRPr="00B20C2C" w:rsidRDefault="00AF3D5D" w:rsidP="00AF3D5D">
            <w:pPr>
              <w:jc w:val="center"/>
              <w:rPr>
                <w:rFonts w:ascii="Times New Roman" w:hAnsi="Times New Roman" w:cs="Times New Roman"/>
                <w:b/>
                <w:bCs/>
              </w:rPr>
            </w:pPr>
            <w:r>
              <w:rPr>
                <w:rFonts w:ascii="Times New Roman" w:hAnsi="Times New Roman" w:cs="Times New Roman"/>
                <w:b/>
                <w:bCs/>
              </w:rPr>
              <w:t>Bình quân</w:t>
            </w:r>
          </w:p>
        </w:tc>
      </w:tr>
      <w:tr w:rsidR="005D1700" w:rsidRPr="001909AC" w14:paraId="58A4FD94" w14:textId="77777777" w:rsidTr="00133F6A">
        <w:trPr>
          <w:trHeight w:val="270"/>
        </w:trPr>
        <w:tc>
          <w:tcPr>
            <w:tcW w:w="907" w:type="dxa"/>
            <w:tcBorders>
              <w:top w:val="single" w:sz="4" w:space="0" w:color="auto"/>
              <w:left w:val="single" w:sz="4" w:space="0" w:color="auto"/>
              <w:bottom w:val="single" w:sz="4" w:space="0" w:color="auto"/>
              <w:right w:val="single" w:sz="4" w:space="0" w:color="auto"/>
            </w:tcBorders>
            <w:vAlign w:val="center"/>
          </w:tcPr>
          <w:p w14:paraId="56F26CFB" w14:textId="40947257"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1</w:t>
            </w:r>
          </w:p>
        </w:tc>
        <w:tc>
          <w:tcPr>
            <w:tcW w:w="1483" w:type="dxa"/>
            <w:tcBorders>
              <w:top w:val="single" w:sz="4" w:space="0" w:color="auto"/>
              <w:left w:val="single" w:sz="4" w:space="0" w:color="auto"/>
              <w:bottom w:val="single" w:sz="4" w:space="0" w:color="auto"/>
              <w:right w:val="single" w:sz="4" w:space="0" w:color="auto"/>
            </w:tcBorders>
            <w:vAlign w:val="center"/>
            <w:hideMark/>
          </w:tcPr>
          <w:p w14:paraId="7FB87A8D" w14:textId="402B8156" w:rsidR="005D1700" w:rsidRPr="001909AC" w:rsidRDefault="005D1700"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TVD</w:t>
            </w:r>
          </w:p>
        </w:tc>
        <w:tc>
          <w:tcPr>
            <w:tcW w:w="1030" w:type="dxa"/>
            <w:tcBorders>
              <w:top w:val="single" w:sz="4" w:space="0" w:color="auto"/>
              <w:left w:val="single" w:sz="4" w:space="0" w:color="auto"/>
              <w:bottom w:val="single" w:sz="4" w:space="0" w:color="auto"/>
              <w:right w:val="single" w:sz="4" w:space="0" w:color="auto"/>
            </w:tcBorders>
            <w:vAlign w:val="center"/>
            <w:hideMark/>
          </w:tcPr>
          <w:p w14:paraId="63426257"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2,34%</w:t>
            </w:r>
          </w:p>
        </w:tc>
        <w:tc>
          <w:tcPr>
            <w:tcW w:w="1019" w:type="dxa"/>
            <w:tcBorders>
              <w:top w:val="single" w:sz="4" w:space="0" w:color="auto"/>
              <w:left w:val="single" w:sz="4" w:space="0" w:color="auto"/>
              <w:bottom w:val="single" w:sz="4" w:space="0" w:color="auto"/>
              <w:right w:val="single" w:sz="4" w:space="0" w:color="auto"/>
            </w:tcBorders>
            <w:vAlign w:val="center"/>
            <w:hideMark/>
          </w:tcPr>
          <w:p w14:paraId="04C38BD6"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2,46%</w:t>
            </w:r>
          </w:p>
        </w:tc>
        <w:tc>
          <w:tcPr>
            <w:tcW w:w="1105" w:type="dxa"/>
            <w:tcBorders>
              <w:top w:val="single" w:sz="4" w:space="0" w:color="auto"/>
              <w:left w:val="single" w:sz="4" w:space="0" w:color="auto"/>
              <w:bottom w:val="single" w:sz="4" w:space="0" w:color="auto"/>
              <w:right w:val="single" w:sz="4" w:space="0" w:color="auto"/>
            </w:tcBorders>
            <w:vAlign w:val="center"/>
            <w:hideMark/>
          </w:tcPr>
          <w:p w14:paraId="5CD83741"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4,31%</w:t>
            </w:r>
          </w:p>
        </w:tc>
        <w:tc>
          <w:tcPr>
            <w:tcW w:w="1105" w:type="dxa"/>
            <w:tcBorders>
              <w:top w:val="single" w:sz="4" w:space="0" w:color="auto"/>
              <w:left w:val="single" w:sz="4" w:space="0" w:color="auto"/>
              <w:bottom w:val="single" w:sz="4" w:space="0" w:color="auto"/>
              <w:right w:val="single" w:sz="4" w:space="0" w:color="auto"/>
            </w:tcBorders>
            <w:vAlign w:val="center"/>
            <w:hideMark/>
          </w:tcPr>
          <w:p w14:paraId="6DCCA063"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6,52%</w:t>
            </w:r>
          </w:p>
        </w:tc>
        <w:tc>
          <w:tcPr>
            <w:tcW w:w="1019" w:type="dxa"/>
            <w:tcBorders>
              <w:top w:val="single" w:sz="4" w:space="0" w:color="auto"/>
              <w:left w:val="single" w:sz="4" w:space="0" w:color="auto"/>
              <w:bottom w:val="single" w:sz="4" w:space="0" w:color="auto"/>
              <w:right w:val="single" w:sz="4" w:space="0" w:color="auto"/>
            </w:tcBorders>
            <w:vAlign w:val="center"/>
            <w:hideMark/>
          </w:tcPr>
          <w:p w14:paraId="5E31E5C2"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6,50%</w:t>
            </w:r>
          </w:p>
        </w:tc>
        <w:tc>
          <w:tcPr>
            <w:tcW w:w="1397" w:type="dxa"/>
            <w:tcBorders>
              <w:top w:val="single" w:sz="4" w:space="0" w:color="auto"/>
              <w:left w:val="single" w:sz="4" w:space="0" w:color="auto"/>
              <w:bottom w:val="single" w:sz="4" w:space="0" w:color="auto"/>
              <w:right w:val="single" w:sz="4" w:space="0" w:color="auto"/>
            </w:tcBorders>
            <w:vAlign w:val="center"/>
          </w:tcPr>
          <w:p w14:paraId="3B481D9E" w14:textId="77777777" w:rsidR="005D1700" w:rsidRPr="00B20C2C" w:rsidRDefault="005D1700" w:rsidP="005D1700">
            <w:pPr>
              <w:jc w:val="center"/>
              <w:rPr>
                <w:rFonts w:ascii="Times New Roman" w:hAnsi="Times New Roman" w:cs="Times New Roman"/>
              </w:rPr>
            </w:pPr>
            <w:r>
              <w:rPr>
                <w:rFonts w:ascii="Times New Roman" w:hAnsi="Times New Roman" w:cs="Times New Roman"/>
              </w:rPr>
              <w:t>4,43%</w:t>
            </w:r>
          </w:p>
        </w:tc>
      </w:tr>
      <w:tr w:rsidR="005D1700" w:rsidRPr="001909AC" w14:paraId="4966EF21" w14:textId="77777777" w:rsidTr="00133F6A">
        <w:trPr>
          <w:trHeight w:val="250"/>
        </w:trPr>
        <w:tc>
          <w:tcPr>
            <w:tcW w:w="907" w:type="dxa"/>
            <w:tcBorders>
              <w:top w:val="single" w:sz="4" w:space="0" w:color="auto"/>
              <w:left w:val="single" w:sz="4" w:space="0" w:color="auto"/>
              <w:bottom w:val="single" w:sz="4" w:space="0" w:color="auto"/>
              <w:right w:val="single" w:sz="4" w:space="0" w:color="auto"/>
            </w:tcBorders>
            <w:vAlign w:val="center"/>
          </w:tcPr>
          <w:p w14:paraId="4D700FB8" w14:textId="2A865350"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2</w:t>
            </w:r>
          </w:p>
        </w:tc>
        <w:tc>
          <w:tcPr>
            <w:tcW w:w="1483" w:type="dxa"/>
            <w:tcBorders>
              <w:top w:val="single" w:sz="4" w:space="0" w:color="auto"/>
              <w:left w:val="single" w:sz="4" w:space="0" w:color="auto"/>
              <w:bottom w:val="single" w:sz="4" w:space="0" w:color="auto"/>
              <w:right w:val="single" w:sz="4" w:space="0" w:color="auto"/>
            </w:tcBorders>
            <w:vAlign w:val="center"/>
            <w:hideMark/>
          </w:tcPr>
          <w:p w14:paraId="4CA10609" w14:textId="01F46ACD" w:rsidR="005D1700" w:rsidRPr="001909AC" w:rsidRDefault="005D1700"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MDC</w:t>
            </w:r>
          </w:p>
        </w:tc>
        <w:tc>
          <w:tcPr>
            <w:tcW w:w="1030" w:type="dxa"/>
            <w:tcBorders>
              <w:top w:val="single" w:sz="4" w:space="0" w:color="auto"/>
              <w:left w:val="single" w:sz="4" w:space="0" w:color="auto"/>
              <w:bottom w:val="single" w:sz="4" w:space="0" w:color="auto"/>
              <w:right w:val="single" w:sz="4" w:space="0" w:color="auto"/>
            </w:tcBorders>
            <w:vAlign w:val="center"/>
            <w:hideMark/>
          </w:tcPr>
          <w:p w14:paraId="587156FE"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1,78%</w:t>
            </w:r>
          </w:p>
        </w:tc>
        <w:tc>
          <w:tcPr>
            <w:tcW w:w="1019" w:type="dxa"/>
            <w:tcBorders>
              <w:top w:val="single" w:sz="4" w:space="0" w:color="auto"/>
              <w:left w:val="nil"/>
              <w:bottom w:val="single" w:sz="4" w:space="0" w:color="auto"/>
              <w:right w:val="single" w:sz="4" w:space="0" w:color="auto"/>
            </w:tcBorders>
            <w:vAlign w:val="center"/>
            <w:hideMark/>
          </w:tcPr>
          <w:p w14:paraId="0F23324E"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1,99%</w:t>
            </w:r>
          </w:p>
        </w:tc>
        <w:tc>
          <w:tcPr>
            <w:tcW w:w="1105" w:type="dxa"/>
            <w:tcBorders>
              <w:top w:val="single" w:sz="4" w:space="0" w:color="auto"/>
              <w:left w:val="nil"/>
              <w:bottom w:val="single" w:sz="4" w:space="0" w:color="auto"/>
              <w:right w:val="single" w:sz="4" w:space="0" w:color="auto"/>
            </w:tcBorders>
            <w:vAlign w:val="center"/>
            <w:hideMark/>
          </w:tcPr>
          <w:p w14:paraId="544DA09E"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2,55%</w:t>
            </w:r>
          </w:p>
        </w:tc>
        <w:tc>
          <w:tcPr>
            <w:tcW w:w="1105" w:type="dxa"/>
            <w:tcBorders>
              <w:top w:val="single" w:sz="4" w:space="0" w:color="auto"/>
              <w:left w:val="nil"/>
              <w:bottom w:val="single" w:sz="4" w:space="0" w:color="auto"/>
              <w:right w:val="single" w:sz="4" w:space="0" w:color="auto"/>
            </w:tcBorders>
            <w:vAlign w:val="center"/>
            <w:hideMark/>
          </w:tcPr>
          <w:p w14:paraId="4117B5C6"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6,20%</w:t>
            </w:r>
          </w:p>
        </w:tc>
        <w:tc>
          <w:tcPr>
            <w:tcW w:w="1019" w:type="dxa"/>
            <w:tcBorders>
              <w:top w:val="single" w:sz="4" w:space="0" w:color="auto"/>
              <w:left w:val="nil"/>
              <w:bottom w:val="single" w:sz="4" w:space="0" w:color="auto"/>
              <w:right w:val="single" w:sz="4" w:space="0" w:color="auto"/>
            </w:tcBorders>
            <w:vAlign w:val="center"/>
            <w:hideMark/>
          </w:tcPr>
          <w:p w14:paraId="45A547BE"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4,82%</w:t>
            </w:r>
          </w:p>
        </w:tc>
        <w:tc>
          <w:tcPr>
            <w:tcW w:w="1397" w:type="dxa"/>
            <w:tcBorders>
              <w:top w:val="single" w:sz="4" w:space="0" w:color="auto"/>
              <w:left w:val="nil"/>
              <w:bottom w:val="single" w:sz="4" w:space="0" w:color="auto"/>
              <w:right w:val="single" w:sz="4" w:space="0" w:color="auto"/>
            </w:tcBorders>
            <w:vAlign w:val="center"/>
          </w:tcPr>
          <w:p w14:paraId="70BE238E" w14:textId="77777777" w:rsidR="005D1700" w:rsidRPr="00B20C2C" w:rsidRDefault="005D1700" w:rsidP="005D1700">
            <w:pPr>
              <w:jc w:val="center"/>
              <w:rPr>
                <w:rFonts w:ascii="Times New Roman" w:hAnsi="Times New Roman" w:cs="Times New Roman"/>
              </w:rPr>
            </w:pPr>
            <w:r>
              <w:rPr>
                <w:rFonts w:ascii="Times New Roman" w:hAnsi="Times New Roman" w:cs="Times New Roman"/>
              </w:rPr>
              <w:t>3,47%</w:t>
            </w:r>
          </w:p>
        </w:tc>
      </w:tr>
      <w:tr w:rsidR="005D1700" w:rsidRPr="001909AC" w14:paraId="3B4D2FA4" w14:textId="77777777" w:rsidTr="00133F6A">
        <w:trPr>
          <w:trHeight w:val="288"/>
        </w:trPr>
        <w:tc>
          <w:tcPr>
            <w:tcW w:w="907" w:type="dxa"/>
            <w:tcBorders>
              <w:top w:val="single" w:sz="4" w:space="0" w:color="auto"/>
              <w:left w:val="single" w:sz="4" w:space="0" w:color="auto"/>
              <w:bottom w:val="single" w:sz="4" w:space="0" w:color="auto"/>
              <w:right w:val="single" w:sz="4" w:space="0" w:color="auto"/>
            </w:tcBorders>
            <w:vAlign w:val="center"/>
          </w:tcPr>
          <w:p w14:paraId="34571271" w14:textId="38AECAF1"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3</w:t>
            </w:r>
          </w:p>
        </w:tc>
        <w:tc>
          <w:tcPr>
            <w:tcW w:w="1483" w:type="dxa"/>
            <w:tcBorders>
              <w:top w:val="single" w:sz="4" w:space="0" w:color="auto"/>
              <w:left w:val="single" w:sz="4" w:space="0" w:color="auto"/>
              <w:bottom w:val="single" w:sz="4" w:space="0" w:color="auto"/>
              <w:right w:val="single" w:sz="4" w:space="0" w:color="auto"/>
            </w:tcBorders>
            <w:vAlign w:val="center"/>
            <w:hideMark/>
          </w:tcPr>
          <w:p w14:paraId="0CF0983D" w14:textId="7BEB817E" w:rsidR="005D1700" w:rsidRPr="001909AC" w:rsidRDefault="005D1700"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HLC</w:t>
            </w:r>
          </w:p>
        </w:tc>
        <w:tc>
          <w:tcPr>
            <w:tcW w:w="1030" w:type="dxa"/>
            <w:tcBorders>
              <w:top w:val="single" w:sz="4" w:space="0" w:color="auto"/>
              <w:left w:val="single" w:sz="4" w:space="0" w:color="auto"/>
              <w:bottom w:val="single" w:sz="4" w:space="0" w:color="auto"/>
              <w:right w:val="single" w:sz="4" w:space="0" w:color="auto"/>
            </w:tcBorders>
            <w:vAlign w:val="center"/>
            <w:hideMark/>
          </w:tcPr>
          <w:p w14:paraId="050D0812"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1,52%</w:t>
            </w:r>
          </w:p>
        </w:tc>
        <w:tc>
          <w:tcPr>
            <w:tcW w:w="1019" w:type="dxa"/>
            <w:tcBorders>
              <w:top w:val="single" w:sz="4" w:space="0" w:color="auto"/>
              <w:left w:val="single" w:sz="4" w:space="0" w:color="auto"/>
              <w:bottom w:val="single" w:sz="4" w:space="0" w:color="auto"/>
              <w:right w:val="single" w:sz="4" w:space="0" w:color="auto"/>
            </w:tcBorders>
            <w:vAlign w:val="center"/>
            <w:hideMark/>
          </w:tcPr>
          <w:p w14:paraId="5FFB5EF2"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1,20%</w:t>
            </w:r>
          </w:p>
        </w:tc>
        <w:tc>
          <w:tcPr>
            <w:tcW w:w="1105" w:type="dxa"/>
            <w:tcBorders>
              <w:top w:val="single" w:sz="4" w:space="0" w:color="auto"/>
              <w:left w:val="single" w:sz="4" w:space="0" w:color="auto"/>
              <w:bottom w:val="single" w:sz="4" w:space="0" w:color="auto"/>
              <w:right w:val="single" w:sz="4" w:space="0" w:color="auto"/>
            </w:tcBorders>
            <w:vAlign w:val="center"/>
            <w:hideMark/>
          </w:tcPr>
          <w:p w14:paraId="497663E6"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2,43%</w:t>
            </w:r>
          </w:p>
        </w:tc>
        <w:tc>
          <w:tcPr>
            <w:tcW w:w="1105" w:type="dxa"/>
            <w:tcBorders>
              <w:top w:val="single" w:sz="4" w:space="0" w:color="auto"/>
              <w:left w:val="single" w:sz="4" w:space="0" w:color="auto"/>
              <w:bottom w:val="single" w:sz="4" w:space="0" w:color="auto"/>
              <w:right w:val="single" w:sz="4" w:space="0" w:color="auto"/>
            </w:tcBorders>
            <w:vAlign w:val="center"/>
            <w:hideMark/>
          </w:tcPr>
          <w:p w14:paraId="5DE33D4E"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2,75%</w:t>
            </w:r>
          </w:p>
        </w:tc>
        <w:tc>
          <w:tcPr>
            <w:tcW w:w="1019" w:type="dxa"/>
            <w:tcBorders>
              <w:top w:val="single" w:sz="4" w:space="0" w:color="auto"/>
              <w:left w:val="single" w:sz="4" w:space="0" w:color="auto"/>
              <w:bottom w:val="single" w:sz="4" w:space="0" w:color="auto"/>
              <w:right w:val="single" w:sz="4" w:space="0" w:color="auto"/>
            </w:tcBorders>
            <w:vAlign w:val="center"/>
            <w:hideMark/>
          </w:tcPr>
          <w:p w14:paraId="71B3AF80"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4,41%</w:t>
            </w:r>
          </w:p>
        </w:tc>
        <w:tc>
          <w:tcPr>
            <w:tcW w:w="1397" w:type="dxa"/>
            <w:tcBorders>
              <w:top w:val="single" w:sz="4" w:space="0" w:color="auto"/>
              <w:left w:val="single" w:sz="4" w:space="0" w:color="auto"/>
              <w:bottom w:val="single" w:sz="4" w:space="0" w:color="auto"/>
              <w:right w:val="single" w:sz="4" w:space="0" w:color="auto"/>
            </w:tcBorders>
            <w:vAlign w:val="center"/>
          </w:tcPr>
          <w:p w14:paraId="1560BD5C" w14:textId="77777777" w:rsidR="005D1700" w:rsidRPr="00B20C2C" w:rsidRDefault="005D1700" w:rsidP="005D1700">
            <w:pPr>
              <w:jc w:val="center"/>
              <w:rPr>
                <w:rFonts w:ascii="Times New Roman" w:hAnsi="Times New Roman" w:cs="Times New Roman"/>
              </w:rPr>
            </w:pPr>
            <w:r>
              <w:rPr>
                <w:rFonts w:ascii="Times New Roman" w:hAnsi="Times New Roman" w:cs="Times New Roman"/>
              </w:rPr>
              <w:t>2,46%</w:t>
            </w:r>
          </w:p>
        </w:tc>
      </w:tr>
      <w:tr w:rsidR="005D1700" w:rsidRPr="001909AC" w14:paraId="3AF8ABFE" w14:textId="77777777" w:rsidTr="00133F6A">
        <w:trPr>
          <w:trHeight w:val="250"/>
        </w:trPr>
        <w:tc>
          <w:tcPr>
            <w:tcW w:w="907" w:type="dxa"/>
            <w:tcBorders>
              <w:top w:val="single" w:sz="4" w:space="0" w:color="auto"/>
              <w:left w:val="single" w:sz="4" w:space="0" w:color="auto"/>
              <w:bottom w:val="single" w:sz="4" w:space="0" w:color="auto"/>
              <w:right w:val="single" w:sz="4" w:space="0" w:color="auto"/>
            </w:tcBorders>
            <w:vAlign w:val="center"/>
          </w:tcPr>
          <w:p w14:paraId="2EB9AD9D" w14:textId="47F93DCE"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4</w:t>
            </w:r>
          </w:p>
        </w:tc>
        <w:tc>
          <w:tcPr>
            <w:tcW w:w="1483" w:type="dxa"/>
            <w:tcBorders>
              <w:top w:val="single" w:sz="4" w:space="0" w:color="auto"/>
              <w:left w:val="single" w:sz="4" w:space="0" w:color="auto"/>
              <w:bottom w:val="single" w:sz="4" w:space="0" w:color="auto"/>
              <w:right w:val="single" w:sz="4" w:space="0" w:color="auto"/>
            </w:tcBorders>
            <w:vAlign w:val="center"/>
            <w:hideMark/>
          </w:tcPr>
          <w:p w14:paraId="1B29696B" w14:textId="1A5DCE0D" w:rsidR="005D1700" w:rsidRPr="001909AC" w:rsidRDefault="005D1700"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THT</w:t>
            </w:r>
          </w:p>
        </w:tc>
        <w:tc>
          <w:tcPr>
            <w:tcW w:w="1030" w:type="dxa"/>
            <w:tcBorders>
              <w:top w:val="single" w:sz="4" w:space="0" w:color="auto"/>
              <w:left w:val="single" w:sz="4" w:space="0" w:color="auto"/>
              <w:bottom w:val="single" w:sz="4" w:space="0" w:color="auto"/>
              <w:right w:val="single" w:sz="4" w:space="0" w:color="auto"/>
            </w:tcBorders>
            <w:vAlign w:val="center"/>
            <w:hideMark/>
          </w:tcPr>
          <w:p w14:paraId="1EBDE240"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4,5%</w:t>
            </w:r>
          </w:p>
        </w:tc>
        <w:tc>
          <w:tcPr>
            <w:tcW w:w="1019" w:type="dxa"/>
            <w:tcBorders>
              <w:top w:val="single" w:sz="4" w:space="0" w:color="auto"/>
              <w:left w:val="single" w:sz="4" w:space="0" w:color="auto"/>
              <w:bottom w:val="single" w:sz="4" w:space="0" w:color="auto"/>
              <w:right w:val="single" w:sz="4" w:space="0" w:color="auto"/>
            </w:tcBorders>
            <w:vAlign w:val="center"/>
            <w:hideMark/>
          </w:tcPr>
          <w:p w14:paraId="759D6373" w14:textId="77777777" w:rsidR="005D1700" w:rsidRPr="001909AC" w:rsidRDefault="005D1700" w:rsidP="005D1700">
            <w:pPr>
              <w:spacing w:after="160" w:line="259" w:lineRule="auto"/>
              <w:jc w:val="center"/>
              <w:rPr>
                <w:rFonts w:ascii="Times New Roman" w:hAnsi="Times New Roman" w:cs="Times New Roman"/>
                <w:b/>
                <w:bCs/>
              </w:rPr>
            </w:pPr>
            <w:r w:rsidRPr="001909AC">
              <w:rPr>
                <w:rFonts w:ascii="Times New Roman" w:hAnsi="Times New Roman" w:cs="Times New Roman"/>
              </w:rPr>
              <w:t>2,04%</w:t>
            </w:r>
          </w:p>
        </w:tc>
        <w:tc>
          <w:tcPr>
            <w:tcW w:w="1105" w:type="dxa"/>
            <w:tcBorders>
              <w:top w:val="single" w:sz="4" w:space="0" w:color="auto"/>
              <w:left w:val="single" w:sz="4" w:space="0" w:color="auto"/>
              <w:bottom w:val="single" w:sz="4" w:space="0" w:color="auto"/>
              <w:right w:val="single" w:sz="4" w:space="0" w:color="auto"/>
            </w:tcBorders>
            <w:vAlign w:val="center"/>
            <w:hideMark/>
          </w:tcPr>
          <w:p w14:paraId="31FD2771"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2,41%</w:t>
            </w:r>
          </w:p>
        </w:tc>
        <w:tc>
          <w:tcPr>
            <w:tcW w:w="1105" w:type="dxa"/>
            <w:tcBorders>
              <w:top w:val="single" w:sz="4" w:space="0" w:color="auto"/>
              <w:left w:val="single" w:sz="4" w:space="0" w:color="auto"/>
              <w:bottom w:val="single" w:sz="4" w:space="0" w:color="auto"/>
              <w:right w:val="single" w:sz="4" w:space="0" w:color="auto"/>
            </w:tcBorders>
            <w:vAlign w:val="center"/>
            <w:hideMark/>
          </w:tcPr>
          <w:p w14:paraId="57DEECD8"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4,36%</w:t>
            </w:r>
          </w:p>
        </w:tc>
        <w:tc>
          <w:tcPr>
            <w:tcW w:w="1019" w:type="dxa"/>
            <w:tcBorders>
              <w:top w:val="single" w:sz="4" w:space="0" w:color="auto"/>
              <w:left w:val="single" w:sz="4" w:space="0" w:color="auto"/>
              <w:bottom w:val="single" w:sz="4" w:space="0" w:color="auto"/>
              <w:right w:val="single" w:sz="4" w:space="0" w:color="auto"/>
            </w:tcBorders>
            <w:vAlign w:val="center"/>
            <w:hideMark/>
          </w:tcPr>
          <w:p w14:paraId="1E310FA9"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4,42%</w:t>
            </w:r>
          </w:p>
        </w:tc>
        <w:tc>
          <w:tcPr>
            <w:tcW w:w="1397" w:type="dxa"/>
            <w:tcBorders>
              <w:top w:val="single" w:sz="4" w:space="0" w:color="auto"/>
              <w:left w:val="single" w:sz="4" w:space="0" w:color="auto"/>
              <w:bottom w:val="single" w:sz="4" w:space="0" w:color="auto"/>
              <w:right w:val="single" w:sz="4" w:space="0" w:color="auto"/>
            </w:tcBorders>
            <w:vAlign w:val="center"/>
          </w:tcPr>
          <w:p w14:paraId="5B327D2A" w14:textId="77777777" w:rsidR="005D1700" w:rsidRPr="00B20C2C" w:rsidRDefault="005D1700" w:rsidP="005D1700">
            <w:pPr>
              <w:jc w:val="center"/>
              <w:rPr>
                <w:rFonts w:ascii="Times New Roman" w:hAnsi="Times New Roman" w:cs="Times New Roman"/>
              </w:rPr>
            </w:pPr>
            <w:r>
              <w:rPr>
                <w:rFonts w:ascii="Times New Roman" w:hAnsi="Times New Roman" w:cs="Times New Roman"/>
              </w:rPr>
              <w:t>3,55%</w:t>
            </w:r>
          </w:p>
        </w:tc>
      </w:tr>
      <w:tr w:rsidR="005D1700" w:rsidRPr="001909AC" w14:paraId="22BC638F" w14:textId="77777777" w:rsidTr="00133F6A">
        <w:trPr>
          <w:trHeight w:val="250"/>
        </w:trPr>
        <w:tc>
          <w:tcPr>
            <w:tcW w:w="907" w:type="dxa"/>
            <w:tcBorders>
              <w:top w:val="single" w:sz="4" w:space="0" w:color="auto"/>
              <w:left w:val="single" w:sz="4" w:space="0" w:color="auto"/>
              <w:bottom w:val="single" w:sz="4" w:space="0" w:color="auto"/>
              <w:right w:val="single" w:sz="4" w:space="0" w:color="auto"/>
            </w:tcBorders>
            <w:vAlign w:val="center"/>
          </w:tcPr>
          <w:p w14:paraId="348EBEE7" w14:textId="29ED18FD" w:rsidR="005D1700" w:rsidRPr="001909AC" w:rsidRDefault="005D1700" w:rsidP="005D1700">
            <w:pPr>
              <w:spacing w:after="160" w:line="259" w:lineRule="auto"/>
              <w:jc w:val="center"/>
              <w:rPr>
                <w:rFonts w:ascii="Times New Roman" w:hAnsi="Times New Roman" w:cs="Times New Roman"/>
                <w:b/>
                <w:bCs/>
              </w:rPr>
            </w:pPr>
            <w:r>
              <w:rPr>
                <w:rFonts w:ascii="Times New Roman" w:hAnsi="Times New Roman" w:cs="Times New Roman"/>
                <w:b/>
                <w:bCs/>
              </w:rPr>
              <w:t>5</w:t>
            </w:r>
          </w:p>
        </w:tc>
        <w:tc>
          <w:tcPr>
            <w:tcW w:w="1483" w:type="dxa"/>
            <w:tcBorders>
              <w:top w:val="single" w:sz="4" w:space="0" w:color="auto"/>
              <w:left w:val="single" w:sz="4" w:space="0" w:color="auto"/>
              <w:bottom w:val="single" w:sz="4" w:space="0" w:color="auto"/>
              <w:right w:val="single" w:sz="4" w:space="0" w:color="auto"/>
            </w:tcBorders>
            <w:vAlign w:val="center"/>
            <w:hideMark/>
          </w:tcPr>
          <w:p w14:paraId="70EB1326" w14:textId="4708F12F" w:rsidR="005D1700" w:rsidRPr="001909AC" w:rsidRDefault="005D1700"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NBC</w:t>
            </w:r>
          </w:p>
        </w:tc>
        <w:tc>
          <w:tcPr>
            <w:tcW w:w="1030" w:type="dxa"/>
            <w:tcBorders>
              <w:top w:val="single" w:sz="4" w:space="0" w:color="auto"/>
              <w:left w:val="single" w:sz="4" w:space="0" w:color="auto"/>
              <w:bottom w:val="single" w:sz="4" w:space="0" w:color="auto"/>
              <w:right w:val="single" w:sz="4" w:space="0" w:color="auto"/>
            </w:tcBorders>
            <w:vAlign w:val="center"/>
            <w:hideMark/>
          </w:tcPr>
          <w:p w14:paraId="054A9DE2"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0,83%</w:t>
            </w:r>
          </w:p>
        </w:tc>
        <w:tc>
          <w:tcPr>
            <w:tcW w:w="1019" w:type="dxa"/>
            <w:tcBorders>
              <w:top w:val="single" w:sz="4" w:space="0" w:color="auto"/>
              <w:left w:val="single" w:sz="4" w:space="0" w:color="auto"/>
              <w:bottom w:val="single" w:sz="4" w:space="0" w:color="auto"/>
              <w:right w:val="single" w:sz="4" w:space="0" w:color="auto"/>
            </w:tcBorders>
            <w:vAlign w:val="center"/>
            <w:hideMark/>
          </w:tcPr>
          <w:p w14:paraId="1A978AFF"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1,30%</w:t>
            </w:r>
          </w:p>
        </w:tc>
        <w:tc>
          <w:tcPr>
            <w:tcW w:w="1105" w:type="dxa"/>
            <w:tcBorders>
              <w:top w:val="single" w:sz="4" w:space="0" w:color="auto"/>
              <w:left w:val="single" w:sz="4" w:space="0" w:color="auto"/>
              <w:bottom w:val="single" w:sz="4" w:space="0" w:color="auto"/>
              <w:right w:val="single" w:sz="4" w:space="0" w:color="auto"/>
            </w:tcBorders>
            <w:vAlign w:val="center"/>
            <w:hideMark/>
          </w:tcPr>
          <w:p w14:paraId="42BC0C56"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1,29%</w:t>
            </w:r>
          </w:p>
        </w:tc>
        <w:tc>
          <w:tcPr>
            <w:tcW w:w="1105" w:type="dxa"/>
            <w:tcBorders>
              <w:top w:val="single" w:sz="4" w:space="0" w:color="auto"/>
              <w:left w:val="single" w:sz="4" w:space="0" w:color="auto"/>
              <w:bottom w:val="single" w:sz="4" w:space="0" w:color="auto"/>
              <w:right w:val="single" w:sz="4" w:space="0" w:color="auto"/>
            </w:tcBorders>
            <w:vAlign w:val="center"/>
            <w:hideMark/>
          </w:tcPr>
          <w:p w14:paraId="433225D2"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1,39%</w:t>
            </w:r>
          </w:p>
        </w:tc>
        <w:tc>
          <w:tcPr>
            <w:tcW w:w="1019" w:type="dxa"/>
            <w:tcBorders>
              <w:top w:val="single" w:sz="4" w:space="0" w:color="auto"/>
              <w:left w:val="single" w:sz="4" w:space="0" w:color="auto"/>
              <w:bottom w:val="single" w:sz="4" w:space="0" w:color="auto"/>
              <w:right w:val="single" w:sz="4" w:space="0" w:color="auto"/>
            </w:tcBorders>
            <w:vAlign w:val="center"/>
            <w:hideMark/>
          </w:tcPr>
          <w:p w14:paraId="75E1B650" w14:textId="77777777" w:rsidR="005D1700" w:rsidRPr="001909AC" w:rsidRDefault="005D1700" w:rsidP="005D1700">
            <w:pPr>
              <w:spacing w:after="160" w:line="259" w:lineRule="auto"/>
              <w:jc w:val="center"/>
              <w:rPr>
                <w:rFonts w:ascii="Times New Roman" w:hAnsi="Times New Roman" w:cs="Times New Roman"/>
              </w:rPr>
            </w:pPr>
            <w:r w:rsidRPr="001909AC">
              <w:rPr>
                <w:rFonts w:ascii="Times New Roman" w:hAnsi="Times New Roman" w:cs="Times New Roman"/>
              </w:rPr>
              <w:t>3,96%</w:t>
            </w:r>
          </w:p>
        </w:tc>
        <w:tc>
          <w:tcPr>
            <w:tcW w:w="1397" w:type="dxa"/>
            <w:tcBorders>
              <w:top w:val="single" w:sz="4" w:space="0" w:color="auto"/>
              <w:left w:val="single" w:sz="4" w:space="0" w:color="auto"/>
              <w:bottom w:val="single" w:sz="4" w:space="0" w:color="auto"/>
              <w:right w:val="single" w:sz="4" w:space="0" w:color="auto"/>
            </w:tcBorders>
            <w:vAlign w:val="center"/>
          </w:tcPr>
          <w:p w14:paraId="6F1C10C6" w14:textId="77777777" w:rsidR="005D1700" w:rsidRPr="00B20C2C" w:rsidRDefault="005D1700" w:rsidP="005D1700">
            <w:pPr>
              <w:jc w:val="center"/>
              <w:rPr>
                <w:rFonts w:ascii="Times New Roman" w:hAnsi="Times New Roman" w:cs="Times New Roman"/>
              </w:rPr>
            </w:pPr>
            <w:r>
              <w:rPr>
                <w:rFonts w:ascii="Times New Roman" w:hAnsi="Times New Roman" w:cs="Times New Roman"/>
              </w:rPr>
              <w:t>1,75%</w:t>
            </w:r>
          </w:p>
        </w:tc>
      </w:tr>
    </w:tbl>
    <w:p w14:paraId="557C90AE" w14:textId="36AF0692" w:rsidR="00AF3D5D" w:rsidRPr="00B1640A" w:rsidRDefault="00B1640A" w:rsidP="00B1640A">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65C09C60" w14:textId="206A12AD" w:rsidR="008344F6" w:rsidRPr="008344F6" w:rsidRDefault="00AF3D5D" w:rsidP="00133F6A">
      <w:pPr>
        <w:spacing w:line="312" w:lineRule="auto"/>
        <w:rPr>
          <w:rFonts w:ascii="Times New Roman" w:hAnsi="Times New Roman" w:cs="Times New Roman"/>
          <w:sz w:val="26"/>
          <w:szCs w:val="26"/>
          <w:lang w:val="vi-VN"/>
        </w:rPr>
      </w:pPr>
      <w:r>
        <w:rPr>
          <w:noProof/>
          <w:lang w:eastAsia="en-US"/>
        </w:rPr>
        <w:drawing>
          <wp:inline distT="0" distB="0" distL="0" distR="0" wp14:anchorId="6DEAABE8" wp14:editId="49829251">
            <wp:extent cx="5676900" cy="2994660"/>
            <wp:effectExtent l="0" t="0" r="0" b="1524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6A8510C3" w14:textId="77777777" w:rsidR="00133F6A" w:rsidRDefault="00133F6A" w:rsidP="00981FB0">
      <w:pPr>
        <w:spacing w:line="312" w:lineRule="auto"/>
        <w:ind w:firstLine="720"/>
        <w:jc w:val="both"/>
        <w:rPr>
          <w:rFonts w:ascii="Times New Roman" w:hAnsi="Times New Roman" w:cs="Times New Roman"/>
          <w:sz w:val="26"/>
          <w:szCs w:val="26"/>
          <w:lang w:val="vi-VN"/>
        </w:rPr>
      </w:pPr>
    </w:p>
    <w:p w14:paraId="705381AD" w14:textId="2DF9FDA9" w:rsidR="0012569A" w:rsidRPr="00F22BA5" w:rsidRDefault="0012569A" w:rsidP="00981FB0">
      <w:pPr>
        <w:spacing w:line="312" w:lineRule="auto"/>
        <w:ind w:firstLine="720"/>
        <w:jc w:val="both"/>
        <w:rPr>
          <w:rFonts w:ascii="Times New Roman" w:hAnsi="Times New Roman" w:cs="Times New Roman"/>
          <w:sz w:val="26"/>
          <w:szCs w:val="26"/>
          <w:lang w:val="vi-VN"/>
        </w:rPr>
      </w:pPr>
      <w:r w:rsidRPr="00B167D1">
        <w:rPr>
          <w:rFonts w:ascii="Times New Roman" w:hAnsi="Times New Roman" w:cs="Times New Roman"/>
          <w:sz w:val="26"/>
          <w:szCs w:val="26"/>
          <w:lang w:val="vi-VN"/>
        </w:rPr>
        <w:t xml:space="preserve">ROA của các công ty cổ phần than </w:t>
      </w:r>
      <w:r w:rsidR="00EB49DB" w:rsidRPr="00F22BA5">
        <w:rPr>
          <w:rFonts w:ascii="Times New Roman" w:hAnsi="Times New Roman" w:cs="Times New Roman"/>
          <w:sz w:val="26"/>
          <w:szCs w:val="26"/>
          <w:lang w:val="vi-VN"/>
        </w:rPr>
        <w:t xml:space="preserve">niêm yết </w:t>
      </w:r>
      <w:r w:rsidRPr="00B167D1">
        <w:rPr>
          <w:rFonts w:ascii="Times New Roman" w:hAnsi="Times New Roman" w:cs="Times New Roman"/>
          <w:sz w:val="26"/>
          <w:szCs w:val="26"/>
          <w:lang w:val="vi-VN"/>
        </w:rPr>
        <w:t>trong giai đoạn 2019–2023 cho thấy một sự biến động rõ rệt, nhưng xu hướng tăng trưởng ổn định ở nhiều doanh nghiệp. Một số</w:t>
      </w:r>
      <w:r w:rsidR="00981FB0">
        <w:rPr>
          <w:rFonts w:ascii="Times New Roman" w:hAnsi="Times New Roman" w:cs="Times New Roman"/>
          <w:sz w:val="26"/>
          <w:szCs w:val="26"/>
          <w:lang w:val="vi-VN"/>
        </w:rPr>
        <w:t xml:space="preserve"> </w:t>
      </w:r>
      <w:r w:rsidR="00981FB0" w:rsidRPr="00F22BA5">
        <w:rPr>
          <w:rFonts w:ascii="Times New Roman" w:hAnsi="Times New Roman" w:cs="Times New Roman"/>
          <w:sz w:val="26"/>
          <w:szCs w:val="26"/>
          <w:lang w:val="vi-VN"/>
        </w:rPr>
        <w:t>đơn vị</w:t>
      </w:r>
      <w:r w:rsidR="00981FB0">
        <w:rPr>
          <w:rFonts w:ascii="Times New Roman" w:hAnsi="Times New Roman" w:cs="Times New Roman"/>
          <w:sz w:val="26"/>
          <w:szCs w:val="26"/>
          <w:lang w:val="vi-VN"/>
        </w:rPr>
        <w:t xml:space="preserve"> như</w:t>
      </w:r>
      <w:r w:rsidR="00981FB0" w:rsidRPr="00F22BA5">
        <w:rPr>
          <w:rFonts w:ascii="Times New Roman" w:hAnsi="Times New Roman" w:cs="Times New Roman"/>
          <w:sz w:val="26"/>
          <w:szCs w:val="26"/>
          <w:lang w:val="vi-VN"/>
        </w:rPr>
        <w:t xml:space="preserve"> CTCP </w:t>
      </w:r>
      <w:r w:rsidRPr="00B167D1">
        <w:rPr>
          <w:rFonts w:ascii="Times New Roman" w:hAnsi="Times New Roman" w:cs="Times New Roman"/>
          <w:sz w:val="26"/>
          <w:szCs w:val="26"/>
          <w:lang w:val="vi-VN"/>
        </w:rPr>
        <w:t xml:space="preserve">Than Vàng Danh và </w:t>
      </w:r>
      <w:r w:rsidR="00981FB0" w:rsidRPr="00F22BA5">
        <w:rPr>
          <w:rFonts w:ascii="Times New Roman" w:hAnsi="Times New Roman" w:cs="Times New Roman"/>
          <w:sz w:val="26"/>
          <w:szCs w:val="26"/>
          <w:lang w:val="vi-VN"/>
        </w:rPr>
        <w:t>CTCP</w:t>
      </w:r>
      <w:r w:rsidR="00981FB0" w:rsidRPr="00B167D1">
        <w:rPr>
          <w:rFonts w:ascii="Times New Roman" w:hAnsi="Times New Roman" w:cs="Times New Roman"/>
          <w:sz w:val="26"/>
          <w:szCs w:val="26"/>
          <w:lang w:val="vi-VN"/>
        </w:rPr>
        <w:t xml:space="preserve"> </w:t>
      </w:r>
      <w:r w:rsidR="00981FB0">
        <w:rPr>
          <w:rFonts w:ascii="Times New Roman" w:hAnsi="Times New Roman" w:cs="Times New Roman"/>
          <w:sz w:val="26"/>
          <w:szCs w:val="26"/>
          <w:lang w:val="vi-VN"/>
        </w:rPr>
        <w:t xml:space="preserve">Than Mông Dương có </w:t>
      </w:r>
      <w:r w:rsidRPr="00B167D1">
        <w:rPr>
          <w:rFonts w:ascii="Times New Roman" w:hAnsi="Times New Roman" w:cs="Times New Roman"/>
          <w:sz w:val="26"/>
          <w:szCs w:val="26"/>
          <w:lang w:val="vi-VN"/>
        </w:rPr>
        <w:t xml:space="preserve"> ROA tăng mạnh, chứng tỏ </w:t>
      </w:r>
      <w:r w:rsidR="00981FB0" w:rsidRPr="00F22BA5">
        <w:rPr>
          <w:rFonts w:ascii="Times New Roman" w:hAnsi="Times New Roman" w:cs="Times New Roman"/>
          <w:sz w:val="26"/>
          <w:szCs w:val="26"/>
          <w:lang w:val="vi-VN"/>
        </w:rPr>
        <w:t>Công ty đã</w:t>
      </w:r>
      <w:r w:rsidRPr="00B167D1">
        <w:rPr>
          <w:rFonts w:ascii="Times New Roman" w:hAnsi="Times New Roman" w:cs="Times New Roman"/>
          <w:sz w:val="26"/>
          <w:szCs w:val="26"/>
          <w:lang w:val="vi-VN"/>
        </w:rPr>
        <w:t xml:space="preserve"> cải thiện hiệu quả sử dụng </w:t>
      </w:r>
      <w:r w:rsidR="00981FB0" w:rsidRPr="00F22BA5">
        <w:rPr>
          <w:rFonts w:ascii="Times New Roman" w:hAnsi="Times New Roman" w:cs="Times New Roman"/>
          <w:sz w:val="26"/>
          <w:szCs w:val="26"/>
          <w:lang w:val="vi-VN"/>
        </w:rPr>
        <w:t xml:space="preserve">vốn, tài sản </w:t>
      </w:r>
      <w:r w:rsidRPr="00B167D1">
        <w:rPr>
          <w:rFonts w:ascii="Times New Roman" w:hAnsi="Times New Roman" w:cs="Times New Roman"/>
          <w:sz w:val="26"/>
          <w:szCs w:val="26"/>
          <w:lang w:val="vi-VN"/>
        </w:rPr>
        <w:t xml:space="preserve"> để tạo ra lợi nhuận cao hơn. Tuy nhiên, ROA của một số công ty như </w:t>
      </w:r>
      <w:r w:rsidR="00981FB0" w:rsidRPr="00F22BA5">
        <w:rPr>
          <w:rFonts w:ascii="Times New Roman" w:hAnsi="Times New Roman" w:cs="Times New Roman"/>
          <w:sz w:val="26"/>
          <w:szCs w:val="26"/>
          <w:lang w:val="vi-VN"/>
        </w:rPr>
        <w:t xml:space="preserve">CTCP </w:t>
      </w:r>
      <w:r w:rsidRPr="00B167D1">
        <w:rPr>
          <w:rFonts w:ascii="Times New Roman" w:hAnsi="Times New Roman" w:cs="Times New Roman"/>
          <w:sz w:val="26"/>
          <w:szCs w:val="26"/>
          <w:lang w:val="vi-VN"/>
        </w:rPr>
        <w:t xml:space="preserve">Than Hà Tu và </w:t>
      </w:r>
      <w:r w:rsidR="00981FB0" w:rsidRPr="00F22BA5">
        <w:rPr>
          <w:rFonts w:ascii="Times New Roman" w:hAnsi="Times New Roman" w:cs="Times New Roman"/>
          <w:sz w:val="26"/>
          <w:szCs w:val="26"/>
          <w:lang w:val="vi-VN"/>
        </w:rPr>
        <w:t>CTCP</w:t>
      </w:r>
      <w:r w:rsidR="00981FB0" w:rsidRPr="00B167D1">
        <w:rPr>
          <w:rFonts w:ascii="Times New Roman" w:hAnsi="Times New Roman" w:cs="Times New Roman"/>
          <w:sz w:val="26"/>
          <w:szCs w:val="26"/>
          <w:lang w:val="vi-VN"/>
        </w:rPr>
        <w:t xml:space="preserve"> </w:t>
      </w:r>
      <w:r w:rsidRPr="00B167D1">
        <w:rPr>
          <w:rFonts w:ascii="Times New Roman" w:hAnsi="Times New Roman" w:cs="Times New Roman"/>
          <w:sz w:val="26"/>
          <w:szCs w:val="26"/>
          <w:lang w:val="vi-VN"/>
        </w:rPr>
        <w:t>Than Núi Béo có sự biến động không ổn định, mặc dù chúng đã có sự cải thiện nhất đị</w:t>
      </w:r>
      <w:r w:rsidR="00981FB0">
        <w:rPr>
          <w:rFonts w:ascii="Times New Roman" w:hAnsi="Times New Roman" w:cs="Times New Roman"/>
          <w:sz w:val="26"/>
          <w:szCs w:val="26"/>
          <w:lang w:val="vi-VN"/>
        </w:rPr>
        <w:t>nh trong năm 2023.</w:t>
      </w:r>
      <w:r w:rsidRPr="00B167D1">
        <w:rPr>
          <w:rFonts w:ascii="Times New Roman" w:hAnsi="Times New Roman" w:cs="Times New Roman"/>
          <w:sz w:val="26"/>
          <w:szCs w:val="26"/>
          <w:lang w:val="vi-VN"/>
        </w:rPr>
        <w:t xml:space="preserve"> ROA phản ánh khả năng sinh lời của tài sản mà công </w:t>
      </w:r>
      <w:r w:rsidR="00981FB0" w:rsidRPr="00F22BA5">
        <w:rPr>
          <w:rFonts w:ascii="Times New Roman" w:hAnsi="Times New Roman" w:cs="Times New Roman"/>
          <w:sz w:val="26"/>
          <w:szCs w:val="26"/>
          <w:lang w:val="vi-VN"/>
        </w:rPr>
        <w:t xml:space="preserve">ty quản lý và sử dụng. Tuy nhiên, có thể thấy ROA ở hầu hết các CTCP than </w:t>
      </w:r>
      <w:r w:rsidR="00981FB0" w:rsidRPr="00F22BA5">
        <w:rPr>
          <w:rFonts w:ascii="Times New Roman" w:hAnsi="Times New Roman" w:cs="Times New Roman"/>
          <w:sz w:val="26"/>
          <w:szCs w:val="26"/>
          <w:lang w:val="vi-VN"/>
        </w:rPr>
        <w:lastRenderedPageBreak/>
        <w:t>niêm yết đều khá nhỏ, điều này cũng đặt ra vấn đề các doanh nghiệp cần nâng cao khả năng sinh lời của</w:t>
      </w:r>
      <w:r w:rsidR="00AC731E" w:rsidRPr="00F22BA5">
        <w:rPr>
          <w:rFonts w:ascii="Times New Roman" w:hAnsi="Times New Roman" w:cs="Times New Roman"/>
          <w:sz w:val="26"/>
          <w:szCs w:val="26"/>
          <w:lang w:val="vi-VN"/>
        </w:rPr>
        <w:t xml:space="preserve"> vốn</w:t>
      </w:r>
      <w:r w:rsidR="00981FB0" w:rsidRPr="00F22BA5">
        <w:rPr>
          <w:rFonts w:ascii="Times New Roman" w:hAnsi="Times New Roman" w:cs="Times New Roman"/>
          <w:sz w:val="26"/>
          <w:szCs w:val="26"/>
          <w:lang w:val="vi-VN"/>
        </w:rPr>
        <w:t xml:space="preserve"> trong </w:t>
      </w:r>
      <w:r w:rsidR="00AC731E" w:rsidRPr="00F22BA5">
        <w:rPr>
          <w:rFonts w:ascii="Times New Roman" w:hAnsi="Times New Roman" w:cs="Times New Roman"/>
          <w:sz w:val="26"/>
          <w:szCs w:val="26"/>
          <w:lang w:val="vi-VN"/>
        </w:rPr>
        <w:t xml:space="preserve">đặc điểm </w:t>
      </w:r>
      <w:r w:rsidR="00981FB0" w:rsidRPr="00F22BA5">
        <w:rPr>
          <w:rFonts w:ascii="Times New Roman" w:hAnsi="Times New Roman" w:cs="Times New Roman"/>
          <w:sz w:val="26"/>
          <w:szCs w:val="26"/>
          <w:lang w:val="vi-VN"/>
        </w:rPr>
        <w:t>đặc thù là ngành công nghiệp khai thác cần nhiều nguồn lực về vốn nhưng điều kiện khai thác gặp nhiều khó khăn</w:t>
      </w:r>
      <w:r w:rsidR="00AC731E" w:rsidRPr="00F22BA5">
        <w:rPr>
          <w:rFonts w:ascii="Times New Roman" w:hAnsi="Times New Roman" w:cs="Times New Roman"/>
          <w:sz w:val="26"/>
          <w:szCs w:val="26"/>
          <w:lang w:val="vi-VN"/>
        </w:rPr>
        <w:t xml:space="preserve">, thường </w:t>
      </w:r>
      <w:r w:rsidRPr="00B167D1">
        <w:rPr>
          <w:rFonts w:ascii="Times New Roman" w:hAnsi="Times New Roman" w:cs="Times New Roman"/>
          <w:sz w:val="26"/>
          <w:szCs w:val="26"/>
          <w:lang w:val="vi-VN"/>
        </w:rPr>
        <w:t xml:space="preserve">biến động </w:t>
      </w:r>
      <w:r w:rsidR="00AC731E" w:rsidRPr="00F22BA5">
        <w:rPr>
          <w:rFonts w:ascii="Times New Roman" w:hAnsi="Times New Roman" w:cs="Times New Roman"/>
          <w:sz w:val="26"/>
          <w:szCs w:val="26"/>
          <w:lang w:val="vi-VN"/>
        </w:rPr>
        <w:t xml:space="preserve">về </w:t>
      </w:r>
      <w:r w:rsidRPr="00B167D1">
        <w:rPr>
          <w:rFonts w:ascii="Times New Roman" w:hAnsi="Times New Roman" w:cs="Times New Roman"/>
          <w:sz w:val="26"/>
          <w:szCs w:val="26"/>
          <w:lang w:val="vi-VN"/>
        </w:rPr>
        <w:t>giá than, chi phí khai thác</w:t>
      </w:r>
      <w:r w:rsidR="00AC731E" w:rsidRPr="00F22BA5">
        <w:rPr>
          <w:rFonts w:ascii="Times New Roman" w:hAnsi="Times New Roman" w:cs="Times New Roman"/>
          <w:sz w:val="26"/>
          <w:szCs w:val="26"/>
          <w:lang w:val="vi-VN"/>
        </w:rPr>
        <w:t>.</w:t>
      </w:r>
    </w:p>
    <w:p w14:paraId="54E0B578" w14:textId="1279EB6A" w:rsidR="0012569A" w:rsidRPr="00EC6124" w:rsidRDefault="006F423D" w:rsidP="008A5BBD">
      <w:pPr>
        <w:pStyle w:val="p3"/>
      </w:pPr>
      <w:bookmarkStart w:id="245" w:name="_Toc197781189"/>
      <w:bookmarkStart w:id="246" w:name="_Toc197781472"/>
      <w:bookmarkStart w:id="247" w:name="_Toc198281680"/>
      <w:bookmarkStart w:id="248" w:name="_Toc198284465"/>
      <w:bookmarkStart w:id="249" w:name="_Toc198284846"/>
      <w:bookmarkStart w:id="250" w:name="_Toc198709998"/>
      <w:r w:rsidRPr="00F22BA5">
        <w:t>+</w:t>
      </w:r>
      <w:r w:rsidR="0012569A" w:rsidRPr="00EC6124">
        <w:t>Tỷ suất lợi nhuận vốn chủ sở hữu (ROE)</w:t>
      </w:r>
      <w:bookmarkEnd w:id="245"/>
      <w:bookmarkEnd w:id="246"/>
      <w:bookmarkEnd w:id="247"/>
      <w:bookmarkEnd w:id="248"/>
      <w:bookmarkEnd w:id="249"/>
      <w:bookmarkEnd w:id="250"/>
    </w:p>
    <w:p w14:paraId="58577395" w14:textId="31340A6A" w:rsidR="00133F6A" w:rsidRPr="007541B0" w:rsidRDefault="0012569A" w:rsidP="007541B0">
      <w:pPr>
        <w:spacing w:line="312" w:lineRule="auto"/>
        <w:ind w:firstLine="720"/>
        <w:jc w:val="both"/>
        <w:rPr>
          <w:rFonts w:ascii="Times New Roman" w:hAnsi="Times New Roman" w:cs="Times New Roman"/>
          <w:sz w:val="26"/>
          <w:szCs w:val="26"/>
          <w:lang w:val="vi-VN"/>
        </w:rPr>
      </w:pPr>
      <w:r w:rsidRPr="0012569A">
        <w:rPr>
          <w:rFonts w:ascii="Times New Roman" w:hAnsi="Times New Roman" w:cs="Times New Roman"/>
          <w:sz w:val="26"/>
          <w:szCs w:val="26"/>
          <w:lang w:val="vi-VN"/>
        </w:rPr>
        <w:t xml:space="preserve">Tỷ suất lợi nhuận vốn chủ sở hữu (ROE) nhằm đánh giá mức độ sinh lời mà công ty mang lại cho cổ đông từ vốn đầu tư của họ. Chỉ tiêu này cho biết mỗi đồng vốn chủ sở hữu tạo ra bao nhiêu đồng lợi nhuận ròng, giúp phản ánh hiệu quả sử dụng nguồn vốn </w:t>
      </w:r>
      <w:r w:rsidR="00F761EF" w:rsidRPr="00F22BA5">
        <w:rPr>
          <w:rFonts w:ascii="Times New Roman" w:hAnsi="Times New Roman" w:cs="Times New Roman"/>
          <w:sz w:val="26"/>
          <w:szCs w:val="26"/>
          <w:lang w:val="vi-VN"/>
        </w:rPr>
        <w:t>chủ sở hữu</w:t>
      </w:r>
      <w:r w:rsidRPr="0012569A">
        <w:rPr>
          <w:rFonts w:ascii="Times New Roman" w:hAnsi="Times New Roman" w:cs="Times New Roman"/>
          <w:sz w:val="26"/>
          <w:szCs w:val="26"/>
          <w:lang w:val="vi-VN"/>
        </w:rPr>
        <w:t xml:space="preserve"> của doanh nghiệp. </w:t>
      </w:r>
      <w:r w:rsidR="00F761EF">
        <w:rPr>
          <w:rFonts w:ascii="Times New Roman" w:hAnsi="Times New Roman" w:cs="Times New Roman"/>
          <w:sz w:val="26"/>
          <w:szCs w:val="26"/>
          <w:lang w:val="vi-VN"/>
        </w:rPr>
        <w:t xml:space="preserve">ROE </w:t>
      </w:r>
      <w:r w:rsidR="00F761EF" w:rsidRPr="00F22BA5">
        <w:rPr>
          <w:rFonts w:ascii="Times New Roman" w:hAnsi="Times New Roman" w:cs="Times New Roman"/>
          <w:sz w:val="26"/>
          <w:szCs w:val="26"/>
          <w:lang w:val="vi-VN"/>
        </w:rPr>
        <w:t xml:space="preserve">cũng là </w:t>
      </w:r>
      <w:r w:rsidRPr="0012569A">
        <w:rPr>
          <w:rFonts w:ascii="Times New Roman" w:hAnsi="Times New Roman" w:cs="Times New Roman"/>
          <w:sz w:val="26"/>
          <w:szCs w:val="26"/>
          <w:lang w:val="vi-VN"/>
        </w:rPr>
        <w:t>công cụ quan trọng để nhà đầu tư đánh giá khả năng sinh lời và mức độ hấp dẫn của cổ phiếu công ty, đồng thời giúp ban lãnh đạo ra quyết định chiến lược về đầu tư và phát triển.</w:t>
      </w:r>
    </w:p>
    <w:p w14:paraId="72F78486" w14:textId="77777777" w:rsidR="009C5163" w:rsidRDefault="009C5163" w:rsidP="008B5AD7">
      <w:pPr>
        <w:spacing w:line="312" w:lineRule="auto"/>
        <w:ind w:firstLine="720"/>
        <w:jc w:val="center"/>
        <w:rPr>
          <w:rFonts w:ascii="Times New Roman" w:hAnsi="Times New Roman" w:cs="Times New Roman"/>
          <w:b/>
          <w:sz w:val="26"/>
          <w:szCs w:val="26"/>
        </w:rPr>
      </w:pPr>
    </w:p>
    <w:p w14:paraId="1CA3F674" w14:textId="77777777" w:rsidR="009C5163" w:rsidRDefault="009C5163" w:rsidP="008B5AD7">
      <w:pPr>
        <w:spacing w:line="312" w:lineRule="auto"/>
        <w:ind w:firstLine="720"/>
        <w:jc w:val="center"/>
        <w:rPr>
          <w:rFonts w:ascii="Times New Roman" w:hAnsi="Times New Roman" w:cs="Times New Roman"/>
          <w:b/>
          <w:sz w:val="26"/>
          <w:szCs w:val="26"/>
        </w:rPr>
      </w:pPr>
    </w:p>
    <w:p w14:paraId="593277A9" w14:textId="77777777" w:rsidR="009C5163" w:rsidRDefault="009C5163" w:rsidP="008B5AD7">
      <w:pPr>
        <w:spacing w:line="312" w:lineRule="auto"/>
        <w:ind w:firstLine="720"/>
        <w:jc w:val="center"/>
        <w:rPr>
          <w:rFonts w:ascii="Times New Roman" w:hAnsi="Times New Roman" w:cs="Times New Roman"/>
          <w:b/>
          <w:sz w:val="26"/>
          <w:szCs w:val="26"/>
        </w:rPr>
      </w:pPr>
    </w:p>
    <w:p w14:paraId="2843F560" w14:textId="30F8EAE0" w:rsidR="008B5AD7" w:rsidRDefault="008B5AD7" w:rsidP="008B5AD7">
      <w:pPr>
        <w:spacing w:line="312" w:lineRule="auto"/>
        <w:ind w:firstLine="720"/>
        <w:jc w:val="center"/>
        <w:rPr>
          <w:rFonts w:ascii="Times New Roman" w:hAnsi="Times New Roman" w:cs="Times New Roman"/>
          <w:b/>
          <w:sz w:val="26"/>
          <w:szCs w:val="26"/>
          <w:lang w:val="vi-VN"/>
        </w:rPr>
      </w:pPr>
      <w:r w:rsidRPr="004A1CD3">
        <w:rPr>
          <w:rFonts w:ascii="Times New Roman" w:hAnsi="Times New Roman" w:cs="Times New Roman"/>
          <w:b/>
          <w:sz w:val="26"/>
          <w:szCs w:val="26"/>
          <w:lang w:val="vi-VN"/>
        </w:rPr>
        <w:t xml:space="preserve">Bảng </w:t>
      </w:r>
      <w:r w:rsidR="00EB49DB">
        <w:rPr>
          <w:rFonts w:ascii="Times New Roman" w:hAnsi="Times New Roman" w:cs="Times New Roman"/>
          <w:b/>
          <w:sz w:val="26"/>
          <w:szCs w:val="26"/>
          <w:lang w:val="vi-VN"/>
        </w:rPr>
        <w:t>2</w:t>
      </w:r>
      <w:r w:rsidR="00EB49DB" w:rsidRPr="00F22BA5">
        <w:rPr>
          <w:rFonts w:ascii="Times New Roman" w:hAnsi="Times New Roman" w:cs="Times New Roman"/>
          <w:b/>
          <w:sz w:val="26"/>
          <w:szCs w:val="26"/>
          <w:lang w:val="vi-VN"/>
        </w:rPr>
        <w:t>.17</w:t>
      </w:r>
      <w:r w:rsidRPr="004A1CD3">
        <w:rPr>
          <w:rFonts w:ascii="Times New Roman" w:hAnsi="Times New Roman" w:cs="Times New Roman"/>
          <w:b/>
          <w:sz w:val="26"/>
          <w:szCs w:val="26"/>
          <w:lang w:val="vi-VN"/>
        </w:rPr>
        <w:t xml:space="preserve">. </w:t>
      </w:r>
      <w:r>
        <w:rPr>
          <w:rFonts w:ascii="Times New Roman" w:hAnsi="Times New Roman" w:cs="Times New Roman"/>
          <w:b/>
          <w:sz w:val="26"/>
          <w:szCs w:val="26"/>
          <w:lang w:val="vi-VN"/>
        </w:rPr>
        <w:t xml:space="preserve">Tỷ suất lợi nhuận vốn chủ sở hữu </w:t>
      </w:r>
      <w:r w:rsidRPr="004A1CD3">
        <w:rPr>
          <w:rFonts w:ascii="Times New Roman" w:hAnsi="Times New Roman" w:cs="Times New Roman"/>
          <w:b/>
          <w:sz w:val="26"/>
          <w:szCs w:val="26"/>
          <w:lang w:val="vi-VN"/>
        </w:rPr>
        <w:t xml:space="preserve">của các CTCP </w:t>
      </w:r>
    </w:p>
    <w:p w14:paraId="4F52A7B7" w14:textId="348047F2" w:rsidR="00133F6A" w:rsidRPr="008B5AD7" w:rsidRDefault="00133F6A" w:rsidP="007541B0">
      <w:pPr>
        <w:spacing w:line="312" w:lineRule="auto"/>
        <w:jc w:val="center"/>
        <w:rPr>
          <w:rFonts w:ascii="Times New Roman" w:hAnsi="Times New Roman" w:cs="Times New Roman"/>
          <w:b/>
          <w:sz w:val="26"/>
          <w:szCs w:val="26"/>
          <w:lang w:val="vi-VN"/>
        </w:rPr>
      </w:pPr>
      <w:r>
        <w:rPr>
          <w:rFonts w:ascii="Times New Roman" w:hAnsi="Times New Roman" w:cs="Times New Roman"/>
          <w:b/>
          <w:sz w:val="26"/>
          <w:szCs w:val="26"/>
          <w:lang w:val="vi-VN"/>
        </w:rPr>
        <w:t xml:space="preserve">                          </w:t>
      </w:r>
      <w:r w:rsidR="008B5AD7" w:rsidRPr="004A1CD3">
        <w:rPr>
          <w:rFonts w:ascii="Times New Roman" w:hAnsi="Times New Roman" w:cs="Times New Roman"/>
          <w:b/>
          <w:sz w:val="26"/>
          <w:szCs w:val="26"/>
          <w:lang w:val="vi-VN"/>
        </w:rPr>
        <w:t>niêm yết thuộc TKV</w:t>
      </w:r>
      <w:r w:rsidR="008B5AD7">
        <w:rPr>
          <w:rFonts w:ascii="Times New Roman" w:hAnsi="Times New Roman" w:cs="Times New Roman"/>
          <w:b/>
          <w:sz w:val="26"/>
          <w:szCs w:val="26"/>
          <w:lang w:val="vi-VN"/>
        </w:rPr>
        <w:t xml:space="preserve"> giai đoạ</w:t>
      </w:r>
      <w:r w:rsidR="00B1640A">
        <w:rPr>
          <w:rFonts w:ascii="Times New Roman" w:hAnsi="Times New Roman" w:cs="Times New Roman"/>
          <w:b/>
          <w:sz w:val="26"/>
          <w:szCs w:val="26"/>
          <w:lang w:val="vi-VN"/>
        </w:rPr>
        <w:t>n 2019 – 2023</w:t>
      </w:r>
    </w:p>
    <w:tbl>
      <w:tblPr>
        <w:tblStyle w:val="TableGrid"/>
        <w:tblW w:w="8944" w:type="dxa"/>
        <w:tblInd w:w="-5" w:type="dxa"/>
        <w:tblLook w:val="04A0" w:firstRow="1" w:lastRow="0" w:firstColumn="1" w:lastColumn="0" w:noHBand="0" w:noVBand="1"/>
      </w:tblPr>
      <w:tblGrid>
        <w:gridCol w:w="745"/>
        <w:gridCol w:w="1279"/>
        <w:gridCol w:w="1131"/>
        <w:gridCol w:w="1121"/>
        <w:gridCol w:w="1121"/>
        <w:gridCol w:w="1047"/>
        <w:gridCol w:w="1121"/>
        <w:gridCol w:w="1379"/>
      </w:tblGrid>
      <w:tr w:rsidR="008B5AD7" w:rsidRPr="001909AC" w14:paraId="734EF60B" w14:textId="77777777" w:rsidTr="00133F6A">
        <w:trPr>
          <w:trHeight w:val="271"/>
        </w:trPr>
        <w:tc>
          <w:tcPr>
            <w:tcW w:w="745" w:type="dxa"/>
            <w:tcBorders>
              <w:top w:val="single" w:sz="4" w:space="0" w:color="auto"/>
              <w:left w:val="single" w:sz="4" w:space="0" w:color="auto"/>
              <w:bottom w:val="single" w:sz="4" w:space="0" w:color="auto"/>
              <w:right w:val="single" w:sz="4" w:space="0" w:color="auto"/>
            </w:tcBorders>
            <w:vAlign w:val="center"/>
          </w:tcPr>
          <w:p w14:paraId="525270A4" w14:textId="5885BF27" w:rsidR="008B5AD7" w:rsidRPr="008B5AD7" w:rsidRDefault="008B5AD7" w:rsidP="008B5AD7">
            <w:pPr>
              <w:spacing w:after="160" w:line="259" w:lineRule="auto"/>
              <w:jc w:val="center"/>
              <w:rPr>
                <w:rFonts w:ascii="Times New Roman" w:hAnsi="Times New Roman" w:cs="Times New Roman"/>
                <w:b/>
                <w:bCs/>
              </w:rPr>
            </w:pPr>
            <w:r w:rsidRPr="008B5AD7">
              <w:rPr>
                <w:rFonts w:ascii="Times New Roman" w:hAnsi="Times New Roman" w:cs="Times New Roman"/>
                <w:b/>
                <w:bCs/>
              </w:rPr>
              <w:t>TT</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AEBFDAA" w14:textId="33A65F2C" w:rsidR="008B5AD7" w:rsidRPr="008B5AD7" w:rsidRDefault="0031049D" w:rsidP="008B5AD7">
            <w:pPr>
              <w:spacing w:after="160" w:line="259" w:lineRule="auto"/>
              <w:jc w:val="center"/>
              <w:rPr>
                <w:rFonts w:ascii="Times New Roman" w:hAnsi="Times New Roman" w:cs="Times New Roman"/>
                <w:b/>
                <w:bCs/>
              </w:rPr>
            </w:pPr>
            <w:r>
              <w:rPr>
                <w:rFonts w:ascii="Times New Roman" w:hAnsi="Times New Roman" w:cs="Times New Roman"/>
                <w:b/>
                <w:bCs/>
                <w:sz w:val="26"/>
                <w:szCs w:val="26"/>
              </w:rPr>
              <w:t>Công ty</w:t>
            </w:r>
          </w:p>
        </w:tc>
        <w:tc>
          <w:tcPr>
            <w:tcW w:w="1131" w:type="dxa"/>
            <w:tcBorders>
              <w:top w:val="single" w:sz="4" w:space="0" w:color="auto"/>
              <w:left w:val="single" w:sz="4" w:space="0" w:color="auto"/>
              <w:bottom w:val="single" w:sz="4" w:space="0" w:color="auto"/>
              <w:right w:val="single" w:sz="4" w:space="0" w:color="auto"/>
            </w:tcBorders>
            <w:vAlign w:val="center"/>
            <w:hideMark/>
          </w:tcPr>
          <w:p w14:paraId="5A6F2E5C" w14:textId="77777777" w:rsidR="008B5AD7" w:rsidRPr="008B5AD7" w:rsidRDefault="008B5AD7" w:rsidP="008B5AD7">
            <w:pPr>
              <w:spacing w:after="160" w:line="259" w:lineRule="auto"/>
              <w:jc w:val="center"/>
              <w:rPr>
                <w:rFonts w:ascii="Times New Roman" w:hAnsi="Times New Roman" w:cs="Times New Roman"/>
                <w:b/>
                <w:bCs/>
              </w:rPr>
            </w:pPr>
            <w:r w:rsidRPr="008B5AD7">
              <w:rPr>
                <w:rFonts w:ascii="Times New Roman" w:hAnsi="Times New Roman" w:cs="Times New Roman"/>
                <w:b/>
                <w:bCs/>
              </w:rPr>
              <w:t>2019</w:t>
            </w:r>
          </w:p>
        </w:tc>
        <w:tc>
          <w:tcPr>
            <w:tcW w:w="1121" w:type="dxa"/>
            <w:tcBorders>
              <w:top w:val="single" w:sz="4" w:space="0" w:color="auto"/>
              <w:left w:val="single" w:sz="4" w:space="0" w:color="auto"/>
              <w:bottom w:val="single" w:sz="4" w:space="0" w:color="auto"/>
              <w:right w:val="single" w:sz="4" w:space="0" w:color="auto"/>
            </w:tcBorders>
            <w:vAlign w:val="center"/>
            <w:hideMark/>
          </w:tcPr>
          <w:p w14:paraId="765263D3" w14:textId="77777777" w:rsidR="008B5AD7" w:rsidRPr="008B5AD7" w:rsidRDefault="008B5AD7" w:rsidP="008B5AD7">
            <w:pPr>
              <w:spacing w:after="160" w:line="259" w:lineRule="auto"/>
              <w:jc w:val="center"/>
              <w:rPr>
                <w:rFonts w:ascii="Times New Roman" w:hAnsi="Times New Roman" w:cs="Times New Roman"/>
                <w:b/>
                <w:bCs/>
              </w:rPr>
            </w:pPr>
            <w:r w:rsidRPr="008B5AD7">
              <w:rPr>
                <w:rFonts w:ascii="Times New Roman" w:hAnsi="Times New Roman" w:cs="Times New Roman"/>
                <w:b/>
                <w:bCs/>
              </w:rPr>
              <w:t>2020</w:t>
            </w:r>
          </w:p>
        </w:tc>
        <w:tc>
          <w:tcPr>
            <w:tcW w:w="1121" w:type="dxa"/>
            <w:tcBorders>
              <w:top w:val="single" w:sz="4" w:space="0" w:color="auto"/>
              <w:left w:val="single" w:sz="4" w:space="0" w:color="auto"/>
              <w:bottom w:val="single" w:sz="4" w:space="0" w:color="auto"/>
              <w:right w:val="single" w:sz="4" w:space="0" w:color="auto"/>
            </w:tcBorders>
            <w:vAlign w:val="center"/>
            <w:hideMark/>
          </w:tcPr>
          <w:p w14:paraId="51CC7EC7" w14:textId="77777777" w:rsidR="008B5AD7" w:rsidRPr="008B5AD7" w:rsidRDefault="008B5AD7" w:rsidP="008B5AD7">
            <w:pPr>
              <w:spacing w:after="160" w:line="259" w:lineRule="auto"/>
              <w:jc w:val="center"/>
              <w:rPr>
                <w:rFonts w:ascii="Times New Roman" w:hAnsi="Times New Roman" w:cs="Times New Roman"/>
                <w:b/>
                <w:bCs/>
              </w:rPr>
            </w:pPr>
            <w:r w:rsidRPr="008B5AD7">
              <w:rPr>
                <w:rFonts w:ascii="Times New Roman" w:hAnsi="Times New Roman" w:cs="Times New Roman"/>
                <w:b/>
                <w:bCs/>
              </w:rPr>
              <w:t>2021</w:t>
            </w:r>
          </w:p>
        </w:tc>
        <w:tc>
          <w:tcPr>
            <w:tcW w:w="1047" w:type="dxa"/>
            <w:tcBorders>
              <w:top w:val="single" w:sz="4" w:space="0" w:color="auto"/>
              <w:left w:val="single" w:sz="4" w:space="0" w:color="auto"/>
              <w:bottom w:val="single" w:sz="4" w:space="0" w:color="auto"/>
              <w:right w:val="single" w:sz="4" w:space="0" w:color="auto"/>
            </w:tcBorders>
            <w:vAlign w:val="center"/>
            <w:hideMark/>
          </w:tcPr>
          <w:p w14:paraId="2D286C24" w14:textId="77777777" w:rsidR="008B5AD7" w:rsidRPr="008B5AD7" w:rsidRDefault="008B5AD7" w:rsidP="008B5AD7">
            <w:pPr>
              <w:spacing w:after="160" w:line="259" w:lineRule="auto"/>
              <w:jc w:val="center"/>
              <w:rPr>
                <w:rFonts w:ascii="Times New Roman" w:hAnsi="Times New Roman" w:cs="Times New Roman"/>
                <w:b/>
                <w:bCs/>
              </w:rPr>
            </w:pPr>
            <w:r w:rsidRPr="008B5AD7">
              <w:rPr>
                <w:rFonts w:ascii="Times New Roman" w:hAnsi="Times New Roman" w:cs="Times New Roman"/>
                <w:b/>
                <w:bCs/>
              </w:rPr>
              <w:t>2022</w:t>
            </w:r>
          </w:p>
        </w:tc>
        <w:tc>
          <w:tcPr>
            <w:tcW w:w="1121" w:type="dxa"/>
            <w:tcBorders>
              <w:top w:val="single" w:sz="4" w:space="0" w:color="auto"/>
              <w:left w:val="single" w:sz="4" w:space="0" w:color="auto"/>
              <w:bottom w:val="single" w:sz="4" w:space="0" w:color="auto"/>
              <w:right w:val="single" w:sz="4" w:space="0" w:color="auto"/>
            </w:tcBorders>
            <w:vAlign w:val="center"/>
            <w:hideMark/>
          </w:tcPr>
          <w:p w14:paraId="02C95E60" w14:textId="77777777" w:rsidR="008B5AD7" w:rsidRPr="008B5AD7" w:rsidRDefault="008B5AD7" w:rsidP="008B5AD7">
            <w:pPr>
              <w:spacing w:after="160" w:line="259" w:lineRule="auto"/>
              <w:jc w:val="center"/>
              <w:rPr>
                <w:rFonts w:ascii="Times New Roman" w:hAnsi="Times New Roman" w:cs="Times New Roman"/>
                <w:b/>
                <w:bCs/>
              </w:rPr>
            </w:pPr>
            <w:r w:rsidRPr="008B5AD7">
              <w:rPr>
                <w:rFonts w:ascii="Times New Roman" w:hAnsi="Times New Roman" w:cs="Times New Roman"/>
                <w:b/>
                <w:bCs/>
              </w:rPr>
              <w:t>2023</w:t>
            </w:r>
          </w:p>
        </w:tc>
        <w:tc>
          <w:tcPr>
            <w:tcW w:w="1379" w:type="dxa"/>
            <w:tcBorders>
              <w:top w:val="single" w:sz="4" w:space="0" w:color="auto"/>
              <w:left w:val="single" w:sz="4" w:space="0" w:color="auto"/>
              <w:bottom w:val="single" w:sz="4" w:space="0" w:color="auto"/>
              <w:right w:val="single" w:sz="4" w:space="0" w:color="auto"/>
            </w:tcBorders>
            <w:vAlign w:val="center"/>
          </w:tcPr>
          <w:p w14:paraId="02362C52" w14:textId="77777777" w:rsidR="008B5AD7" w:rsidRPr="008B5AD7" w:rsidRDefault="008B5AD7" w:rsidP="008B5AD7">
            <w:pPr>
              <w:jc w:val="center"/>
              <w:rPr>
                <w:rFonts w:ascii="Times New Roman" w:hAnsi="Times New Roman" w:cs="Times New Roman"/>
                <w:b/>
                <w:bCs/>
              </w:rPr>
            </w:pPr>
            <w:r w:rsidRPr="008B5AD7">
              <w:rPr>
                <w:rFonts w:ascii="Times New Roman" w:hAnsi="Times New Roman" w:cs="Times New Roman"/>
                <w:b/>
                <w:bCs/>
              </w:rPr>
              <w:t>Bình quân</w:t>
            </w:r>
          </w:p>
        </w:tc>
      </w:tr>
      <w:tr w:rsidR="003331B9" w:rsidRPr="001909AC" w14:paraId="04CE2389" w14:textId="77777777" w:rsidTr="00133F6A">
        <w:trPr>
          <w:trHeight w:val="293"/>
        </w:trPr>
        <w:tc>
          <w:tcPr>
            <w:tcW w:w="745" w:type="dxa"/>
            <w:tcBorders>
              <w:top w:val="single" w:sz="4" w:space="0" w:color="auto"/>
              <w:left w:val="single" w:sz="4" w:space="0" w:color="auto"/>
              <w:bottom w:val="single" w:sz="4" w:space="0" w:color="auto"/>
              <w:right w:val="single" w:sz="4" w:space="0" w:color="auto"/>
            </w:tcBorders>
            <w:vAlign w:val="center"/>
          </w:tcPr>
          <w:p w14:paraId="19275730" w14:textId="6B396D05"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b/>
                <w:bCs/>
              </w:rPr>
              <w:t>1</w:t>
            </w:r>
          </w:p>
        </w:tc>
        <w:tc>
          <w:tcPr>
            <w:tcW w:w="1279" w:type="dxa"/>
            <w:tcBorders>
              <w:top w:val="single" w:sz="4" w:space="0" w:color="auto"/>
              <w:left w:val="single" w:sz="4" w:space="0" w:color="auto"/>
              <w:bottom w:val="single" w:sz="4" w:space="0" w:color="auto"/>
              <w:right w:val="single" w:sz="4" w:space="0" w:color="auto"/>
            </w:tcBorders>
            <w:vAlign w:val="center"/>
            <w:hideMark/>
          </w:tcPr>
          <w:p w14:paraId="3741F3EF" w14:textId="0D1B1C2A" w:rsidR="003331B9" w:rsidRPr="008B5AD7"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TVD</w:t>
            </w:r>
          </w:p>
        </w:tc>
        <w:tc>
          <w:tcPr>
            <w:tcW w:w="1131" w:type="dxa"/>
            <w:tcBorders>
              <w:top w:val="single" w:sz="4" w:space="0" w:color="auto"/>
              <w:left w:val="single" w:sz="4" w:space="0" w:color="auto"/>
              <w:bottom w:val="single" w:sz="4" w:space="0" w:color="auto"/>
              <w:right w:val="single" w:sz="4" w:space="0" w:color="auto"/>
            </w:tcBorders>
            <w:vAlign w:val="center"/>
            <w:hideMark/>
          </w:tcPr>
          <w:p w14:paraId="7837F867"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11,56%</w:t>
            </w:r>
          </w:p>
        </w:tc>
        <w:tc>
          <w:tcPr>
            <w:tcW w:w="1121" w:type="dxa"/>
            <w:tcBorders>
              <w:top w:val="single" w:sz="4" w:space="0" w:color="auto"/>
              <w:left w:val="single" w:sz="4" w:space="0" w:color="auto"/>
              <w:bottom w:val="single" w:sz="4" w:space="0" w:color="auto"/>
              <w:right w:val="single" w:sz="4" w:space="0" w:color="auto"/>
            </w:tcBorders>
            <w:vAlign w:val="center"/>
            <w:hideMark/>
          </w:tcPr>
          <w:p w14:paraId="16418CCB"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12,76%</w:t>
            </w:r>
          </w:p>
        </w:tc>
        <w:tc>
          <w:tcPr>
            <w:tcW w:w="1121" w:type="dxa"/>
            <w:tcBorders>
              <w:top w:val="single" w:sz="4" w:space="0" w:color="auto"/>
              <w:left w:val="single" w:sz="4" w:space="0" w:color="auto"/>
              <w:bottom w:val="single" w:sz="4" w:space="0" w:color="auto"/>
              <w:right w:val="single" w:sz="4" w:space="0" w:color="auto"/>
            </w:tcBorders>
            <w:vAlign w:val="center"/>
            <w:hideMark/>
          </w:tcPr>
          <w:p w14:paraId="6BC30782"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18,43%</w:t>
            </w:r>
          </w:p>
        </w:tc>
        <w:tc>
          <w:tcPr>
            <w:tcW w:w="1047" w:type="dxa"/>
            <w:tcBorders>
              <w:top w:val="single" w:sz="4" w:space="0" w:color="auto"/>
              <w:left w:val="single" w:sz="4" w:space="0" w:color="auto"/>
              <w:bottom w:val="single" w:sz="4" w:space="0" w:color="auto"/>
              <w:right w:val="single" w:sz="4" w:space="0" w:color="auto"/>
            </w:tcBorders>
            <w:vAlign w:val="center"/>
            <w:hideMark/>
          </w:tcPr>
          <w:p w14:paraId="3403F62C"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26,54%</w:t>
            </w:r>
          </w:p>
        </w:tc>
        <w:tc>
          <w:tcPr>
            <w:tcW w:w="1121" w:type="dxa"/>
            <w:tcBorders>
              <w:top w:val="single" w:sz="4" w:space="0" w:color="auto"/>
              <w:left w:val="single" w:sz="4" w:space="0" w:color="auto"/>
              <w:bottom w:val="single" w:sz="4" w:space="0" w:color="auto"/>
              <w:right w:val="single" w:sz="4" w:space="0" w:color="auto"/>
            </w:tcBorders>
            <w:vAlign w:val="center"/>
            <w:hideMark/>
          </w:tcPr>
          <w:p w14:paraId="1707B7D9"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19,53%</w:t>
            </w:r>
          </w:p>
        </w:tc>
        <w:tc>
          <w:tcPr>
            <w:tcW w:w="1379" w:type="dxa"/>
            <w:tcBorders>
              <w:top w:val="single" w:sz="4" w:space="0" w:color="auto"/>
              <w:left w:val="single" w:sz="4" w:space="0" w:color="auto"/>
              <w:bottom w:val="single" w:sz="4" w:space="0" w:color="auto"/>
              <w:right w:val="single" w:sz="4" w:space="0" w:color="auto"/>
            </w:tcBorders>
            <w:vAlign w:val="center"/>
          </w:tcPr>
          <w:p w14:paraId="1E24CCB6" w14:textId="77777777" w:rsidR="003331B9" w:rsidRPr="008B5AD7" w:rsidRDefault="003331B9" w:rsidP="003331B9">
            <w:pPr>
              <w:jc w:val="center"/>
              <w:rPr>
                <w:rFonts w:ascii="Times New Roman" w:hAnsi="Times New Roman" w:cs="Times New Roman"/>
              </w:rPr>
            </w:pPr>
            <w:r w:rsidRPr="008B5AD7">
              <w:rPr>
                <w:rFonts w:ascii="Times New Roman" w:hAnsi="Times New Roman" w:cs="Times New Roman"/>
              </w:rPr>
              <w:t>17,76%</w:t>
            </w:r>
          </w:p>
        </w:tc>
      </w:tr>
      <w:tr w:rsidR="003331B9" w:rsidRPr="001909AC" w14:paraId="423F898F" w14:textId="77777777" w:rsidTr="00133F6A">
        <w:trPr>
          <w:trHeight w:val="271"/>
        </w:trPr>
        <w:tc>
          <w:tcPr>
            <w:tcW w:w="745" w:type="dxa"/>
            <w:tcBorders>
              <w:top w:val="single" w:sz="4" w:space="0" w:color="auto"/>
              <w:left w:val="single" w:sz="4" w:space="0" w:color="auto"/>
              <w:bottom w:val="single" w:sz="4" w:space="0" w:color="auto"/>
              <w:right w:val="single" w:sz="4" w:space="0" w:color="auto"/>
            </w:tcBorders>
            <w:vAlign w:val="center"/>
          </w:tcPr>
          <w:p w14:paraId="1A31DC3E" w14:textId="23303F48"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b/>
                <w:bCs/>
              </w:rPr>
              <w:t>2</w:t>
            </w:r>
          </w:p>
        </w:tc>
        <w:tc>
          <w:tcPr>
            <w:tcW w:w="1279" w:type="dxa"/>
            <w:tcBorders>
              <w:top w:val="single" w:sz="4" w:space="0" w:color="auto"/>
              <w:left w:val="single" w:sz="4" w:space="0" w:color="auto"/>
              <w:bottom w:val="single" w:sz="4" w:space="0" w:color="auto"/>
              <w:right w:val="single" w:sz="4" w:space="0" w:color="auto"/>
            </w:tcBorders>
            <w:vAlign w:val="center"/>
            <w:hideMark/>
          </w:tcPr>
          <w:p w14:paraId="7335E1D5" w14:textId="75B81475" w:rsidR="003331B9" w:rsidRPr="008B5AD7"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MDC</w:t>
            </w:r>
          </w:p>
        </w:tc>
        <w:tc>
          <w:tcPr>
            <w:tcW w:w="1131" w:type="dxa"/>
            <w:tcBorders>
              <w:top w:val="single" w:sz="4" w:space="0" w:color="auto"/>
              <w:left w:val="single" w:sz="4" w:space="0" w:color="auto"/>
              <w:bottom w:val="single" w:sz="4" w:space="0" w:color="auto"/>
              <w:right w:val="single" w:sz="4" w:space="0" w:color="auto"/>
            </w:tcBorders>
            <w:vAlign w:val="center"/>
            <w:hideMark/>
          </w:tcPr>
          <w:p w14:paraId="7525A8E1"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8,75%</w:t>
            </w:r>
          </w:p>
        </w:tc>
        <w:tc>
          <w:tcPr>
            <w:tcW w:w="1121" w:type="dxa"/>
            <w:tcBorders>
              <w:top w:val="single" w:sz="4" w:space="0" w:color="auto"/>
              <w:left w:val="nil"/>
              <w:bottom w:val="single" w:sz="4" w:space="0" w:color="auto"/>
              <w:right w:val="single" w:sz="4" w:space="0" w:color="auto"/>
            </w:tcBorders>
            <w:vAlign w:val="center"/>
            <w:hideMark/>
          </w:tcPr>
          <w:p w14:paraId="40CCAD5C"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11,32%</w:t>
            </w:r>
          </w:p>
        </w:tc>
        <w:tc>
          <w:tcPr>
            <w:tcW w:w="1121" w:type="dxa"/>
            <w:tcBorders>
              <w:top w:val="single" w:sz="4" w:space="0" w:color="auto"/>
              <w:left w:val="nil"/>
              <w:bottom w:val="single" w:sz="4" w:space="0" w:color="auto"/>
              <w:right w:val="single" w:sz="4" w:space="0" w:color="auto"/>
            </w:tcBorders>
            <w:vAlign w:val="center"/>
            <w:hideMark/>
          </w:tcPr>
          <w:p w14:paraId="07237260"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11,60%</w:t>
            </w:r>
          </w:p>
        </w:tc>
        <w:tc>
          <w:tcPr>
            <w:tcW w:w="1047" w:type="dxa"/>
            <w:tcBorders>
              <w:top w:val="single" w:sz="4" w:space="0" w:color="auto"/>
              <w:left w:val="nil"/>
              <w:bottom w:val="single" w:sz="4" w:space="0" w:color="auto"/>
              <w:right w:val="single" w:sz="4" w:space="0" w:color="auto"/>
            </w:tcBorders>
            <w:vAlign w:val="center"/>
            <w:hideMark/>
          </w:tcPr>
          <w:p w14:paraId="75E77914"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28,48%</w:t>
            </w:r>
          </w:p>
        </w:tc>
        <w:tc>
          <w:tcPr>
            <w:tcW w:w="1121" w:type="dxa"/>
            <w:tcBorders>
              <w:top w:val="single" w:sz="4" w:space="0" w:color="auto"/>
              <w:left w:val="nil"/>
              <w:bottom w:val="single" w:sz="4" w:space="0" w:color="auto"/>
              <w:right w:val="single" w:sz="4" w:space="0" w:color="auto"/>
            </w:tcBorders>
            <w:vAlign w:val="center"/>
            <w:hideMark/>
          </w:tcPr>
          <w:p w14:paraId="4C1CFAE9"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15,67%</w:t>
            </w:r>
          </w:p>
        </w:tc>
        <w:tc>
          <w:tcPr>
            <w:tcW w:w="1379" w:type="dxa"/>
            <w:tcBorders>
              <w:top w:val="single" w:sz="4" w:space="0" w:color="auto"/>
              <w:left w:val="nil"/>
              <w:bottom w:val="single" w:sz="4" w:space="0" w:color="auto"/>
              <w:right w:val="single" w:sz="4" w:space="0" w:color="auto"/>
            </w:tcBorders>
            <w:vAlign w:val="center"/>
          </w:tcPr>
          <w:p w14:paraId="0ED2A639" w14:textId="77777777" w:rsidR="003331B9" w:rsidRPr="008B5AD7" w:rsidRDefault="003331B9" w:rsidP="003331B9">
            <w:pPr>
              <w:jc w:val="center"/>
              <w:rPr>
                <w:rFonts w:ascii="Times New Roman" w:hAnsi="Times New Roman" w:cs="Times New Roman"/>
              </w:rPr>
            </w:pPr>
            <w:r w:rsidRPr="008B5AD7">
              <w:rPr>
                <w:rFonts w:ascii="Times New Roman" w:hAnsi="Times New Roman" w:cs="Times New Roman"/>
              </w:rPr>
              <w:t>15,16%</w:t>
            </w:r>
          </w:p>
        </w:tc>
      </w:tr>
      <w:tr w:rsidR="003331B9" w:rsidRPr="001909AC" w14:paraId="4EED2B0F" w14:textId="77777777" w:rsidTr="00133F6A">
        <w:trPr>
          <w:trHeight w:val="312"/>
        </w:trPr>
        <w:tc>
          <w:tcPr>
            <w:tcW w:w="745" w:type="dxa"/>
            <w:tcBorders>
              <w:top w:val="single" w:sz="4" w:space="0" w:color="auto"/>
              <w:left w:val="single" w:sz="4" w:space="0" w:color="auto"/>
              <w:bottom w:val="single" w:sz="4" w:space="0" w:color="auto"/>
              <w:right w:val="single" w:sz="4" w:space="0" w:color="auto"/>
            </w:tcBorders>
            <w:vAlign w:val="center"/>
          </w:tcPr>
          <w:p w14:paraId="3B2769F9" w14:textId="3052402D"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b/>
                <w:bCs/>
              </w:rPr>
              <w:t>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1A8D1D46" w14:textId="3A70D378" w:rsidR="003331B9" w:rsidRPr="008B5AD7"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HLC</w:t>
            </w:r>
          </w:p>
        </w:tc>
        <w:tc>
          <w:tcPr>
            <w:tcW w:w="1131" w:type="dxa"/>
            <w:tcBorders>
              <w:top w:val="single" w:sz="4" w:space="0" w:color="auto"/>
              <w:left w:val="single" w:sz="4" w:space="0" w:color="auto"/>
              <w:bottom w:val="single" w:sz="4" w:space="0" w:color="auto"/>
              <w:right w:val="single" w:sz="4" w:space="0" w:color="auto"/>
            </w:tcBorders>
            <w:vAlign w:val="center"/>
            <w:hideMark/>
          </w:tcPr>
          <w:p w14:paraId="32A8D69B"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15,63%</w:t>
            </w:r>
          </w:p>
        </w:tc>
        <w:tc>
          <w:tcPr>
            <w:tcW w:w="1121" w:type="dxa"/>
            <w:tcBorders>
              <w:top w:val="single" w:sz="4" w:space="0" w:color="auto"/>
              <w:left w:val="single" w:sz="4" w:space="0" w:color="auto"/>
              <w:bottom w:val="single" w:sz="4" w:space="0" w:color="auto"/>
              <w:right w:val="single" w:sz="4" w:space="0" w:color="auto"/>
            </w:tcBorders>
            <w:vAlign w:val="center"/>
            <w:hideMark/>
          </w:tcPr>
          <w:p w14:paraId="123DB96D"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13,50%</w:t>
            </w:r>
          </w:p>
        </w:tc>
        <w:tc>
          <w:tcPr>
            <w:tcW w:w="1121" w:type="dxa"/>
            <w:tcBorders>
              <w:top w:val="single" w:sz="4" w:space="0" w:color="auto"/>
              <w:left w:val="single" w:sz="4" w:space="0" w:color="auto"/>
              <w:bottom w:val="single" w:sz="4" w:space="0" w:color="auto"/>
              <w:right w:val="single" w:sz="4" w:space="0" w:color="auto"/>
            </w:tcBorders>
            <w:vAlign w:val="center"/>
            <w:hideMark/>
          </w:tcPr>
          <w:p w14:paraId="64FF3827"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21,64%</w:t>
            </w:r>
          </w:p>
        </w:tc>
        <w:tc>
          <w:tcPr>
            <w:tcW w:w="1047" w:type="dxa"/>
            <w:tcBorders>
              <w:top w:val="single" w:sz="4" w:space="0" w:color="auto"/>
              <w:left w:val="single" w:sz="4" w:space="0" w:color="auto"/>
              <w:bottom w:val="single" w:sz="4" w:space="0" w:color="auto"/>
              <w:right w:val="single" w:sz="4" w:space="0" w:color="auto"/>
            </w:tcBorders>
            <w:vAlign w:val="center"/>
            <w:hideMark/>
          </w:tcPr>
          <w:p w14:paraId="2E1A1ACB"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21,10%</w:t>
            </w:r>
          </w:p>
        </w:tc>
        <w:tc>
          <w:tcPr>
            <w:tcW w:w="1121" w:type="dxa"/>
            <w:tcBorders>
              <w:top w:val="single" w:sz="4" w:space="0" w:color="auto"/>
              <w:left w:val="single" w:sz="4" w:space="0" w:color="auto"/>
              <w:bottom w:val="single" w:sz="4" w:space="0" w:color="auto"/>
              <w:right w:val="single" w:sz="4" w:space="0" w:color="auto"/>
            </w:tcBorders>
            <w:vAlign w:val="center"/>
            <w:hideMark/>
          </w:tcPr>
          <w:p w14:paraId="3A82A36E" w14:textId="77777777"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rPr>
              <w:t>23,52%</w:t>
            </w:r>
          </w:p>
        </w:tc>
        <w:tc>
          <w:tcPr>
            <w:tcW w:w="1379" w:type="dxa"/>
            <w:tcBorders>
              <w:top w:val="single" w:sz="4" w:space="0" w:color="auto"/>
              <w:left w:val="single" w:sz="4" w:space="0" w:color="auto"/>
              <w:bottom w:val="single" w:sz="4" w:space="0" w:color="auto"/>
              <w:right w:val="single" w:sz="4" w:space="0" w:color="auto"/>
            </w:tcBorders>
            <w:vAlign w:val="center"/>
          </w:tcPr>
          <w:p w14:paraId="40C489F4" w14:textId="77777777" w:rsidR="003331B9" w:rsidRPr="008B5AD7" w:rsidRDefault="003331B9" w:rsidP="003331B9">
            <w:pPr>
              <w:jc w:val="center"/>
              <w:rPr>
                <w:rFonts w:ascii="Times New Roman" w:hAnsi="Times New Roman" w:cs="Times New Roman"/>
              </w:rPr>
            </w:pPr>
            <w:r w:rsidRPr="008B5AD7">
              <w:rPr>
                <w:rFonts w:ascii="Times New Roman" w:hAnsi="Times New Roman" w:cs="Times New Roman"/>
              </w:rPr>
              <w:t>19,08%</w:t>
            </w:r>
          </w:p>
        </w:tc>
      </w:tr>
      <w:tr w:rsidR="003331B9" w:rsidRPr="001909AC" w14:paraId="0B6BF899" w14:textId="77777777" w:rsidTr="00133F6A">
        <w:trPr>
          <w:trHeight w:val="271"/>
        </w:trPr>
        <w:tc>
          <w:tcPr>
            <w:tcW w:w="745" w:type="dxa"/>
            <w:tcBorders>
              <w:top w:val="single" w:sz="4" w:space="0" w:color="auto"/>
              <w:left w:val="single" w:sz="4" w:space="0" w:color="auto"/>
              <w:bottom w:val="single" w:sz="4" w:space="0" w:color="auto"/>
              <w:right w:val="single" w:sz="4" w:space="0" w:color="auto"/>
            </w:tcBorders>
            <w:vAlign w:val="center"/>
          </w:tcPr>
          <w:p w14:paraId="4F9F4CCF" w14:textId="423567FA"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b/>
                <w:bCs/>
              </w:rPr>
              <w:t>4</w:t>
            </w:r>
          </w:p>
        </w:tc>
        <w:tc>
          <w:tcPr>
            <w:tcW w:w="1279" w:type="dxa"/>
            <w:tcBorders>
              <w:top w:val="single" w:sz="4" w:space="0" w:color="auto"/>
              <w:left w:val="single" w:sz="4" w:space="0" w:color="auto"/>
              <w:bottom w:val="single" w:sz="4" w:space="0" w:color="auto"/>
              <w:right w:val="single" w:sz="4" w:space="0" w:color="auto"/>
            </w:tcBorders>
            <w:vAlign w:val="center"/>
            <w:hideMark/>
          </w:tcPr>
          <w:p w14:paraId="7B99BAFB" w14:textId="234BAB82" w:rsidR="003331B9" w:rsidRPr="008B5AD7"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THT</w:t>
            </w:r>
          </w:p>
        </w:tc>
        <w:tc>
          <w:tcPr>
            <w:tcW w:w="1131" w:type="dxa"/>
            <w:tcBorders>
              <w:top w:val="single" w:sz="4" w:space="0" w:color="auto"/>
              <w:left w:val="single" w:sz="4" w:space="0" w:color="auto"/>
              <w:bottom w:val="single" w:sz="4" w:space="0" w:color="auto"/>
              <w:right w:val="single" w:sz="4" w:space="0" w:color="auto"/>
            </w:tcBorders>
            <w:vAlign w:val="center"/>
            <w:hideMark/>
          </w:tcPr>
          <w:p w14:paraId="53A73BE6"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17,99%</w:t>
            </w:r>
          </w:p>
        </w:tc>
        <w:tc>
          <w:tcPr>
            <w:tcW w:w="1121" w:type="dxa"/>
            <w:tcBorders>
              <w:top w:val="single" w:sz="4" w:space="0" w:color="auto"/>
              <w:left w:val="single" w:sz="4" w:space="0" w:color="auto"/>
              <w:bottom w:val="single" w:sz="4" w:space="0" w:color="auto"/>
              <w:right w:val="single" w:sz="4" w:space="0" w:color="auto"/>
            </w:tcBorders>
            <w:vAlign w:val="center"/>
            <w:hideMark/>
          </w:tcPr>
          <w:p w14:paraId="51B1C530"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10,19%</w:t>
            </w:r>
          </w:p>
        </w:tc>
        <w:tc>
          <w:tcPr>
            <w:tcW w:w="1121" w:type="dxa"/>
            <w:tcBorders>
              <w:top w:val="single" w:sz="4" w:space="0" w:color="auto"/>
              <w:left w:val="single" w:sz="4" w:space="0" w:color="auto"/>
              <w:bottom w:val="single" w:sz="4" w:space="0" w:color="auto"/>
              <w:right w:val="single" w:sz="4" w:space="0" w:color="auto"/>
            </w:tcBorders>
            <w:vAlign w:val="center"/>
            <w:hideMark/>
          </w:tcPr>
          <w:p w14:paraId="2BE6AC17"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11,56%</w:t>
            </w:r>
          </w:p>
        </w:tc>
        <w:tc>
          <w:tcPr>
            <w:tcW w:w="1047" w:type="dxa"/>
            <w:tcBorders>
              <w:top w:val="single" w:sz="4" w:space="0" w:color="auto"/>
              <w:left w:val="single" w:sz="4" w:space="0" w:color="auto"/>
              <w:bottom w:val="single" w:sz="4" w:space="0" w:color="auto"/>
              <w:right w:val="single" w:sz="4" w:space="0" w:color="auto"/>
            </w:tcBorders>
            <w:vAlign w:val="center"/>
            <w:hideMark/>
          </w:tcPr>
          <w:p w14:paraId="4B64A62D"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19,40%</w:t>
            </w:r>
          </w:p>
        </w:tc>
        <w:tc>
          <w:tcPr>
            <w:tcW w:w="1121" w:type="dxa"/>
            <w:tcBorders>
              <w:top w:val="single" w:sz="4" w:space="0" w:color="auto"/>
              <w:left w:val="single" w:sz="4" w:space="0" w:color="auto"/>
              <w:bottom w:val="single" w:sz="4" w:space="0" w:color="auto"/>
              <w:right w:val="single" w:sz="4" w:space="0" w:color="auto"/>
            </w:tcBorders>
            <w:vAlign w:val="center"/>
            <w:hideMark/>
          </w:tcPr>
          <w:p w14:paraId="6F47F28C"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17,69%</w:t>
            </w:r>
          </w:p>
        </w:tc>
        <w:tc>
          <w:tcPr>
            <w:tcW w:w="1379" w:type="dxa"/>
            <w:tcBorders>
              <w:top w:val="single" w:sz="4" w:space="0" w:color="auto"/>
              <w:left w:val="single" w:sz="4" w:space="0" w:color="auto"/>
              <w:bottom w:val="single" w:sz="4" w:space="0" w:color="auto"/>
              <w:right w:val="single" w:sz="4" w:space="0" w:color="auto"/>
            </w:tcBorders>
            <w:vAlign w:val="center"/>
          </w:tcPr>
          <w:p w14:paraId="3630DBC6" w14:textId="77777777" w:rsidR="003331B9" w:rsidRPr="008B5AD7" w:rsidRDefault="003331B9" w:rsidP="003331B9">
            <w:pPr>
              <w:jc w:val="center"/>
              <w:rPr>
                <w:rFonts w:ascii="Times New Roman" w:hAnsi="Times New Roman" w:cs="Times New Roman"/>
              </w:rPr>
            </w:pPr>
            <w:r w:rsidRPr="008B5AD7">
              <w:rPr>
                <w:rFonts w:ascii="Times New Roman" w:hAnsi="Times New Roman" w:cs="Times New Roman"/>
              </w:rPr>
              <w:t>15,37%</w:t>
            </w:r>
          </w:p>
        </w:tc>
      </w:tr>
      <w:tr w:rsidR="003331B9" w:rsidRPr="001909AC" w14:paraId="580684C5" w14:textId="77777777" w:rsidTr="00133F6A">
        <w:trPr>
          <w:trHeight w:val="271"/>
        </w:trPr>
        <w:tc>
          <w:tcPr>
            <w:tcW w:w="745" w:type="dxa"/>
            <w:tcBorders>
              <w:top w:val="single" w:sz="4" w:space="0" w:color="auto"/>
              <w:left w:val="single" w:sz="4" w:space="0" w:color="auto"/>
              <w:bottom w:val="single" w:sz="4" w:space="0" w:color="auto"/>
              <w:right w:val="single" w:sz="4" w:space="0" w:color="auto"/>
            </w:tcBorders>
            <w:vAlign w:val="center"/>
          </w:tcPr>
          <w:p w14:paraId="4ED710DC" w14:textId="5E987FA2" w:rsidR="003331B9" w:rsidRPr="008B5AD7" w:rsidRDefault="003331B9" w:rsidP="003331B9">
            <w:pPr>
              <w:spacing w:after="160" w:line="259" w:lineRule="auto"/>
              <w:jc w:val="center"/>
              <w:rPr>
                <w:rFonts w:ascii="Times New Roman" w:hAnsi="Times New Roman" w:cs="Times New Roman"/>
                <w:b/>
                <w:bCs/>
              </w:rPr>
            </w:pPr>
            <w:r w:rsidRPr="008B5AD7">
              <w:rPr>
                <w:rFonts w:ascii="Times New Roman" w:hAnsi="Times New Roman" w:cs="Times New Roman"/>
                <w:b/>
                <w:bCs/>
              </w:rPr>
              <w:t>5</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82CCBDD" w14:textId="687C7FB8" w:rsidR="003331B9" w:rsidRPr="008B5AD7" w:rsidRDefault="003331B9" w:rsidP="00133F6A">
            <w:pPr>
              <w:spacing w:after="160" w:line="259" w:lineRule="auto"/>
              <w:jc w:val="center"/>
              <w:rPr>
                <w:rFonts w:ascii="Times New Roman" w:hAnsi="Times New Roman" w:cs="Times New Roman"/>
                <w:b/>
                <w:bCs/>
              </w:rPr>
            </w:pPr>
            <w:r>
              <w:rPr>
                <w:rFonts w:ascii="Times New Roman" w:hAnsi="Times New Roman" w:cs="Times New Roman"/>
                <w:b/>
                <w:bCs/>
                <w:sz w:val="26"/>
                <w:szCs w:val="26"/>
              </w:rPr>
              <w:t>NBC</w:t>
            </w:r>
          </w:p>
        </w:tc>
        <w:tc>
          <w:tcPr>
            <w:tcW w:w="1131" w:type="dxa"/>
            <w:tcBorders>
              <w:top w:val="single" w:sz="4" w:space="0" w:color="auto"/>
              <w:left w:val="single" w:sz="4" w:space="0" w:color="auto"/>
              <w:bottom w:val="single" w:sz="4" w:space="0" w:color="auto"/>
              <w:right w:val="single" w:sz="4" w:space="0" w:color="auto"/>
            </w:tcBorders>
            <w:vAlign w:val="center"/>
            <w:hideMark/>
          </w:tcPr>
          <w:p w14:paraId="7995C5A8"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6,6%</w:t>
            </w:r>
          </w:p>
        </w:tc>
        <w:tc>
          <w:tcPr>
            <w:tcW w:w="1121" w:type="dxa"/>
            <w:tcBorders>
              <w:top w:val="single" w:sz="4" w:space="0" w:color="auto"/>
              <w:left w:val="single" w:sz="4" w:space="0" w:color="auto"/>
              <w:bottom w:val="single" w:sz="4" w:space="0" w:color="auto"/>
              <w:right w:val="single" w:sz="4" w:space="0" w:color="auto"/>
            </w:tcBorders>
            <w:vAlign w:val="center"/>
            <w:hideMark/>
          </w:tcPr>
          <w:p w14:paraId="01CCBF36"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9,77%</w:t>
            </w:r>
          </w:p>
        </w:tc>
        <w:tc>
          <w:tcPr>
            <w:tcW w:w="1121" w:type="dxa"/>
            <w:tcBorders>
              <w:top w:val="single" w:sz="4" w:space="0" w:color="auto"/>
              <w:left w:val="single" w:sz="4" w:space="0" w:color="auto"/>
              <w:bottom w:val="single" w:sz="4" w:space="0" w:color="auto"/>
              <w:right w:val="single" w:sz="4" w:space="0" w:color="auto"/>
            </w:tcBorders>
            <w:vAlign w:val="center"/>
            <w:hideMark/>
          </w:tcPr>
          <w:p w14:paraId="26D033CA"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9,37%</w:t>
            </w:r>
          </w:p>
        </w:tc>
        <w:tc>
          <w:tcPr>
            <w:tcW w:w="1047" w:type="dxa"/>
            <w:tcBorders>
              <w:top w:val="single" w:sz="4" w:space="0" w:color="auto"/>
              <w:left w:val="single" w:sz="4" w:space="0" w:color="auto"/>
              <w:bottom w:val="single" w:sz="4" w:space="0" w:color="auto"/>
              <w:right w:val="single" w:sz="4" w:space="0" w:color="auto"/>
            </w:tcBorders>
            <w:vAlign w:val="center"/>
            <w:hideMark/>
          </w:tcPr>
          <w:p w14:paraId="1C5F9691"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9,65%</w:t>
            </w:r>
          </w:p>
        </w:tc>
        <w:tc>
          <w:tcPr>
            <w:tcW w:w="1121" w:type="dxa"/>
            <w:tcBorders>
              <w:top w:val="single" w:sz="4" w:space="0" w:color="auto"/>
              <w:left w:val="single" w:sz="4" w:space="0" w:color="auto"/>
              <w:bottom w:val="single" w:sz="4" w:space="0" w:color="auto"/>
              <w:right w:val="single" w:sz="4" w:space="0" w:color="auto"/>
            </w:tcBorders>
            <w:vAlign w:val="center"/>
            <w:hideMark/>
          </w:tcPr>
          <w:p w14:paraId="1A1FFC6A" w14:textId="77777777" w:rsidR="003331B9" w:rsidRPr="008B5AD7" w:rsidRDefault="003331B9" w:rsidP="003331B9">
            <w:pPr>
              <w:spacing w:after="160" w:line="259" w:lineRule="auto"/>
              <w:jc w:val="center"/>
              <w:rPr>
                <w:rFonts w:ascii="Times New Roman" w:hAnsi="Times New Roman" w:cs="Times New Roman"/>
              </w:rPr>
            </w:pPr>
            <w:r w:rsidRPr="008B5AD7">
              <w:rPr>
                <w:rFonts w:ascii="Times New Roman" w:hAnsi="Times New Roman" w:cs="Times New Roman"/>
              </w:rPr>
              <w:t>18,09%</w:t>
            </w:r>
          </w:p>
        </w:tc>
        <w:tc>
          <w:tcPr>
            <w:tcW w:w="1379" w:type="dxa"/>
            <w:tcBorders>
              <w:top w:val="single" w:sz="4" w:space="0" w:color="auto"/>
              <w:left w:val="single" w:sz="4" w:space="0" w:color="auto"/>
              <w:bottom w:val="single" w:sz="4" w:space="0" w:color="auto"/>
              <w:right w:val="single" w:sz="4" w:space="0" w:color="auto"/>
            </w:tcBorders>
            <w:vAlign w:val="center"/>
          </w:tcPr>
          <w:p w14:paraId="582329C6" w14:textId="77777777" w:rsidR="003331B9" w:rsidRPr="008B5AD7" w:rsidRDefault="003331B9" w:rsidP="003331B9">
            <w:pPr>
              <w:jc w:val="center"/>
              <w:rPr>
                <w:rFonts w:ascii="Times New Roman" w:hAnsi="Times New Roman" w:cs="Times New Roman"/>
              </w:rPr>
            </w:pPr>
            <w:r w:rsidRPr="008B5AD7">
              <w:rPr>
                <w:rFonts w:ascii="Times New Roman" w:hAnsi="Times New Roman" w:cs="Times New Roman"/>
              </w:rPr>
              <w:t>10,70%</w:t>
            </w:r>
          </w:p>
        </w:tc>
      </w:tr>
    </w:tbl>
    <w:p w14:paraId="04923BF3" w14:textId="2C6419F9" w:rsidR="008B5AD7" w:rsidRPr="00B1640A" w:rsidRDefault="00B1640A" w:rsidP="00B1640A">
      <w:pPr>
        <w:spacing w:after="160" w:line="278" w:lineRule="auto"/>
        <w:jc w:val="right"/>
        <w:rPr>
          <w:rFonts w:ascii="Times New Roman" w:hAnsi="Times New Roman" w:cs="Times New Roman"/>
          <w:bCs/>
          <w:i/>
          <w:sz w:val="26"/>
          <w:szCs w:val="26"/>
        </w:rPr>
      </w:pPr>
      <w:r w:rsidRPr="0031049D">
        <w:rPr>
          <w:rFonts w:ascii="Times New Roman" w:hAnsi="Times New Roman" w:cs="Times New Roman"/>
          <w:bCs/>
          <w:i/>
          <w:sz w:val="26"/>
          <w:szCs w:val="26"/>
        </w:rPr>
        <w:t>(Nguồn: Tổng hợp từ BCTC các công ty giai đoạn 2019-2023)</w:t>
      </w:r>
    </w:p>
    <w:p w14:paraId="049BEEF1" w14:textId="25F6998A" w:rsidR="008B5AD7" w:rsidRDefault="008B5AD7" w:rsidP="00533E45">
      <w:pPr>
        <w:spacing w:line="312" w:lineRule="auto"/>
        <w:rPr>
          <w:rFonts w:ascii="Times New Roman" w:hAnsi="Times New Roman" w:cs="Times New Roman"/>
          <w:sz w:val="26"/>
          <w:szCs w:val="26"/>
          <w:lang w:val="vi-VN"/>
        </w:rPr>
      </w:pPr>
      <w:r>
        <w:rPr>
          <w:noProof/>
          <w:lang w:eastAsia="en-US"/>
        </w:rPr>
        <w:lastRenderedPageBreak/>
        <w:drawing>
          <wp:inline distT="0" distB="0" distL="0" distR="0" wp14:anchorId="006D15B5" wp14:editId="621F3F98">
            <wp:extent cx="5669280" cy="2712720"/>
            <wp:effectExtent l="0" t="0" r="7620" b="1143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4E9F5CA3" w14:textId="77777777" w:rsidR="00133F6A" w:rsidRPr="0012569A" w:rsidRDefault="00133F6A" w:rsidP="0012569A">
      <w:pPr>
        <w:spacing w:line="312" w:lineRule="auto"/>
        <w:ind w:firstLine="720"/>
        <w:jc w:val="both"/>
        <w:rPr>
          <w:rFonts w:ascii="Times New Roman" w:hAnsi="Times New Roman" w:cs="Times New Roman"/>
          <w:sz w:val="26"/>
          <w:szCs w:val="26"/>
          <w:lang w:val="vi-VN"/>
        </w:rPr>
      </w:pPr>
    </w:p>
    <w:p w14:paraId="1F74E12C" w14:textId="5FC37329" w:rsidR="00426BBE" w:rsidRPr="00F22BA5" w:rsidRDefault="008B5AD7" w:rsidP="001A609F">
      <w:pPr>
        <w:spacing w:line="312" w:lineRule="auto"/>
        <w:ind w:firstLine="720"/>
        <w:jc w:val="both"/>
        <w:rPr>
          <w:rFonts w:ascii="Times New Roman" w:hAnsi="Times New Roman" w:cs="Times New Roman"/>
          <w:sz w:val="26"/>
          <w:szCs w:val="26"/>
          <w:lang w:val="vi-VN"/>
        </w:rPr>
      </w:pPr>
      <w:r w:rsidRPr="008B5AD7">
        <w:rPr>
          <w:rFonts w:ascii="Times New Roman" w:hAnsi="Times New Roman" w:cs="Times New Roman"/>
          <w:sz w:val="26"/>
          <w:szCs w:val="26"/>
          <w:lang w:val="vi-VN"/>
        </w:rPr>
        <w:t xml:space="preserve">ROE của các công ty cổ phần than trong giai đoạn 2019–2023 phản ánh một bức tranh tài chính khá tích cực. Các công ty đã chứng minh khả năng sinh lời mạnh mẽ từ vốn chủ sở hữu, đặc biệt trong những năm sau đại dịch. </w:t>
      </w:r>
      <w:r w:rsidR="00F761EF" w:rsidRPr="00F22BA5">
        <w:rPr>
          <w:rFonts w:ascii="Times New Roman" w:hAnsi="Times New Roman" w:cs="Times New Roman"/>
          <w:sz w:val="26"/>
          <w:szCs w:val="26"/>
          <w:lang w:val="vi-VN"/>
        </w:rPr>
        <w:t>Các</w:t>
      </w:r>
      <w:r w:rsidR="00F761EF">
        <w:rPr>
          <w:rFonts w:ascii="Times New Roman" w:hAnsi="Times New Roman" w:cs="Times New Roman"/>
          <w:sz w:val="26"/>
          <w:szCs w:val="26"/>
          <w:lang w:val="vi-VN"/>
        </w:rPr>
        <w:t xml:space="preserve"> công ty như</w:t>
      </w:r>
      <w:r w:rsidR="00F761EF" w:rsidRPr="00F22BA5">
        <w:rPr>
          <w:rFonts w:ascii="Times New Roman" w:hAnsi="Times New Roman" w:cs="Times New Roman"/>
          <w:sz w:val="26"/>
          <w:szCs w:val="26"/>
          <w:lang w:val="vi-VN"/>
        </w:rPr>
        <w:t xml:space="preserve"> CTCP </w:t>
      </w:r>
      <w:r w:rsidRPr="008B5AD7">
        <w:rPr>
          <w:rFonts w:ascii="Times New Roman" w:hAnsi="Times New Roman" w:cs="Times New Roman"/>
          <w:sz w:val="26"/>
          <w:szCs w:val="26"/>
          <w:lang w:val="vi-VN"/>
        </w:rPr>
        <w:t xml:space="preserve">Than Vàng Danh, </w:t>
      </w:r>
      <w:r w:rsidR="00F761EF" w:rsidRPr="00F22BA5">
        <w:rPr>
          <w:rFonts w:ascii="Times New Roman" w:hAnsi="Times New Roman" w:cs="Times New Roman"/>
          <w:sz w:val="26"/>
          <w:szCs w:val="26"/>
          <w:lang w:val="vi-VN"/>
        </w:rPr>
        <w:t xml:space="preserve">CTCP </w:t>
      </w:r>
      <w:r w:rsidR="00F761EF" w:rsidRPr="008B5AD7">
        <w:rPr>
          <w:rFonts w:ascii="Times New Roman" w:hAnsi="Times New Roman" w:cs="Times New Roman"/>
          <w:sz w:val="26"/>
          <w:szCs w:val="26"/>
          <w:lang w:val="vi-VN"/>
        </w:rPr>
        <w:t xml:space="preserve">Than </w:t>
      </w:r>
      <w:r w:rsidR="00F761EF">
        <w:rPr>
          <w:rFonts w:ascii="Times New Roman" w:hAnsi="Times New Roman" w:cs="Times New Roman"/>
          <w:sz w:val="26"/>
          <w:szCs w:val="26"/>
          <w:lang w:val="vi-VN"/>
        </w:rPr>
        <w:t>Than Mông Dương</w:t>
      </w:r>
      <w:r w:rsidRPr="008B5AD7">
        <w:rPr>
          <w:rFonts w:ascii="Times New Roman" w:hAnsi="Times New Roman" w:cs="Times New Roman"/>
          <w:sz w:val="26"/>
          <w:szCs w:val="26"/>
          <w:lang w:val="vi-VN"/>
        </w:rPr>
        <w:t xml:space="preserve"> và </w:t>
      </w:r>
      <w:r w:rsidR="00F761EF" w:rsidRPr="00F22BA5">
        <w:rPr>
          <w:rFonts w:ascii="Times New Roman" w:hAnsi="Times New Roman" w:cs="Times New Roman"/>
          <w:sz w:val="26"/>
          <w:szCs w:val="26"/>
          <w:lang w:val="vi-VN"/>
        </w:rPr>
        <w:t xml:space="preserve">CTCP </w:t>
      </w:r>
      <w:r w:rsidR="00F761EF" w:rsidRPr="008B5AD7">
        <w:rPr>
          <w:rFonts w:ascii="Times New Roman" w:hAnsi="Times New Roman" w:cs="Times New Roman"/>
          <w:sz w:val="26"/>
          <w:szCs w:val="26"/>
          <w:lang w:val="vi-VN"/>
        </w:rPr>
        <w:t xml:space="preserve">Than </w:t>
      </w:r>
      <w:r w:rsidRPr="008B5AD7">
        <w:rPr>
          <w:rFonts w:ascii="Times New Roman" w:hAnsi="Times New Roman" w:cs="Times New Roman"/>
          <w:sz w:val="26"/>
          <w:szCs w:val="26"/>
          <w:lang w:val="vi-VN"/>
        </w:rPr>
        <w:t xml:space="preserve">Than Hà Lầm có mức ROE tăng trưởng mạnh, thể hiện </w:t>
      </w:r>
      <w:r w:rsidR="00F761EF" w:rsidRPr="008B5AD7">
        <w:rPr>
          <w:rFonts w:ascii="Times New Roman" w:hAnsi="Times New Roman" w:cs="Times New Roman"/>
          <w:sz w:val="26"/>
          <w:szCs w:val="26"/>
          <w:lang w:val="vi-VN"/>
        </w:rPr>
        <w:t>ty đã cải thiện hiệu quả sử dụng vốn chủ sở hữ</w:t>
      </w:r>
      <w:r w:rsidR="001A609F">
        <w:rPr>
          <w:rFonts w:ascii="Times New Roman" w:hAnsi="Times New Roman" w:cs="Times New Roman"/>
          <w:sz w:val="26"/>
          <w:szCs w:val="26"/>
          <w:lang w:val="vi-VN"/>
        </w:rPr>
        <w:t xml:space="preserve">u, </w:t>
      </w:r>
      <w:r w:rsidR="00F761EF" w:rsidRPr="008B5AD7">
        <w:rPr>
          <w:rFonts w:ascii="Times New Roman" w:hAnsi="Times New Roman" w:cs="Times New Roman"/>
          <w:sz w:val="26"/>
          <w:szCs w:val="26"/>
          <w:lang w:val="vi-VN"/>
        </w:rPr>
        <w:t>nhờ vào việc tối ưu hóa chi phí và cải thiện năng lực sản xuấ</w:t>
      </w:r>
      <w:r w:rsidR="001A609F">
        <w:rPr>
          <w:rFonts w:ascii="Times New Roman" w:hAnsi="Times New Roman" w:cs="Times New Roman"/>
          <w:sz w:val="26"/>
          <w:szCs w:val="26"/>
          <w:lang w:val="vi-VN"/>
        </w:rPr>
        <w:t>t.</w:t>
      </w:r>
      <w:r w:rsidR="001A609F" w:rsidRPr="00F22BA5">
        <w:rPr>
          <w:rFonts w:ascii="Times New Roman" w:hAnsi="Times New Roman" w:cs="Times New Roman"/>
          <w:sz w:val="26"/>
          <w:szCs w:val="26"/>
          <w:lang w:val="vi-VN"/>
        </w:rPr>
        <w:t xml:space="preserve"> </w:t>
      </w:r>
      <w:r w:rsidRPr="008B5AD7">
        <w:rPr>
          <w:rFonts w:ascii="Times New Roman" w:hAnsi="Times New Roman" w:cs="Times New Roman"/>
          <w:sz w:val="26"/>
          <w:szCs w:val="26"/>
          <w:lang w:val="vi-VN"/>
        </w:rPr>
        <w:t>Mặ</w:t>
      </w:r>
      <w:r w:rsidR="001A609F">
        <w:rPr>
          <w:rFonts w:ascii="Times New Roman" w:hAnsi="Times New Roman" w:cs="Times New Roman"/>
          <w:sz w:val="26"/>
          <w:szCs w:val="26"/>
          <w:lang w:val="vi-VN"/>
        </w:rPr>
        <w:t>c dù</w:t>
      </w:r>
      <w:r w:rsidRPr="008B5AD7">
        <w:rPr>
          <w:rFonts w:ascii="Times New Roman" w:hAnsi="Times New Roman" w:cs="Times New Roman"/>
          <w:sz w:val="26"/>
          <w:szCs w:val="26"/>
          <w:lang w:val="vi-VN"/>
        </w:rPr>
        <w:t xml:space="preserve"> ROE của một số công ty có sự biến động như</w:t>
      </w:r>
      <w:r w:rsidR="00F761EF" w:rsidRPr="00F22BA5">
        <w:rPr>
          <w:rFonts w:ascii="Times New Roman" w:hAnsi="Times New Roman" w:cs="Times New Roman"/>
          <w:sz w:val="26"/>
          <w:szCs w:val="26"/>
          <w:lang w:val="vi-VN"/>
        </w:rPr>
        <w:t xml:space="preserve"> CTCP </w:t>
      </w:r>
      <w:r w:rsidR="00F761EF" w:rsidRPr="008B5AD7">
        <w:rPr>
          <w:rFonts w:ascii="Times New Roman" w:hAnsi="Times New Roman" w:cs="Times New Roman"/>
          <w:sz w:val="26"/>
          <w:szCs w:val="26"/>
          <w:lang w:val="vi-VN"/>
        </w:rPr>
        <w:t>Than</w:t>
      </w:r>
      <w:r w:rsidRPr="008B5AD7">
        <w:rPr>
          <w:rFonts w:ascii="Times New Roman" w:hAnsi="Times New Roman" w:cs="Times New Roman"/>
          <w:sz w:val="26"/>
          <w:szCs w:val="26"/>
          <w:lang w:val="vi-VN"/>
        </w:rPr>
        <w:t xml:space="preserve"> Than Hà Tu và</w:t>
      </w:r>
      <w:r w:rsidR="00F761EF" w:rsidRPr="00F22BA5">
        <w:rPr>
          <w:rFonts w:ascii="Times New Roman" w:hAnsi="Times New Roman" w:cs="Times New Roman"/>
          <w:sz w:val="26"/>
          <w:szCs w:val="26"/>
          <w:lang w:val="vi-VN"/>
        </w:rPr>
        <w:t xml:space="preserve"> CTCP </w:t>
      </w:r>
      <w:r w:rsidR="00F761EF" w:rsidRPr="008B5AD7">
        <w:rPr>
          <w:rFonts w:ascii="Times New Roman" w:hAnsi="Times New Roman" w:cs="Times New Roman"/>
          <w:sz w:val="26"/>
          <w:szCs w:val="26"/>
          <w:lang w:val="vi-VN"/>
        </w:rPr>
        <w:t>Than</w:t>
      </w:r>
      <w:r w:rsidRPr="008B5AD7">
        <w:rPr>
          <w:rFonts w:ascii="Times New Roman" w:hAnsi="Times New Roman" w:cs="Times New Roman"/>
          <w:sz w:val="26"/>
          <w:szCs w:val="26"/>
          <w:lang w:val="vi-VN"/>
        </w:rPr>
        <w:t xml:space="preserve"> Than Núi Béo, nhưng tổng thể </w:t>
      </w:r>
      <w:r w:rsidR="001A609F" w:rsidRPr="00F22BA5">
        <w:rPr>
          <w:rFonts w:ascii="Times New Roman" w:hAnsi="Times New Roman" w:cs="Times New Roman"/>
          <w:sz w:val="26"/>
          <w:szCs w:val="26"/>
          <w:lang w:val="vi-VN"/>
        </w:rPr>
        <w:t xml:space="preserve">các CTCP niêm yết thuôc TKV </w:t>
      </w:r>
      <w:r w:rsidRPr="008B5AD7">
        <w:rPr>
          <w:rFonts w:ascii="Times New Roman" w:hAnsi="Times New Roman" w:cs="Times New Roman"/>
          <w:sz w:val="26"/>
          <w:szCs w:val="26"/>
          <w:lang w:val="vi-VN"/>
        </w:rPr>
        <w:t>vẫn cho thấy khả năng sinh lời ổn định từ vốn chủ sở hữ</w:t>
      </w:r>
      <w:r w:rsidR="001A609F">
        <w:rPr>
          <w:rFonts w:ascii="Times New Roman" w:hAnsi="Times New Roman" w:cs="Times New Roman"/>
          <w:sz w:val="26"/>
          <w:szCs w:val="26"/>
          <w:lang w:val="vi-VN"/>
        </w:rPr>
        <w:t>u</w:t>
      </w:r>
      <w:r w:rsidR="007E3CD8" w:rsidRPr="00F22BA5">
        <w:rPr>
          <w:rFonts w:ascii="Times New Roman" w:hAnsi="Times New Roman" w:cs="Times New Roman"/>
          <w:sz w:val="26"/>
          <w:szCs w:val="26"/>
          <w:lang w:val="vi-VN"/>
        </w:rPr>
        <w:t xml:space="preserve"> và đảm bảo an toàn tài chính cho các doanh nghiệp.</w:t>
      </w:r>
    </w:p>
    <w:p w14:paraId="36FD1F5A" w14:textId="5FFA9EE7" w:rsidR="00426BBE" w:rsidRPr="00B564BE" w:rsidRDefault="00426BBE" w:rsidP="005B0517">
      <w:pPr>
        <w:pStyle w:val="Heading3"/>
        <w:rPr>
          <w:lang w:val="vi-VN"/>
        </w:rPr>
      </w:pPr>
      <w:bookmarkStart w:id="251" w:name="_Toc198709999"/>
      <w:r w:rsidRPr="00B564BE">
        <w:rPr>
          <w:lang w:val="vi-VN"/>
        </w:rPr>
        <w:t xml:space="preserve">2.3.5. </w:t>
      </w:r>
      <w:r w:rsidR="007E3CD8" w:rsidRPr="00B564BE">
        <w:rPr>
          <w:lang w:val="vi-VN"/>
        </w:rPr>
        <w:t>Nhận xét</w:t>
      </w:r>
      <w:r w:rsidRPr="00B564BE">
        <w:rPr>
          <w:lang w:val="vi-VN"/>
        </w:rPr>
        <w:t xml:space="preserve"> chung về thực trạng an toàn tài chính của các CTCP niêm yết thuộc TKV</w:t>
      </w:r>
      <w:bookmarkEnd w:id="251"/>
    </w:p>
    <w:p w14:paraId="27A8A394" w14:textId="77777777" w:rsidR="00426BBE" w:rsidRPr="00EC6124" w:rsidRDefault="00426BBE" w:rsidP="008A5BBD">
      <w:pPr>
        <w:pStyle w:val="p3"/>
      </w:pPr>
      <w:bookmarkStart w:id="252" w:name="_Toc197781191"/>
      <w:bookmarkStart w:id="253" w:name="_Toc197781474"/>
      <w:bookmarkStart w:id="254" w:name="_Toc198281681"/>
      <w:bookmarkStart w:id="255" w:name="_Toc198284466"/>
      <w:bookmarkStart w:id="256" w:name="_Toc198284848"/>
      <w:bookmarkStart w:id="257" w:name="_Toc198710000"/>
      <w:r w:rsidRPr="00EC6124">
        <w:t>2.3.5.1. Kết quả đạt được</w:t>
      </w:r>
      <w:bookmarkEnd w:id="252"/>
      <w:bookmarkEnd w:id="253"/>
      <w:bookmarkEnd w:id="254"/>
      <w:bookmarkEnd w:id="255"/>
      <w:bookmarkEnd w:id="256"/>
      <w:bookmarkEnd w:id="257"/>
    </w:p>
    <w:p w14:paraId="0B981D1D"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Khả năng thanh toán:</w:t>
      </w:r>
      <w:r w:rsidRPr="00426BBE">
        <w:rPr>
          <w:rFonts w:ascii="Times New Roman" w:hAnsi="Times New Roman" w:cs="Times New Roman"/>
          <w:sz w:val="26"/>
          <w:szCs w:val="26"/>
          <w:lang w:val="vi-VN"/>
        </w:rPr>
        <w:t xml:space="preserve"> Trong giai đoạn 2019-2023, nhiều công ty đã duy trì khả năng thanh toán tương đối tốt. Cụ thể, </w:t>
      </w:r>
      <w:r w:rsidRPr="00426BBE">
        <w:rPr>
          <w:rFonts w:ascii="Times New Roman" w:hAnsi="Times New Roman" w:cs="Times New Roman"/>
          <w:i/>
          <w:iCs/>
          <w:sz w:val="26"/>
          <w:szCs w:val="26"/>
          <w:lang w:val="vi-VN"/>
        </w:rPr>
        <w:t>CTCP Than Mông Dương</w:t>
      </w:r>
      <w:r w:rsidRPr="00426BBE">
        <w:rPr>
          <w:rFonts w:ascii="Times New Roman" w:hAnsi="Times New Roman" w:cs="Times New Roman"/>
          <w:sz w:val="26"/>
          <w:szCs w:val="26"/>
          <w:lang w:val="vi-VN"/>
        </w:rPr>
        <w:t xml:space="preserve"> và </w:t>
      </w:r>
      <w:r w:rsidRPr="00426BBE">
        <w:rPr>
          <w:rFonts w:ascii="Times New Roman" w:hAnsi="Times New Roman" w:cs="Times New Roman"/>
          <w:i/>
          <w:iCs/>
          <w:sz w:val="26"/>
          <w:szCs w:val="26"/>
          <w:lang w:val="vi-VN"/>
        </w:rPr>
        <w:t>CTCP Than Hà Tu</w:t>
      </w:r>
      <w:r w:rsidRPr="00426BBE">
        <w:rPr>
          <w:rFonts w:ascii="Times New Roman" w:hAnsi="Times New Roman" w:cs="Times New Roman"/>
          <w:sz w:val="26"/>
          <w:szCs w:val="26"/>
          <w:lang w:val="vi-VN"/>
        </w:rPr>
        <w:t xml:space="preserve"> có tỷ lệ thanh toán ngắn hạn ổn định, với khả năng chi trả nợ ngắn hạn tốt nhờ vào việc quản lý dòng tiền hiệu quả và tối ưu hóa quy trình sản xuất. Các công ty này cũng có tỷ lệ thanh toán nhanh ở mức hợp lý, giúp giảm thiểu rủi ro tài chính khi gặp biến động ngắn hạn.</w:t>
      </w:r>
    </w:p>
    <w:p w14:paraId="65A1ABCA"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Cơ cấu nguồn vốn và tài sản</w:t>
      </w:r>
      <w:r w:rsidRPr="00426BBE">
        <w:rPr>
          <w:rFonts w:ascii="Times New Roman" w:hAnsi="Times New Roman" w:cs="Times New Roman"/>
          <w:sz w:val="26"/>
          <w:szCs w:val="26"/>
          <w:lang w:val="vi-VN"/>
        </w:rPr>
        <w:t xml:space="preserve">: Về cơ cấu nguồn vốn, các công ty như </w:t>
      </w:r>
      <w:r w:rsidRPr="00426BBE">
        <w:rPr>
          <w:rFonts w:ascii="Times New Roman" w:hAnsi="Times New Roman" w:cs="Times New Roman"/>
          <w:i/>
          <w:iCs/>
          <w:sz w:val="26"/>
          <w:szCs w:val="26"/>
          <w:lang w:val="vi-VN"/>
        </w:rPr>
        <w:t>CTCP Than Mông Dương</w:t>
      </w:r>
      <w:r w:rsidRPr="00426BBE">
        <w:rPr>
          <w:rFonts w:ascii="Times New Roman" w:hAnsi="Times New Roman" w:cs="Times New Roman"/>
          <w:sz w:val="26"/>
          <w:szCs w:val="26"/>
          <w:lang w:val="vi-VN"/>
        </w:rPr>
        <w:t xml:space="preserve"> và </w:t>
      </w:r>
      <w:r w:rsidRPr="00426BBE">
        <w:rPr>
          <w:rFonts w:ascii="Times New Roman" w:hAnsi="Times New Roman" w:cs="Times New Roman"/>
          <w:i/>
          <w:iCs/>
          <w:sz w:val="26"/>
          <w:szCs w:val="26"/>
          <w:lang w:val="vi-VN"/>
        </w:rPr>
        <w:t>CTCP Than Hà Tu</w:t>
      </w:r>
      <w:r w:rsidRPr="00426BBE">
        <w:rPr>
          <w:rFonts w:ascii="Times New Roman" w:hAnsi="Times New Roman" w:cs="Times New Roman"/>
          <w:sz w:val="26"/>
          <w:szCs w:val="26"/>
          <w:lang w:val="vi-VN"/>
        </w:rPr>
        <w:t xml:space="preserve"> đã cải thiện đáng kể trong việc giảm tỷ lệ nợ vay so với vốn chủ sở hữu, giúp giảm bớt sự phụ thuộc vào các khoản vay ngân hàng. Điều này đã giúp các công ty này giảm thiểu chi phí tài chính và </w:t>
      </w:r>
      <w:r w:rsidRPr="00426BBE">
        <w:rPr>
          <w:rFonts w:ascii="Times New Roman" w:hAnsi="Times New Roman" w:cs="Times New Roman"/>
          <w:sz w:val="26"/>
          <w:szCs w:val="26"/>
          <w:lang w:val="vi-VN"/>
        </w:rPr>
        <w:lastRenderedPageBreak/>
        <w:t xml:space="preserve">tăng cường sự ổn định. </w:t>
      </w:r>
      <w:r w:rsidRPr="00426BBE">
        <w:rPr>
          <w:rFonts w:ascii="Times New Roman" w:hAnsi="Times New Roman" w:cs="Times New Roman"/>
          <w:i/>
          <w:iCs/>
          <w:sz w:val="26"/>
          <w:szCs w:val="26"/>
          <w:lang w:val="vi-VN"/>
        </w:rPr>
        <w:t>CTCP Than Núi Béo</w:t>
      </w:r>
      <w:r w:rsidRPr="00426BBE">
        <w:rPr>
          <w:rFonts w:ascii="Times New Roman" w:hAnsi="Times New Roman" w:cs="Times New Roman"/>
          <w:sz w:val="26"/>
          <w:szCs w:val="26"/>
          <w:lang w:val="vi-VN"/>
        </w:rPr>
        <w:t xml:space="preserve"> cũng có một cơ cấu vốn khá cân đối, đồng thời duy trì tỷ lệ nợ/vốn chủ sở hữu hợp lý. Những công ty này cũng đầu tư vào tài sản dài hạn như khoáng sản và thiết bị khai thác hiện đại, tạo nền tảng vững chắc cho sự phát triển bền vững.</w:t>
      </w:r>
    </w:p>
    <w:p w14:paraId="06483E73"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Hiệu suất hoạt động</w:t>
      </w:r>
      <w:r w:rsidRPr="00426BBE">
        <w:rPr>
          <w:rFonts w:ascii="Times New Roman" w:hAnsi="Times New Roman" w:cs="Times New Roman"/>
          <w:sz w:val="26"/>
          <w:szCs w:val="26"/>
          <w:lang w:val="vi-VN"/>
        </w:rPr>
        <w:t xml:space="preserve">: Các công ty như </w:t>
      </w:r>
      <w:r w:rsidRPr="00426BBE">
        <w:rPr>
          <w:rFonts w:ascii="Times New Roman" w:hAnsi="Times New Roman" w:cs="Times New Roman"/>
          <w:i/>
          <w:iCs/>
          <w:sz w:val="26"/>
          <w:szCs w:val="26"/>
          <w:lang w:val="vi-VN"/>
        </w:rPr>
        <w:t>CTCP Than Mông Dương</w:t>
      </w:r>
      <w:r w:rsidRPr="00426BBE">
        <w:rPr>
          <w:rFonts w:ascii="Times New Roman" w:hAnsi="Times New Roman" w:cs="Times New Roman"/>
          <w:sz w:val="26"/>
          <w:szCs w:val="26"/>
          <w:lang w:val="vi-VN"/>
        </w:rPr>
        <w:t xml:space="preserve"> và </w:t>
      </w:r>
      <w:r w:rsidRPr="00426BBE">
        <w:rPr>
          <w:rFonts w:ascii="Times New Roman" w:hAnsi="Times New Roman" w:cs="Times New Roman"/>
          <w:i/>
          <w:iCs/>
          <w:sz w:val="26"/>
          <w:szCs w:val="26"/>
          <w:lang w:val="vi-VN"/>
        </w:rPr>
        <w:t>CTCP Than Hà Tu</w:t>
      </w:r>
      <w:r w:rsidRPr="00426BBE">
        <w:rPr>
          <w:rFonts w:ascii="Times New Roman" w:hAnsi="Times New Roman" w:cs="Times New Roman"/>
          <w:sz w:val="26"/>
          <w:szCs w:val="26"/>
          <w:lang w:val="vi-VN"/>
        </w:rPr>
        <w:t xml:space="preserve"> đã đạt được những cải thiện rõ rệt trong hiệu suất hoạt động nhờ vào việc áp dụng công nghệ khai thác tiên tiến và tối ưu hóa chi phí sản xuất. Điều này giúp giảm chi phí đầu vào và nâng cao năng suất lao động, từ đó đạt được hiệu quả sản xuất cao hơn. Các công ty này cũng duy trì sản lượng ổn định trong suốt giai đoạn, vượt qua nhiều thách thức do biến động của giá than.</w:t>
      </w:r>
    </w:p>
    <w:p w14:paraId="1C9081FE"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Khả năng sinh lời</w:t>
      </w:r>
      <w:r w:rsidRPr="00426BBE">
        <w:rPr>
          <w:rFonts w:ascii="Times New Roman" w:hAnsi="Times New Roman" w:cs="Times New Roman"/>
          <w:sz w:val="26"/>
          <w:szCs w:val="26"/>
          <w:lang w:val="vi-VN"/>
        </w:rPr>
        <w:t xml:space="preserve">: Một số công ty như </w:t>
      </w:r>
      <w:r w:rsidRPr="00426BBE">
        <w:rPr>
          <w:rFonts w:ascii="Times New Roman" w:hAnsi="Times New Roman" w:cs="Times New Roman"/>
          <w:i/>
          <w:iCs/>
          <w:sz w:val="26"/>
          <w:szCs w:val="26"/>
          <w:lang w:val="vi-VN"/>
        </w:rPr>
        <w:t>CTCP Than Mông Dương</w:t>
      </w:r>
      <w:r w:rsidRPr="00426BBE">
        <w:rPr>
          <w:rFonts w:ascii="Times New Roman" w:hAnsi="Times New Roman" w:cs="Times New Roman"/>
          <w:sz w:val="26"/>
          <w:szCs w:val="26"/>
          <w:lang w:val="vi-VN"/>
        </w:rPr>
        <w:t xml:space="preserve"> và </w:t>
      </w:r>
      <w:r w:rsidRPr="00426BBE">
        <w:rPr>
          <w:rFonts w:ascii="Times New Roman" w:hAnsi="Times New Roman" w:cs="Times New Roman"/>
          <w:i/>
          <w:iCs/>
          <w:sz w:val="26"/>
          <w:szCs w:val="26"/>
          <w:lang w:val="vi-VN"/>
        </w:rPr>
        <w:t>CTCP Than Hà Tu</w:t>
      </w:r>
      <w:r w:rsidRPr="00426BBE">
        <w:rPr>
          <w:rFonts w:ascii="Times New Roman" w:hAnsi="Times New Roman" w:cs="Times New Roman"/>
          <w:sz w:val="26"/>
          <w:szCs w:val="26"/>
          <w:lang w:val="vi-VN"/>
        </w:rPr>
        <w:t xml:space="preserve"> có khả năng sinh lời ổn định và tỷ suất lợi nhuận trên vốn chủ sở hữu (ROE) ở mức cao. Nhờ vào việc kiểm soát tốt chi phí và gia tăng sản lượng khai thác, các công ty này có thể duy trì mức lợi nhuận ổn định ngay cả khi giá than có sự biến động mạnh. Việc gia tăng hiệu quả hoạt động và giảm chi phí sản xuất cũng giúp duy trì tỷ suất lợi nhuận trên doanh thu (ROS) ở mức tích cực.</w:t>
      </w:r>
    </w:p>
    <w:p w14:paraId="6ED7BA4C" w14:textId="77777777" w:rsidR="00426BBE" w:rsidRPr="00EC6124" w:rsidRDefault="00426BBE" w:rsidP="008A5BBD">
      <w:pPr>
        <w:pStyle w:val="p3"/>
      </w:pPr>
      <w:bookmarkStart w:id="258" w:name="_Toc198281682"/>
      <w:bookmarkStart w:id="259" w:name="_Toc198284467"/>
      <w:bookmarkStart w:id="260" w:name="_Toc198284849"/>
      <w:bookmarkStart w:id="261" w:name="_Toc198710001"/>
      <w:r w:rsidRPr="00EC6124">
        <w:t>2.3.5.2. Hạn chế:</w:t>
      </w:r>
      <w:bookmarkEnd w:id="258"/>
      <w:bookmarkEnd w:id="259"/>
      <w:bookmarkEnd w:id="260"/>
      <w:bookmarkEnd w:id="261"/>
    </w:p>
    <w:p w14:paraId="6512EB52"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Khả năng thanh toán</w:t>
      </w:r>
      <w:r w:rsidRPr="00426BBE">
        <w:rPr>
          <w:rFonts w:ascii="Times New Roman" w:hAnsi="Times New Roman" w:cs="Times New Roman"/>
          <w:sz w:val="26"/>
          <w:szCs w:val="26"/>
          <w:lang w:val="vi-VN"/>
        </w:rPr>
        <w:t xml:space="preserve">: Dù một số công ty có khả năng thanh toán tốt, nhưng một số khác như </w:t>
      </w:r>
      <w:r w:rsidRPr="00426BBE">
        <w:rPr>
          <w:rFonts w:ascii="Times New Roman" w:hAnsi="Times New Roman" w:cs="Times New Roman"/>
          <w:i/>
          <w:iCs/>
          <w:sz w:val="26"/>
          <w:szCs w:val="26"/>
          <w:lang w:val="vi-VN"/>
        </w:rPr>
        <w:t>CTCP Than Vàng Danh</w:t>
      </w:r>
      <w:r w:rsidRPr="00426BBE">
        <w:rPr>
          <w:rFonts w:ascii="Times New Roman" w:hAnsi="Times New Roman" w:cs="Times New Roman"/>
          <w:sz w:val="26"/>
          <w:szCs w:val="26"/>
          <w:lang w:val="vi-VN"/>
        </w:rPr>
        <w:t xml:space="preserve"> và </w:t>
      </w:r>
      <w:r w:rsidRPr="00426BBE">
        <w:rPr>
          <w:rFonts w:ascii="Times New Roman" w:hAnsi="Times New Roman" w:cs="Times New Roman"/>
          <w:i/>
          <w:iCs/>
          <w:sz w:val="26"/>
          <w:szCs w:val="26"/>
          <w:lang w:val="vi-VN"/>
        </w:rPr>
        <w:t>CTCP Than Hà Lầm</w:t>
      </w:r>
      <w:r w:rsidRPr="00426BBE">
        <w:rPr>
          <w:rFonts w:ascii="Times New Roman" w:hAnsi="Times New Roman" w:cs="Times New Roman"/>
          <w:sz w:val="26"/>
          <w:szCs w:val="26"/>
          <w:lang w:val="vi-VN"/>
        </w:rPr>
        <w:t xml:space="preserve"> gặp phải khó khăn trong việc duy trì tỷ lệ thanh toán ổn định. Cả hai công ty này đều có mức nợ phải trả cao, đặc biệt là nợ ngắn hạn, khiến cho dòng tiền của họ không đủ mạnh để đáp ứng kịp thời các nghĩa vụ tài chính. Việc này chủ yếu do tỷ lệ phải thu lớn và chi phí tài chính cao, tạo ra rủi ro khi gặp biến động trong thị trường than.</w:t>
      </w:r>
    </w:p>
    <w:p w14:paraId="21DA906B"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Cơ cấu nguồn vốn</w:t>
      </w:r>
      <w:r w:rsidRPr="00426BBE">
        <w:rPr>
          <w:rFonts w:ascii="Times New Roman" w:hAnsi="Times New Roman" w:cs="Times New Roman"/>
          <w:sz w:val="26"/>
          <w:szCs w:val="26"/>
          <w:lang w:val="vi-VN"/>
        </w:rPr>
        <w:t xml:space="preserve">: Mặc dù nhiều công ty đã cải thiện cơ cấu nguồn vốn, nhưng các công ty như </w:t>
      </w:r>
      <w:r w:rsidRPr="00426BBE">
        <w:rPr>
          <w:rFonts w:ascii="Times New Roman" w:hAnsi="Times New Roman" w:cs="Times New Roman"/>
          <w:i/>
          <w:iCs/>
          <w:sz w:val="26"/>
          <w:szCs w:val="26"/>
          <w:lang w:val="vi-VN"/>
        </w:rPr>
        <w:t>CTCP Than Vàng Danh</w:t>
      </w:r>
      <w:r w:rsidRPr="00426BBE">
        <w:rPr>
          <w:rFonts w:ascii="Times New Roman" w:hAnsi="Times New Roman" w:cs="Times New Roman"/>
          <w:sz w:val="26"/>
          <w:szCs w:val="26"/>
          <w:lang w:val="vi-VN"/>
        </w:rPr>
        <w:t xml:space="preserve"> và </w:t>
      </w:r>
      <w:r w:rsidRPr="00426BBE">
        <w:rPr>
          <w:rFonts w:ascii="Times New Roman" w:hAnsi="Times New Roman" w:cs="Times New Roman"/>
          <w:i/>
          <w:iCs/>
          <w:sz w:val="26"/>
          <w:szCs w:val="26"/>
          <w:lang w:val="vi-VN"/>
        </w:rPr>
        <w:t>CTCP Than Hà Lầm</w:t>
      </w:r>
      <w:r w:rsidRPr="00426BBE">
        <w:rPr>
          <w:rFonts w:ascii="Times New Roman" w:hAnsi="Times New Roman" w:cs="Times New Roman"/>
          <w:sz w:val="26"/>
          <w:szCs w:val="26"/>
          <w:lang w:val="vi-VN"/>
        </w:rPr>
        <w:t xml:space="preserve"> vẫn duy trì tỷ lệ nợ vay khá cao so với vốn chủ sở hữu. Điều này tạo ra áp lực lớn lên chi phí tài chính của các công ty này, đặc biệt khi lãi suất vay ngân hàng tăng hoặc khi doanh thu không đạt kỳ vọng. Việc sử dụng nợ vay quá mức cũng làm giảm sự linh hoạt tài chính, khiến các công ty này khó khăn hơn trong việc tái cấu trúc hoặc đầu tư cho các dự án mới.</w:t>
      </w:r>
    </w:p>
    <w:p w14:paraId="58E3145D" w14:textId="743BEF3F" w:rsidR="00426BBE" w:rsidRPr="00F22BA5"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Hiệu suất hoạt động</w:t>
      </w:r>
      <w:r w:rsidRPr="00426BBE">
        <w:rPr>
          <w:rFonts w:ascii="Times New Roman" w:hAnsi="Times New Roman" w:cs="Times New Roman"/>
          <w:sz w:val="26"/>
          <w:szCs w:val="26"/>
          <w:lang w:val="vi-VN"/>
        </w:rPr>
        <w:t xml:space="preserve">: Một trong những hạn chế lớn của các công ty là hiệu suất hoạt động chưa được đồng đều. Các công ty như </w:t>
      </w:r>
      <w:r w:rsidRPr="00426BBE">
        <w:rPr>
          <w:rFonts w:ascii="Times New Roman" w:hAnsi="Times New Roman" w:cs="Times New Roman"/>
          <w:i/>
          <w:iCs/>
          <w:sz w:val="26"/>
          <w:szCs w:val="26"/>
          <w:lang w:val="vi-VN"/>
        </w:rPr>
        <w:t>CTCP Than Vàng Danh</w:t>
      </w:r>
      <w:r w:rsidRPr="00426BBE">
        <w:rPr>
          <w:rFonts w:ascii="Times New Roman" w:hAnsi="Times New Roman" w:cs="Times New Roman"/>
          <w:sz w:val="26"/>
          <w:szCs w:val="26"/>
          <w:lang w:val="vi-VN"/>
        </w:rPr>
        <w:t xml:space="preserve"> và </w:t>
      </w:r>
      <w:r w:rsidRPr="00426BBE">
        <w:rPr>
          <w:rFonts w:ascii="Times New Roman" w:hAnsi="Times New Roman" w:cs="Times New Roman"/>
          <w:i/>
          <w:iCs/>
          <w:sz w:val="26"/>
          <w:szCs w:val="26"/>
          <w:lang w:val="vi-VN"/>
        </w:rPr>
        <w:t>CTCP Than Hà Lầm</w:t>
      </w:r>
      <w:r w:rsidRPr="00426BBE">
        <w:rPr>
          <w:rFonts w:ascii="Times New Roman" w:hAnsi="Times New Roman" w:cs="Times New Roman"/>
          <w:sz w:val="26"/>
          <w:szCs w:val="26"/>
          <w:lang w:val="vi-VN"/>
        </w:rPr>
        <w:t xml:space="preserve"> vẫn chưa đạt được mức độ cải thiện rõ rệt trong hiệu suất khai thác do phụ thuộc vào công nghệ khai thác </w:t>
      </w:r>
      <w:r w:rsidR="007E3CD8" w:rsidRPr="00F22BA5">
        <w:rPr>
          <w:rFonts w:ascii="Times New Roman" w:hAnsi="Times New Roman" w:cs="Times New Roman"/>
          <w:sz w:val="26"/>
          <w:szCs w:val="26"/>
          <w:lang w:val="vi-VN"/>
        </w:rPr>
        <w:t xml:space="preserve">cũ </w:t>
      </w:r>
      <w:r w:rsidRPr="00426BBE">
        <w:rPr>
          <w:rFonts w:ascii="Times New Roman" w:hAnsi="Times New Roman" w:cs="Times New Roman"/>
          <w:sz w:val="26"/>
          <w:szCs w:val="26"/>
          <w:lang w:val="vi-VN"/>
        </w:rPr>
        <w:t xml:space="preserve">và chi phí bảo trì thiết bị cao. Điều này dẫn đến </w:t>
      </w:r>
      <w:r w:rsidR="007E3CD8" w:rsidRPr="00426BBE">
        <w:rPr>
          <w:rFonts w:ascii="Times New Roman" w:hAnsi="Times New Roman" w:cs="Times New Roman"/>
          <w:sz w:val="26"/>
          <w:szCs w:val="26"/>
          <w:lang w:val="vi-VN"/>
        </w:rPr>
        <w:t>năng suất lao động thấp và chi phí khai thác cao</w:t>
      </w:r>
      <w:r w:rsidR="007E3CD8" w:rsidRPr="00F22BA5">
        <w:rPr>
          <w:rFonts w:ascii="Times New Roman" w:hAnsi="Times New Roman" w:cs="Times New Roman"/>
          <w:sz w:val="26"/>
          <w:szCs w:val="26"/>
          <w:lang w:val="vi-VN"/>
        </w:rPr>
        <w:t>,</w:t>
      </w:r>
      <w:r w:rsidR="007E3CD8" w:rsidRPr="00426BBE">
        <w:rPr>
          <w:rFonts w:ascii="Times New Roman" w:hAnsi="Times New Roman" w:cs="Times New Roman"/>
          <w:sz w:val="26"/>
          <w:szCs w:val="26"/>
          <w:lang w:val="vi-VN"/>
        </w:rPr>
        <w:t xml:space="preserve"> </w:t>
      </w:r>
      <w:r w:rsidRPr="00426BBE">
        <w:rPr>
          <w:rFonts w:ascii="Times New Roman" w:hAnsi="Times New Roman" w:cs="Times New Roman"/>
          <w:sz w:val="26"/>
          <w:szCs w:val="26"/>
          <w:lang w:val="vi-VN"/>
        </w:rPr>
        <w:t xml:space="preserve">hiệu quả hoạt </w:t>
      </w:r>
      <w:r w:rsidR="00E73895" w:rsidRPr="00F22BA5">
        <w:rPr>
          <w:rFonts w:ascii="Times New Roman" w:hAnsi="Times New Roman" w:cs="Times New Roman"/>
          <w:sz w:val="26"/>
          <w:szCs w:val="26"/>
          <w:lang w:val="vi-VN"/>
        </w:rPr>
        <w:t>động thấp.</w:t>
      </w:r>
    </w:p>
    <w:p w14:paraId="1A91162B" w14:textId="32076C3E"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lastRenderedPageBreak/>
        <w:t>* Khả năng sinh lời</w:t>
      </w:r>
      <w:r w:rsidRPr="00426BBE">
        <w:rPr>
          <w:rFonts w:ascii="Times New Roman" w:hAnsi="Times New Roman" w:cs="Times New Roman"/>
          <w:sz w:val="26"/>
          <w:szCs w:val="26"/>
          <w:lang w:val="vi-VN"/>
        </w:rPr>
        <w:t xml:space="preserve">: </w:t>
      </w:r>
      <w:r w:rsidR="00E73895" w:rsidRPr="00F22BA5">
        <w:rPr>
          <w:rFonts w:ascii="Times New Roman" w:hAnsi="Times New Roman" w:cs="Times New Roman"/>
          <w:sz w:val="26"/>
          <w:szCs w:val="26"/>
          <w:lang w:val="vi-VN"/>
        </w:rPr>
        <w:t xml:space="preserve">Mặc dù có </w:t>
      </w:r>
      <w:r w:rsidRPr="00426BBE">
        <w:rPr>
          <w:rFonts w:ascii="Times New Roman" w:hAnsi="Times New Roman" w:cs="Times New Roman"/>
          <w:sz w:val="26"/>
          <w:szCs w:val="26"/>
          <w:lang w:val="vi-VN"/>
        </w:rPr>
        <w:t xml:space="preserve">doanh thu ổn định, nhưng tỷ suất lợi nhuận của </w:t>
      </w:r>
      <w:r w:rsidR="00E73895" w:rsidRPr="00F22BA5">
        <w:rPr>
          <w:rFonts w:ascii="Times New Roman" w:hAnsi="Times New Roman" w:cs="Times New Roman"/>
          <w:sz w:val="26"/>
          <w:szCs w:val="26"/>
          <w:lang w:val="vi-VN"/>
        </w:rPr>
        <w:t>các CTCP niêm yết thuộc TKV</w:t>
      </w:r>
      <w:r w:rsidRPr="00426BBE">
        <w:rPr>
          <w:rFonts w:ascii="Times New Roman" w:hAnsi="Times New Roman" w:cs="Times New Roman"/>
          <w:sz w:val="26"/>
          <w:szCs w:val="26"/>
          <w:lang w:val="vi-VN"/>
        </w:rPr>
        <w:t xml:space="preserve"> thường không cao do chi phí khai thác lớn và chi phí tài chính cao. Các công ty này gặp khó khăn trong việc duy trì lợi nhuận bền vững do giá than biến động và tỷ suất lợi nhuận giảm. Việc không tối ưu hóa chi phí và nâng cao hiệu quả sản xuất làm giảm khả năng cạnh tranh và khả năng sinh lời trong dài hạn</w:t>
      </w:r>
      <w:r w:rsidR="00E73895" w:rsidRPr="00F22BA5">
        <w:rPr>
          <w:rFonts w:ascii="Times New Roman" w:hAnsi="Times New Roman" w:cs="Times New Roman"/>
          <w:sz w:val="26"/>
          <w:szCs w:val="26"/>
          <w:lang w:val="vi-VN"/>
        </w:rPr>
        <w:t xml:space="preserve"> cũng như an toàn tài chính doanh nghiệp</w:t>
      </w:r>
      <w:r w:rsidRPr="00426BBE">
        <w:rPr>
          <w:rFonts w:ascii="Times New Roman" w:hAnsi="Times New Roman" w:cs="Times New Roman"/>
          <w:sz w:val="26"/>
          <w:szCs w:val="26"/>
          <w:lang w:val="vi-VN"/>
        </w:rPr>
        <w:t>.</w:t>
      </w:r>
    </w:p>
    <w:p w14:paraId="4B0C360E" w14:textId="77777777" w:rsidR="00426BBE" w:rsidRPr="00EC6124" w:rsidRDefault="00426BBE" w:rsidP="008A5BBD">
      <w:pPr>
        <w:pStyle w:val="p3"/>
      </w:pPr>
      <w:bookmarkStart w:id="262" w:name="_Toc197781192"/>
      <w:bookmarkStart w:id="263" w:name="_Toc197781475"/>
      <w:bookmarkStart w:id="264" w:name="_Toc198281683"/>
      <w:bookmarkStart w:id="265" w:name="_Toc198284468"/>
      <w:bookmarkStart w:id="266" w:name="_Toc198284850"/>
      <w:bookmarkStart w:id="267" w:name="_Toc198710002"/>
      <w:r w:rsidRPr="00EC6124">
        <w:t>2.3.5.3. Nguyên nhân</w:t>
      </w:r>
      <w:bookmarkEnd w:id="262"/>
      <w:bookmarkEnd w:id="263"/>
      <w:bookmarkEnd w:id="264"/>
      <w:bookmarkEnd w:id="265"/>
      <w:bookmarkEnd w:id="266"/>
      <w:bookmarkEnd w:id="267"/>
    </w:p>
    <w:p w14:paraId="2E828709" w14:textId="77777777" w:rsidR="00426BBE" w:rsidRPr="00426BBE" w:rsidRDefault="00426BBE" w:rsidP="00426BBE">
      <w:pPr>
        <w:spacing w:line="312" w:lineRule="auto"/>
        <w:jc w:val="both"/>
        <w:rPr>
          <w:rFonts w:ascii="Times New Roman" w:hAnsi="Times New Roman" w:cs="Times New Roman"/>
          <w:b/>
          <w:bCs/>
          <w:i/>
          <w:iCs/>
          <w:sz w:val="26"/>
          <w:szCs w:val="26"/>
          <w:lang w:val="vi-VN"/>
        </w:rPr>
      </w:pPr>
      <w:r w:rsidRPr="00426BBE">
        <w:rPr>
          <w:rFonts w:ascii="Times New Roman" w:hAnsi="Times New Roman" w:cs="Times New Roman"/>
          <w:b/>
          <w:bCs/>
          <w:sz w:val="26"/>
          <w:szCs w:val="26"/>
          <w:lang w:val="vi-VN"/>
        </w:rPr>
        <w:t xml:space="preserve">         </w:t>
      </w:r>
      <w:r w:rsidRPr="00426BBE">
        <w:rPr>
          <w:rFonts w:ascii="Times New Roman" w:hAnsi="Times New Roman" w:cs="Times New Roman"/>
          <w:b/>
          <w:bCs/>
          <w:i/>
          <w:iCs/>
          <w:sz w:val="26"/>
          <w:szCs w:val="26"/>
          <w:lang w:val="vi-VN"/>
        </w:rPr>
        <w:t>a. Nguyên nhân khách quan</w:t>
      </w:r>
    </w:p>
    <w:p w14:paraId="608336D7" w14:textId="77777777" w:rsidR="00426BBE" w:rsidRPr="00426BBE" w:rsidRDefault="00426BBE" w:rsidP="00426BBE">
      <w:pPr>
        <w:spacing w:line="312" w:lineRule="auto"/>
        <w:ind w:firstLine="720"/>
        <w:jc w:val="both"/>
        <w:rPr>
          <w:rFonts w:ascii="Times New Roman" w:hAnsi="Times New Roman" w:cs="Times New Roman"/>
          <w:b/>
          <w:bCs/>
          <w:sz w:val="26"/>
          <w:szCs w:val="26"/>
          <w:lang w:val="vi-VN"/>
        </w:rPr>
      </w:pPr>
      <w:r w:rsidRPr="00426BBE">
        <w:rPr>
          <w:rFonts w:ascii="Times New Roman" w:hAnsi="Times New Roman" w:cs="Times New Roman"/>
          <w:b/>
          <w:bCs/>
          <w:sz w:val="26"/>
          <w:szCs w:val="26"/>
          <w:lang w:val="vi-VN"/>
        </w:rPr>
        <w:t xml:space="preserve">- </w:t>
      </w:r>
      <w:r w:rsidRPr="00426BBE">
        <w:rPr>
          <w:rFonts w:ascii="Times New Roman" w:hAnsi="Times New Roman" w:cs="Times New Roman"/>
          <w:i/>
          <w:iCs/>
          <w:sz w:val="26"/>
          <w:szCs w:val="26"/>
          <w:lang w:val="vi-VN"/>
        </w:rPr>
        <w:t xml:space="preserve">Biến động của thị trường than: </w:t>
      </w:r>
      <w:r w:rsidRPr="00426BBE">
        <w:rPr>
          <w:rFonts w:ascii="Times New Roman" w:hAnsi="Times New Roman" w:cs="Times New Roman"/>
          <w:sz w:val="26"/>
          <w:szCs w:val="26"/>
          <w:lang w:val="vi-VN"/>
        </w:rPr>
        <w:t>Giá than trong giai đoạn 2019–2023 có nhiều biến động do ảnh hưởng từ thị trường thế giới, đặc biệt là giai đoạn cao điểm của đại dịch COVID-19 (2020–2021), và khủng hoảng năng lượng toàn cầu từ năm 2022 trở đi. Khi giá than giảm mạnh, doanh thu của nhiều công ty bị ảnh hưởng, dẫn đến giảm lợi nhuận và hạn chế dòng tiền, ảnh hưởng đến khả năng thanh toán và khả năng sinh lời.</w:t>
      </w:r>
    </w:p>
    <w:p w14:paraId="24DBB664"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xml:space="preserve">- </w:t>
      </w:r>
      <w:r w:rsidRPr="00426BBE">
        <w:rPr>
          <w:rFonts w:ascii="Times New Roman" w:hAnsi="Times New Roman" w:cs="Times New Roman"/>
          <w:i/>
          <w:iCs/>
          <w:sz w:val="26"/>
          <w:szCs w:val="26"/>
          <w:lang w:val="vi-VN"/>
        </w:rPr>
        <w:t>Chính sách môi trường và chuyển dịch năng lượng:</w:t>
      </w:r>
      <w:r w:rsidRPr="00426BBE">
        <w:rPr>
          <w:rFonts w:ascii="Times New Roman" w:hAnsi="Times New Roman" w:cs="Times New Roman"/>
          <w:b/>
          <w:bCs/>
          <w:sz w:val="26"/>
          <w:szCs w:val="26"/>
          <w:lang w:val="vi-VN"/>
        </w:rPr>
        <w:t xml:space="preserve"> </w:t>
      </w:r>
      <w:r w:rsidRPr="00426BBE">
        <w:rPr>
          <w:rFonts w:ascii="Times New Roman" w:hAnsi="Times New Roman" w:cs="Times New Roman"/>
          <w:sz w:val="26"/>
          <w:szCs w:val="26"/>
          <w:lang w:val="vi-VN"/>
        </w:rPr>
        <w:t>Xu hướng chuyển đổi từ than sang năng lượng tái tạo ở cả trong và ngoài nước đã ảnh hưởng đến nhu cầu tiêu thụ than dài hạn. Điều này khiến một số công ty rơi vào trạng thái thận trọng, hạn chế đầu tư mở rộng hoặc đổi mới công nghệ, làm giảm hiệu suất hoạt động và tăng chi phí vận hành.</w:t>
      </w:r>
    </w:p>
    <w:p w14:paraId="1BF0DD77" w14:textId="7720AFB3"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xml:space="preserve">- </w:t>
      </w:r>
      <w:r w:rsidRPr="00426BBE">
        <w:rPr>
          <w:rFonts w:ascii="Times New Roman" w:hAnsi="Times New Roman" w:cs="Times New Roman"/>
          <w:i/>
          <w:iCs/>
          <w:sz w:val="26"/>
          <w:szCs w:val="26"/>
          <w:lang w:val="vi-VN"/>
        </w:rPr>
        <w:t>Chi phí đầu vào tăng cao:</w:t>
      </w:r>
      <w:r w:rsidRPr="00426BBE">
        <w:rPr>
          <w:rFonts w:ascii="Times New Roman" w:hAnsi="Times New Roman" w:cs="Times New Roman"/>
          <w:b/>
          <w:bCs/>
          <w:sz w:val="26"/>
          <w:szCs w:val="26"/>
          <w:lang w:val="vi-VN"/>
        </w:rPr>
        <w:t xml:space="preserve"> </w:t>
      </w:r>
      <w:r w:rsidRPr="00426BBE">
        <w:rPr>
          <w:rFonts w:ascii="Times New Roman" w:hAnsi="Times New Roman" w:cs="Times New Roman"/>
          <w:sz w:val="26"/>
          <w:szCs w:val="26"/>
          <w:lang w:val="vi-VN"/>
        </w:rPr>
        <w:t xml:space="preserve">Giá nguyên vật liệu đầu vào (nhiên liệu, vật tư khai thác, thiết bị cơ giới…) và chi phí nhân công tăng đáng kể trong những năm gần đây đã làm </w:t>
      </w:r>
      <w:r w:rsidR="00E73895" w:rsidRPr="00F22BA5">
        <w:rPr>
          <w:rFonts w:ascii="Times New Roman" w:hAnsi="Times New Roman" w:cs="Times New Roman"/>
          <w:sz w:val="26"/>
          <w:szCs w:val="26"/>
          <w:lang w:val="vi-VN"/>
        </w:rPr>
        <w:t>tăng</w:t>
      </w:r>
      <w:r w:rsidRPr="00426BBE">
        <w:rPr>
          <w:rFonts w:ascii="Times New Roman" w:hAnsi="Times New Roman" w:cs="Times New Roman"/>
          <w:sz w:val="26"/>
          <w:szCs w:val="26"/>
          <w:lang w:val="vi-VN"/>
        </w:rPr>
        <w:t xml:space="preserve"> chi phí sản xuất, </w:t>
      </w:r>
      <w:r w:rsidR="00E73895" w:rsidRPr="00F22BA5">
        <w:rPr>
          <w:rFonts w:ascii="Times New Roman" w:hAnsi="Times New Roman" w:cs="Times New Roman"/>
          <w:sz w:val="26"/>
          <w:szCs w:val="26"/>
          <w:lang w:val="vi-VN"/>
        </w:rPr>
        <w:t xml:space="preserve">bên cạnh đó điều kiện khai thác ngày càng khó khăn, xuống sâu và đi xa đã </w:t>
      </w:r>
      <w:r w:rsidRPr="00426BBE">
        <w:rPr>
          <w:rFonts w:ascii="Times New Roman" w:hAnsi="Times New Roman" w:cs="Times New Roman"/>
          <w:sz w:val="26"/>
          <w:szCs w:val="26"/>
          <w:lang w:val="vi-VN"/>
        </w:rPr>
        <w:t>ảnh hưởng trực tiếp đến khả năng sinh lời</w:t>
      </w:r>
      <w:r w:rsidR="00E73895" w:rsidRPr="00F22BA5">
        <w:rPr>
          <w:rFonts w:ascii="Times New Roman" w:hAnsi="Times New Roman" w:cs="Times New Roman"/>
          <w:sz w:val="26"/>
          <w:szCs w:val="26"/>
          <w:lang w:val="vi-VN"/>
        </w:rPr>
        <w:t xml:space="preserve"> của các công ty</w:t>
      </w:r>
      <w:r w:rsidRPr="00426BBE">
        <w:rPr>
          <w:rFonts w:ascii="Times New Roman" w:hAnsi="Times New Roman" w:cs="Times New Roman"/>
          <w:sz w:val="26"/>
          <w:szCs w:val="26"/>
          <w:lang w:val="vi-VN"/>
        </w:rPr>
        <w:t>.</w:t>
      </w:r>
    </w:p>
    <w:p w14:paraId="026CEE7C" w14:textId="256E64DD"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xml:space="preserve">- </w:t>
      </w:r>
      <w:r w:rsidRPr="00426BBE">
        <w:rPr>
          <w:rFonts w:ascii="Times New Roman" w:hAnsi="Times New Roman" w:cs="Times New Roman"/>
          <w:i/>
          <w:iCs/>
          <w:sz w:val="26"/>
          <w:szCs w:val="26"/>
          <w:lang w:val="vi-VN"/>
        </w:rPr>
        <w:t xml:space="preserve">Lãi suất và chi phí tài chính biến động: </w:t>
      </w:r>
      <w:r w:rsidRPr="00426BBE">
        <w:rPr>
          <w:rFonts w:ascii="Times New Roman" w:hAnsi="Times New Roman" w:cs="Times New Roman"/>
          <w:sz w:val="26"/>
          <w:szCs w:val="26"/>
          <w:lang w:val="vi-VN"/>
        </w:rPr>
        <w:t xml:space="preserve">Thời kỳ lãi suất tăng (2022–2023) làm tăng chi phí tài chính cho các doanh nghiệp có tỷ lệ vay nợ cao. Những công ty phụ thuộc nhiều vào vốn vay như Than Vàng Danh và Hà Lầm bị ảnh hưởng </w:t>
      </w:r>
      <w:r w:rsidR="00E73895" w:rsidRPr="00F22BA5">
        <w:rPr>
          <w:rFonts w:ascii="Times New Roman" w:hAnsi="Times New Roman" w:cs="Times New Roman"/>
          <w:sz w:val="26"/>
          <w:szCs w:val="26"/>
          <w:lang w:val="vi-VN"/>
        </w:rPr>
        <w:t>mạnh</w:t>
      </w:r>
      <w:r w:rsidRPr="00426BBE">
        <w:rPr>
          <w:rFonts w:ascii="Times New Roman" w:hAnsi="Times New Roman" w:cs="Times New Roman"/>
          <w:sz w:val="26"/>
          <w:szCs w:val="26"/>
          <w:lang w:val="vi-VN"/>
        </w:rPr>
        <w:t xml:space="preserve">, làm suy yếu khả năng thanh toán và </w:t>
      </w:r>
      <w:r w:rsidR="00E73895" w:rsidRPr="00F22BA5">
        <w:rPr>
          <w:rFonts w:ascii="Times New Roman" w:hAnsi="Times New Roman" w:cs="Times New Roman"/>
          <w:sz w:val="26"/>
          <w:szCs w:val="26"/>
          <w:lang w:val="vi-VN"/>
        </w:rPr>
        <w:t>tăng rủi ro</w:t>
      </w:r>
      <w:r w:rsidRPr="00426BBE">
        <w:rPr>
          <w:rFonts w:ascii="Times New Roman" w:hAnsi="Times New Roman" w:cs="Times New Roman"/>
          <w:sz w:val="26"/>
          <w:szCs w:val="26"/>
          <w:lang w:val="vi-VN"/>
        </w:rPr>
        <w:t xml:space="preserve"> tài chính.</w:t>
      </w:r>
    </w:p>
    <w:p w14:paraId="2805ACC4" w14:textId="77777777" w:rsidR="00426BBE" w:rsidRPr="00426BBE" w:rsidRDefault="00426BBE" w:rsidP="00426BBE">
      <w:pPr>
        <w:spacing w:line="312" w:lineRule="auto"/>
        <w:jc w:val="both"/>
        <w:rPr>
          <w:rFonts w:ascii="Times New Roman" w:hAnsi="Times New Roman" w:cs="Times New Roman"/>
          <w:b/>
          <w:bCs/>
          <w:i/>
          <w:iCs/>
          <w:sz w:val="26"/>
          <w:szCs w:val="26"/>
          <w:lang w:val="vi-VN"/>
        </w:rPr>
      </w:pPr>
      <w:r w:rsidRPr="00426BBE">
        <w:rPr>
          <w:rFonts w:ascii="Times New Roman" w:hAnsi="Times New Roman" w:cs="Times New Roman"/>
          <w:sz w:val="26"/>
          <w:szCs w:val="26"/>
          <w:lang w:val="vi-VN"/>
        </w:rPr>
        <w:t xml:space="preserve">        </w:t>
      </w:r>
      <w:r w:rsidRPr="00426BBE">
        <w:rPr>
          <w:rFonts w:ascii="Times New Roman" w:hAnsi="Times New Roman" w:cs="Times New Roman"/>
          <w:b/>
          <w:bCs/>
          <w:i/>
          <w:iCs/>
          <w:sz w:val="26"/>
          <w:szCs w:val="26"/>
          <w:lang w:val="vi-VN"/>
        </w:rPr>
        <w:t>b. Nguyên nhân chủ quan</w:t>
      </w:r>
    </w:p>
    <w:p w14:paraId="7CC1AB00" w14:textId="7AE2D6CC"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xml:space="preserve">- </w:t>
      </w:r>
      <w:r w:rsidRPr="00426BBE">
        <w:rPr>
          <w:rFonts w:ascii="Times New Roman" w:hAnsi="Times New Roman" w:cs="Times New Roman"/>
          <w:i/>
          <w:iCs/>
          <w:sz w:val="26"/>
          <w:szCs w:val="26"/>
          <w:lang w:val="vi-VN"/>
        </w:rPr>
        <w:t xml:space="preserve">Cơ cấu tài chính thiếu linh hoạt: </w:t>
      </w:r>
      <w:r w:rsidRPr="00426BBE">
        <w:rPr>
          <w:rFonts w:ascii="Times New Roman" w:hAnsi="Times New Roman" w:cs="Times New Roman"/>
          <w:sz w:val="26"/>
          <w:szCs w:val="26"/>
          <w:lang w:val="vi-VN"/>
        </w:rPr>
        <w:t>Nhiều công ty vẫn sử dụng cơ cấu vốn</w:t>
      </w:r>
      <w:r w:rsidR="00E73895" w:rsidRPr="00F22BA5">
        <w:rPr>
          <w:rFonts w:ascii="Times New Roman" w:hAnsi="Times New Roman" w:cs="Times New Roman"/>
          <w:sz w:val="26"/>
          <w:szCs w:val="26"/>
          <w:lang w:val="vi-VN"/>
        </w:rPr>
        <w:t xml:space="preserve"> chủ yếu là</w:t>
      </w:r>
      <w:r w:rsidRPr="00426BBE">
        <w:rPr>
          <w:rFonts w:ascii="Times New Roman" w:hAnsi="Times New Roman" w:cs="Times New Roman"/>
          <w:sz w:val="26"/>
          <w:szCs w:val="26"/>
          <w:lang w:val="vi-VN"/>
        </w:rPr>
        <w:t xml:space="preserve"> nợ vay, thiếu chiến lược cân đối giữa vốn chủ sở hữu và vốn vay, khiến gánh nặng chi phí tài chính lớn và tính an toàn tài chính kém. </w:t>
      </w:r>
      <w:r w:rsidR="00E73895" w:rsidRPr="00F22BA5">
        <w:rPr>
          <w:rFonts w:ascii="Times New Roman" w:hAnsi="Times New Roman" w:cs="Times New Roman"/>
          <w:sz w:val="26"/>
          <w:szCs w:val="26"/>
          <w:lang w:val="vi-VN"/>
        </w:rPr>
        <w:t xml:space="preserve">CTCP </w:t>
      </w:r>
      <w:r w:rsidRPr="00426BBE">
        <w:rPr>
          <w:rFonts w:ascii="Times New Roman" w:hAnsi="Times New Roman" w:cs="Times New Roman"/>
          <w:sz w:val="26"/>
          <w:szCs w:val="26"/>
          <w:lang w:val="vi-VN"/>
        </w:rPr>
        <w:t>Than Vàng Danh và</w:t>
      </w:r>
      <w:r w:rsidR="00E73895" w:rsidRPr="00F22BA5">
        <w:rPr>
          <w:rFonts w:ascii="Times New Roman" w:hAnsi="Times New Roman" w:cs="Times New Roman"/>
          <w:sz w:val="26"/>
          <w:szCs w:val="26"/>
          <w:lang w:val="vi-VN"/>
        </w:rPr>
        <w:t xml:space="preserve"> CTCP</w:t>
      </w:r>
      <w:r w:rsidRPr="00426BBE">
        <w:rPr>
          <w:rFonts w:ascii="Times New Roman" w:hAnsi="Times New Roman" w:cs="Times New Roman"/>
          <w:sz w:val="26"/>
          <w:szCs w:val="26"/>
          <w:lang w:val="vi-VN"/>
        </w:rPr>
        <w:t xml:space="preserve"> Hà Lầm là ví dụ điển hình khi hệ số nợ cao kéo dài trong suốt giai đoạn 2019–2023.</w:t>
      </w:r>
    </w:p>
    <w:p w14:paraId="2CCA2101" w14:textId="41A3D8CD"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lastRenderedPageBreak/>
        <w:t xml:space="preserve">- </w:t>
      </w:r>
      <w:r w:rsidRPr="00426BBE">
        <w:rPr>
          <w:rFonts w:ascii="Times New Roman" w:hAnsi="Times New Roman" w:cs="Times New Roman"/>
          <w:i/>
          <w:iCs/>
          <w:sz w:val="26"/>
          <w:szCs w:val="26"/>
          <w:lang w:val="vi-VN"/>
        </w:rPr>
        <w:t>Chậm đổi mới công nghệ khai thác:</w:t>
      </w:r>
      <w:r w:rsidRPr="00426BBE">
        <w:rPr>
          <w:rFonts w:ascii="Times New Roman" w:hAnsi="Times New Roman" w:cs="Times New Roman"/>
          <w:b/>
          <w:bCs/>
          <w:sz w:val="26"/>
          <w:szCs w:val="26"/>
          <w:lang w:val="vi-VN"/>
        </w:rPr>
        <w:t xml:space="preserve"> </w:t>
      </w:r>
      <w:r w:rsidRPr="00426BBE">
        <w:rPr>
          <w:rFonts w:ascii="Times New Roman" w:hAnsi="Times New Roman" w:cs="Times New Roman"/>
          <w:sz w:val="26"/>
          <w:szCs w:val="26"/>
          <w:lang w:val="vi-VN"/>
        </w:rPr>
        <w:t xml:space="preserve">Một số đơn vị chưa đầu tư mạnh vào đổi mới thiết bị, công nghệ khai thác và tự động hóa, dẫn đến chi phí khai thác cao và năng suất lao động thấp. </w:t>
      </w:r>
    </w:p>
    <w:p w14:paraId="6160DC88" w14:textId="5D360BA7" w:rsid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b/>
          <w:bCs/>
          <w:sz w:val="26"/>
          <w:szCs w:val="26"/>
          <w:lang w:val="vi-VN"/>
        </w:rPr>
        <w:t xml:space="preserve">- </w:t>
      </w:r>
      <w:r w:rsidRPr="00426BBE">
        <w:rPr>
          <w:rFonts w:ascii="Times New Roman" w:hAnsi="Times New Roman" w:cs="Times New Roman"/>
          <w:i/>
          <w:iCs/>
          <w:sz w:val="26"/>
          <w:szCs w:val="26"/>
          <w:lang w:val="vi-VN"/>
        </w:rPr>
        <w:t>Quản lý dòng tiền và công nợ chưa hiệu quả:</w:t>
      </w:r>
      <w:r w:rsidRPr="00426BBE">
        <w:rPr>
          <w:rFonts w:ascii="Times New Roman" w:hAnsi="Times New Roman" w:cs="Times New Roman"/>
          <w:b/>
          <w:bCs/>
          <w:sz w:val="26"/>
          <w:szCs w:val="26"/>
          <w:lang w:val="vi-VN"/>
        </w:rPr>
        <w:t xml:space="preserve"> </w:t>
      </w:r>
      <w:r w:rsidRPr="00426BBE">
        <w:rPr>
          <w:rFonts w:ascii="Times New Roman" w:hAnsi="Times New Roman" w:cs="Times New Roman"/>
          <w:sz w:val="26"/>
          <w:szCs w:val="26"/>
          <w:lang w:val="vi-VN"/>
        </w:rPr>
        <w:t>Một số công ty có tỷ lệ khoản phải thu cao, làm tăng rủi ro mất cân đối dòng tiền, gây áp lực thanh khoản. Đây là điểm yếu của các doanh nghiệp như</w:t>
      </w:r>
      <w:r w:rsidR="00E73895" w:rsidRPr="00F22BA5">
        <w:rPr>
          <w:rFonts w:ascii="Times New Roman" w:hAnsi="Times New Roman" w:cs="Times New Roman"/>
          <w:sz w:val="26"/>
          <w:szCs w:val="26"/>
          <w:lang w:val="vi-VN"/>
        </w:rPr>
        <w:t xml:space="preserve"> CTCP</w:t>
      </w:r>
      <w:r w:rsidRPr="00426BBE">
        <w:rPr>
          <w:rFonts w:ascii="Times New Roman" w:hAnsi="Times New Roman" w:cs="Times New Roman"/>
          <w:sz w:val="26"/>
          <w:szCs w:val="26"/>
          <w:lang w:val="vi-VN"/>
        </w:rPr>
        <w:t xml:space="preserve"> Than Hà Lầm và </w:t>
      </w:r>
      <w:r w:rsidR="00E73895" w:rsidRPr="00F22BA5">
        <w:rPr>
          <w:rFonts w:ascii="Times New Roman" w:hAnsi="Times New Roman" w:cs="Times New Roman"/>
          <w:sz w:val="26"/>
          <w:szCs w:val="26"/>
          <w:lang w:val="vi-VN"/>
        </w:rPr>
        <w:t xml:space="preserve">CTCP </w:t>
      </w:r>
      <w:r w:rsidRPr="00426BBE">
        <w:rPr>
          <w:rFonts w:ascii="Times New Roman" w:hAnsi="Times New Roman" w:cs="Times New Roman"/>
          <w:sz w:val="26"/>
          <w:szCs w:val="26"/>
          <w:lang w:val="vi-VN"/>
        </w:rPr>
        <w:t>Than Vàng Danh, khi bị động trong thanh toán ngắn hạn do vốn bị “đóng băng” ở các khoản phải thu lớn.</w:t>
      </w:r>
    </w:p>
    <w:p w14:paraId="4BC7C3AF" w14:textId="77777777" w:rsidR="00533E45" w:rsidRDefault="00533E45" w:rsidP="00426BBE">
      <w:pPr>
        <w:spacing w:line="312" w:lineRule="auto"/>
        <w:ind w:firstLine="720"/>
        <w:jc w:val="both"/>
        <w:rPr>
          <w:rFonts w:ascii="Times New Roman" w:hAnsi="Times New Roman" w:cs="Times New Roman"/>
          <w:sz w:val="26"/>
          <w:szCs w:val="26"/>
          <w:lang w:val="vi-VN"/>
        </w:rPr>
      </w:pPr>
    </w:p>
    <w:p w14:paraId="00257F17" w14:textId="77777777" w:rsidR="009C5163" w:rsidRDefault="009C5163" w:rsidP="00426BBE">
      <w:pPr>
        <w:spacing w:line="312" w:lineRule="auto"/>
        <w:ind w:firstLine="720"/>
        <w:jc w:val="both"/>
        <w:rPr>
          <w:rFonts w:ascii="Times New Roman" w:hAnsi="Times New Roman" w:cs="Times New Roman"/>
          <w:sz w:val="26"/>
          <w:szCs w:val="26"/>
        </w:rPr>
      </w:pPr>
    </w:p>
    <w:p w14:paraId="39895006" w14:textId="77777777" w:rsidR="009C5163" w:rsidRDefault="009C5163" w:rsidP="00426BBE">
      <w:pPr>
        <w:spacing w:line="312" w:lineRule="auto"/>
        <w:ind w:firstLine="720"/>
        <w:jc w:val="both"/>
        <w:rPr>
          <w:rFonts w:ascii="Times New Roman" w:hAnsi="Times New Roman" w:cs="Times New Roman"/>
          <w:sz w:val="26"/>
          <w:szCs w:val="26"/>
        </w:rPr>
      </w:pPr>
    </w:p>
    <w:p w14:paraId="63CFD8A3" w14:textId="77777777" w:rsidR="009C5163" w:rsidRPr="009C5163" w:rsidRDefault="009C5163" w:rsidP="00426BBE">
      <w:pPr>
        <w:spacing w:line="312" w:lineRule="auto"/>
        <w:ind w:firstLine="720"/>
        <w:jc w:val="both"/>
        <w:rPr>
          <w:rFonts w:ascii="Times New Roman" w:hAnsi="Times New Roman" w:cs="Times New Roman"/>
          <w:sz w:val="26"/>
          <w:szCs w:val="26"/>
        </w:rPr>
      </w:pPr>
    </w:p>
    <w:p w14:paraId="00AC1A63" w14:textId="77777777" w:rsidR="003803F6" w:rsidRDefault="003803F6">
      <w:pPr>
        <w:spacing w:after="160" w:line="259" w:lineRule="auto"/>
        <w:rPr>
          <w:rFonts w:asciiTheme="majorHAnsi" w:eastAsiaTheme="majorEastAsia" w:hAnsiTheme="majorHAnsi" w:cstheme="majorBidi"/>
          <w:b/>
          <w:color w:val="000000" w:themeColor="text1"/>
          <w:sz w:val="36"/>
          <w:szCs w:val="40"/>
          <w:lang w:val="vi-VN"/>
        </w:rPr>
      </w:pPr>
      <w:bookmarkStart w:id="268" w:name="_Toc197781193"/>
      <w:bookmarkStart w:id="269" w:name="_Toc197781476"/>
      <w:bookmarkStart w:id="270" w:name="_Toc198281684"/>
      <w:bookmarkStart w:id="271" w:name="_Toc198284469"/>
      <w:bookmarkStart w:id="272" w:name="_Toc198710003"/>
      <w:r>
        <w:rPr>
          <w:lang w:val="vi-VN"/>
        </w:rPr>
        <w:br w:type="page"/>
      </w:r>
    </w:p>
    <w:p w14:paraId="2E1A35FB" w14:textId="6C5B2BCC" w:rsidR="00426BBE" w:rsidRPr="00973841" w:rsidRDefault="00426BBE" w:rsidP="005B0517">
      <w:pPr>
        <w:pStyle w:val="Heading1"/>
        <w:rPr>
          <w:lang w:val="vi-VN"/>
        </w:rPr>
      </w:pPr>
      <w:r w:rsidRPr="00973841">
        <w:rPr>
          <w:lang w:val="vi-VN"/>
        </w:rPr>
        <w:lastRenderedPageBreak/>
        <w:t xml:space="preserve">KẾT LUẬN </w:t>
      </w:r>
      <w:r w:rsidR="00123036" w:rsidRPr="00973841">
        <w:rPr>
          <w:lang w:val="vi-VN"/>
        </w:rPr>
        <w:t>PHẦN</w:t>
      </w:r>
      <w:r w:rsidRPr="00973841">
        <w:rPr>
          <w:lang w:val="vi-VN"/>
        </w:rPr>
        <w:t xml:space="preserve"> 2</w:t>
      </w:r>
      <w:bookmarkEnd w:id="268"/>
      <w:bookmarkEnd w:id="269"/>
      <w:bookmarkEnd w:id="270"/>
      <w:bookmarkEnd w:id="271"/>
      <w:bookmarkEnd w:id="272"/>
    </w:p>
    <w:p w14:paraId="3E95A657" w14:textId="0C1710C7" w:rsidR="00426BBE" w:rsidRPr="00973841" w:rsidRDefault="00426BBE" w:rsidP="00426BBE">
      <w:pPr>
        <w:spacing w:line="312" w:lineRule="auto"/>
        <w:ind w:firstLine="720"/>
        <w:jc w:val="both"/>
        <w:rPr>
          <w:rFonts w:ascii="Times New Roman" w:hAnsi="Times New Roman" w:cs="Times New Roman"/>
          <w:sz w:val="26"/>
          <w:szCs w:val="26"/>
          <w:lang w:val="vi-VN"/>
        </w:rPr>
      </w:pPr>
      <w:r w:rsidRPr="00973841">
        <w:rPr>
          <w:rFonts w:ascii="Times New Roman" w:hAnsi="Times New Roman" w:cs="Times New Roman"/>
          <w:sz w:val="26"/>
          <w:szCs w:val="26"/>
          <w:lang w:val="vi-VN"/>
        </w:rPr>
        <w:t xml:space="preserve">Trong nội dung </w:t>
      </w:r>
      <w:r w:rsidR="00123036" w:rsidRPr="00973841">
        <w:rPr>
          <w:rFonts w:ascii="Times New Roman" w:hAnsi="Times New Roman" w:cs="Times New Roman"/>
          <w:sz w:val="26"/>
          <w:szCs w:val="26"/>
          <w:lang w:val="vi-VN"/>
        </w:rPr>
        <w:t>Phần</w:t>
      </w:r>
      <w:r w:rsidRPr="00973841">
        <w:rPr>
          <w:rFonts w:ascii="Times New Roman" w:hAnsi="Times New Roman" w:cs="Times New Roman"/>
          <w:sz w:val="26"/>
          <w:szCs w:val="26"/>
          <w:lang w:val="vi-VN"/>
        </w:rPr>
        <w:t xml:space="preserve"> 2, nghiên cứu đã làm rõ được các vấn đề sau </w:t>
      </w:r>
    </w:p>
    <w:p w14:paraId="0E1B2E60"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973841">
        <w:rPr>
          <w:rFonts w:ascii="Times New Roman" w:hAnsi="Times New Roman" w:cs="Times New Roman"/>
          <w:sz w:val="26"/>
          <w:szCs w:val="26"/>
          <w:lang w:val="vi-VN"/>
        </w:rPr>
        <w:t xml:space="preserve">Thứ nhất, khái quát về quá trình </w:t>
      </w:r>
      <w:r w:rsidRPr="00426BBE">
        <w:rPr>
          <w:rFonts w:ascii="Times New Roman" w:hAnsi="Times New Roman" w:cs="Times New Roman"/>
          <w:sz w:val="26"/>
          <w:szCs w:val="26"/>
          <w:lang w:val="vi-VN"/>
        </w:rPr>
        <w:t xml:space="preserve">hình thành và phát triển, khái quát tình hình hoạt động của một số công ty cổ phần niêm yết thuộc TKV như CTCP Than Vàng Danh, CTCP Than Mông Dương, CTCP Than Hà Lầm, CTCP Than Hà Tu, CTCP Than Núi Béo trong giai đoạn 2019 – 2023. </w:t>
      </w:r>
    </w:p>
    <w:p w14:paraId="43CED963"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sz w:val="26"/>
          <w:szCs w:val="26"/>
          <w:lang w:val="vi-VN"/>
        </w:rPr>
        <w:t xml:space="preserve">Thứ hai, đánh giá thực trạng an toàn tài chính của một số CTCP niêm yết thuộc TKV trong giai đoạn 2019 – 2023 theo các khía cạnh: khả năng thanh khoản, cơ cấu nguồn vốn và tài sản, hiệu suất hoạt động và khả năng sinh lời. </w:t>
      </w:r>
    </w:p>
    <w:p w14:paraId="6D136A83" w14:textId="48343479"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sz w:val="26"/>
          <w:szCs w:val="26"/>
          <w:lang w:val="vi-VN"/>
        </w:rPr>
        <w:t>Thứ</w:t>
      </w:r>
      <w:r w:rsidR="00E73895">
        <w:rPr>
          <w:rFonts w:ascii="Times New Roman" w:hAnsi="Times New Roman" w:cs="Times New Roman"/>
          <w:sz w:val="26"/>
          <w:szCs w:val="26"/>
          <w:lang w:val="vi-VN"/>
        </w:rPr>
        <w:t xml:space="preserve"> </w:t>
      </w:r>
      <w:r w:rsidR="00E73895" w:rsidRPr="00F22BA5">
        <w:rPr>
          <w:rFonts w:ascii="Times New Roman" w:hAnsi="Times New Roman" w:cs="Times New Roman"/>
          <w:sz w:val="26"/>
          <w:szCs w:val="26"/>
          <w:lang w:val="vi-VN"/>
        </w:rPr>
        <w:t>ba</w:t>
      </w:r>
      <w:r w:rsidRPr="00426BBE">
        <w:rPr>
          <w:rFonts w:ascii="Times New Roman" w:hAnsi="Times New Roman" w:cs="Times New Roman"/>
          <w:sz w:val="26"/>
          <w:szCs w:val="26"/>
          <w:lang w:val="vi-VN"/>
        </w:rPr>
        <w:t xml:space="preserve">, đánh giá kết quả đạt được, hạn chế, chỉ ra các nguyên nhân chủ quan và khách quan dẫn đến các hạn chế về an toàn tài chính của một số CTCP niêm yết thuộc TKV giai đoạn 2019 – 2023. </w:t>
      </w:r>
    </w:p>
    <w:p w14:paraId="1CEA0CB7" w14:textId="1E667294"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sz w:val="26"/>
          <w:szCs w:val="26"/>
          <w:lang w:val="vi-VN"/>
        </w:rPr>
        <w:t>Đây là cơ sở để nhóm nghiên cứu đề xuất các giải pháp nhằm đảm bảo an toàn tài chính của các CTCP niêm yết thuộc TKV trong nộ</w:t>
      </w:r>
      <w:r w:rsidR="00123036">
        <w:rPr>
          <w:rFonts w:ascii="Times New Roman" w:hAnsi="Times New Roman" w:cs="Times New Roman"/>
          <w:sz w:val="26"/>
          <w:szCs w:val="26"/>
          <w:lang w:val="vi-VN"/>
        </w:rPr>
        <w:t>i dun</w:t>
      </w:r>
      <w:r w:rsidR="00123036" w:rsidRPr="00F22BA5">
        <w:rPr>
          <w:rFonts w:ascii="Times New Roman" w:hAnsi="Times New Roman" w:cs="Times New Roman"/>
          <w:sz w:val="26"/>
          <w:szCs w:val="26"/>
          <w:lang w:val="vi-VN"/>
        </w:rPr>
        <w:t>g Phần</w:t>
      </w:r>
      <w:r w:rsidRPr="00123036">
        <w:rPr>
          <w:rFonts w:ascii="Times New Roman" w:hAnsi="Times New Roman" w:cs="Times New Roman"/>
          <w:color w:val="FF0000"/>
          <w:sz w:val="26"/>
          <w:szCs w:val="26"/>
          <w:lang w:val="vi-VN"/>
        </w:rPr>
        <w:t xml:space="preserve"> </w:t>
      </w:r>
      <w:r w:rsidRPr="00426BBE">
        <w:rPr>
          <w:rFonts w:ascii="Times New Roman" w:hAnsi="Times New Roman" w:cs="Times New Roman"/>
          <w:sz w:val="26"/>
          <w:szCs w:val="26"/>
          <w:lang w:val="vi-VN"/>
        </w:rPr>
        <w:t>3.</w:t>
      </w:r>
    </w:p>
    <w:p w14:paraId="59F69C53" w14:textId="77777777" w:rsidR="00426BBE" w:rsidRDefault="00426BBE" w:rsidP="00426BBE">
      <w:pPr>
        <w:spacing w:line="312" w:lineRule="auto"/>
        <w:jc w:val="both"/>
        <w:rPr>
          <w:rFonts w:ascii="Times New Roman" w:hAnsi="Times New Roman" w:cs="Times New Roman"/>
          <w:sz w:val="26"/>
          <w:szCs w:val="26"/>
          <w:lang w:val="vi-VN"/>
        </w:rPr>
      </w:pPr>
    </w:p>
    <w:p w14:paraId="1302C88B" w14:textId="77777777" w:rsidR="00133F6A" w:rsidRDefault="00133F6A" w:rsidP="00426BBE">
      <w:pPr>
        <w:spacing w:line="312" w:lineRule="auto"/>
        <w:jc w:val="both"/>
        <w:rPr>
          <w:rFonts w:ascii="Times New Roman" w:hAnsi="Times New Roman" w:cs="Times New Roman"/>
          <w:sz w:val="26"/>
          <w:szCs w:val="26"/>
          <w:lang w:val="vi-VN"/>
        </w:rPr>
      </w:pPr>
    </w:p>
    <w:p w14:paraId="1E596272" w14:textId="77777777" w:rsidR="00133F6A" w:rsidRDefault="00133F6A" w:rsidP="00426BBE">
      <w:pPr>
        <w:spacing w:line="312" w:lineRule="auto"/>
        <w:jc w:val="both"/>
        <w:rPr>
          <w:rFonts w:ascii="Times New Roman" w:hAnsi="Times New Roman" w:cs="Times New Roman"/>
          <w:sz w:val="26"/>
          <w:szCs w:val="26"/>
          <w:lang w:val="vi-VN"/>
        </w:rPr>
      </w:pPr>
    </w:p>
    <w:p w14:paraId="07F7A205" w14:textId="77777777" w:rsidR="003803F6" w:rsidRDefault="003803F6">
      <w:pPr>
        <w:spacing w:after="160" w:line="259" w:lineRule="auto"/>
        <w:rPr>
          <w:rFonts w:asciiTheme="majorHAnsi" w:eastAsiaTheme="majorEastAsia" w:hAnsiTheme="majorHAnsi" w:cstheme="majorBidi"/>
          <w:b/>
          <w:color w:val="000000" w:themeColor="text1"/>
          <w:sz w:val="36"/>
          <w:szCs w:val="40"/>
          <w:lang w:val="vi-VN"/>
        </w:rPr>
      </w:pPr>
      <w:bookmarkStart w:id="273" w:name="_Toc198281685"/>
      <w:bookmarkStart w:id="274" w:name="_Toc198284470"/>
      <w:bookmarkStart w:id="275" w:name="_Toc197781194"/>
      <w:bookmarkStart w:id="276" w:name="_Toc197781477"/>
      <w:bookmarkStart w:id="277" w:name="_Toc198710004"/>
      <w:r>
        <w:rPr>
          <w:lang w:val="vi-VN"/>
        </w:rPr>
        <w:br w:type="page"/>
      </w:r>
    </w:p>
    <w:p w14:paraId="01B0C495" w14:textId="657D0362" w:rsidR="00E73895" w:rsidRPr="00E0214B" w:rsidRDefault="00E73895" w:rsidP="00E0214B">
      <w:pPr>
        <w:pStyle w:val="Heading1"/>
        <w:rPr>
          <w:bCs/>
          <w:lang w:val="vi-VN"/>
        </w:rPr>
      </w:pPr>
      <w:r w:rsidRPr="00E0214B">
        <w:rPr>
          <w:lang w:val="vi-VN"/>
        </w:rPr>
        <w:lastRenderedPageBreak/>
        <w:t>PHẦN  3</w:t>
      </w:r>
      <w:bookmarkEnd w:id="273"/>
      <w:bookmarkEnd w:id="274"/>
      <w:bookmarkEnd w:id="277"/>
    </w:p>
    <w:p w14:paraId="1D83E3FB" w14:textId="12493C7D" w:rsidR="00426BBE" w:rsidRPr="00426BBE" w:rsidRDefault="00426BBE" w:rsidP="00533E45">
      <w:pPr>
        <w:pStyle w:val="Heading1"/>
        <w:rPr>
          <w:lang w:val="vi-VN"/>
        </w:rPr>
      </w:pPr>
      <w:r w:rsidRPr="00426BBE">
        <w:rPr>
          <w:lang w:val="vi-VN"/>
        </w:rPr>
        <w:t xml:space="preserve"> </w:t>
      </w:r>
      <w:bookmarkStart w:id="278" w:name="_Toc198281686"/>
      <w:bookmarkStart w:id="279" w:name="_Toc198284471"/>
      <w:bookmarkStart w:id="280" w:name="_Toc198710005"/>
      <w:r w:rsidRPr="00426BBE">
        <w:rPr>
          <w:lang w:val="vi-VN"/>
        </w:rPr>
        <w:t xml:space="preserve">ĐỀ XUẤT MỘT SỐ </w:t>
      </w:r>
      <w:r w:rsidR="00123036" w:rsidRPr="00F22BA5">
        <w:rPr>
          <w:lang w:val="vi-VN"/>
        </w:rPr>
        <w:t>GIẢI PHÁP</w:t>
      </w:r>
      <w:r w:rsidRPr="00426BBE">
        <w:rPr>
          <w:lang w:val="vi-VN"/>
        </w:rPr>
        <w:t xml:space="preserve"> NÂNG CAO AN TOÀN TÀI CHÍNH CHO CÁC CÔNG TY CỔ PHẦN </w:t>
      </w:r>
      <w:r w:rsidR="00533E45">
        <w:rPr>
          <w:lang w:val="vi-VN"/>
        </w:rPr>
        <w:t xml:space="preserve">           </w:t>
      </w:r>
      <w:r w:rsidRPr="00426BBE">
        <w:rPr>
          <w:lang w:val="vi-VN"/>
        </w:rPr>
        <w:t>NIÊM YẾT THUỘC TKV</w:t>
      </w:r>
      <w:bookmarkEnd w:id="275"/>
      <w:bookmarkEnd w:id="276"/>
      <w:bookmarkEnd w:id="278"/>
      <w:bookmarkEnd w:id="279"/>
      <w:bookmarkEnd w:id="280"/>
    </w:p>
    <w:p w14:paraId="4ED74847" w14:textId="1DAB3EC3" w:rsidR="00426BBE" w:rsidRPr="00F22BA5" w:rsidRDefault="00E73895" w:rsidP="005B0517">
      <w:pPr>
        <w:pStyle w:val="Heading2"/>
        <w:rPr>
          <w:lang w:val="vi-VN"/>
        </w:rPr>
      </w:pPr>
      <w:bookmarkStart w:id="281" w:name="_Toc198710006"/>
      <w:r w:rsidRPr="00F22BA5">
        <w:rPr>
          <w:lang w:val="vi-VN"/>
        </w:rPr>
        <w:t xml:space="preserve">3.1. Định hướng đảm bảo an toàn toàn tài chính của các công ty cổ phần niêm yết thuộc </w:t>
      </w:r>
      <w:r w:rsidR="0035608A" w:rsidRPr="00F22BA5">
        <w:rPr>
          <w:lang w:val="vi-VN"/>
        </w:rPr>
        <w:t>TKV</w:t>
      </w:r>
      <w:bookmarkEnd w:id="281"/>
    </w:p>
    <w:p w14:paraId="4D936F51" w14:textId="5673ECD5" w:rsidR="0035608A" w:rsidRPr="00FB361A" w:rsidRDefault="0035608A" w:rsidP="00533E45">
      <w:pPr>
        <w:spacing w:line="312" w:lineRule="auto"/>
        <w:ind w:firstLine="720"/>
        <w:jc w:val="both"/>
        <w:rPr>
          <w:rFonts w:ascii="Times New Roman" w:hAnsi="Times New Roman" w:cs="Times New Roman"/>
          <w:strike/>
          <w:sz w:val="26"/>
          <w:szCs w:val="26"/>
          <w:lang w:val="vi-VN"/>
        </w:rPr>
      </w:pPr>
      <w:r w:rsidRPr="00F22BA5">
        <w:rPr>
          <w:rFonts w:ascii="Times New Roman" w:hAnsi="Times New Roman" w:cs="Times New Roman"/>
          <w:bCs/>
          <w:sz w:val="26"/>
          <w:szCs w:val="26"/>
          <w:lang w:val="vi-VN"/>
        </w:rPr>
        <w:t>Để đảm bảo an toàn tài chính, các CTCP niêm yế</w:t>
      </w:r>
      <w:r w:rsidR="00FB361A" w:rsidRPr="00F22BA5">
        <w:rPr>
          <w:rFonts w:ascii="Times New Roman" w:hAnsi="Times New Roman" w:cs="Times New Roman"/>
          <w:bCs/>
          <w:sz w:val="26"/>
          <w:szCs w:val="26"/>
          <w:lang w:val="vi-VN"/>
        </w:rPr>
        <w:t>t thuộ</w:t>
      </w:r>
      <w:r w:rsidRPr="00F22BA5">
        <w:rPr>
          <w:rFonts w:ascii="Times New Roman" w:hAnsi="Times New Roman" w:cs="Times New Roman"/>
          <w:bCs/>
          <w:sz w:val="26"/>
          <w:szCs w:val="26"/>
          <w:lang w:val="vi-VN"/>
        </w:rPr>
        <w:t>c TKV</w:t>
      </w:r>
      <w:r w:rsidR="00FB361A" w:rsidRPr="00F22BA5">
        <w:rPr>
          <w:rFonts w:ascii="Times New Roman" w:hAnsi="Times New Roman" w:cs="Times New Roman"/>
          <w:bCs/>
          <w:sz w:val="26"/>
          <w:szCs w:val="26"/>
          <w:lang w:val="vi-VN"/>
        </w:rPr>
        <w:t xml:space="preserve"> nói chung và 5 đơn vị tiến hành phân tích</w:t>
      </w:r>
      <w:r w:rsidRPr="00F22BA5">
        <w:rPr>
          <w:rFonts w:ascii="Times New Roman" w:hAnsi="Times New Roman" w:cs="Times New Roman"/>
          <w:bCs/>
          <w:sz w:val="26"/>
          <w:szCs w:val="26"/>
          <w:lang w:val="vi-VN"/>
        </w:rPr>
        <w:t xml:space="preserve"> cần thực hiện các định hướng sau:</w:t>
      </w:r>
    </w:p>
    <w:p w14:paraId="7C6E4069" w14:textId="422FAF05" w:rsidR="00426BBE" w:rsidRPr="00426BBE" w:rsidRDefault="0035608A" w:rsidP="00533E45">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 </w:t>
      </w:r>
      <w:r w:rsidRPr="00F22BA5">
        <w:rPr>
          <w:rFonts w:ascii="Times New Roman" w:hAnsi="Times New Roman" w:cs="Times New Roman"/>
          <w:i/>
          <w:sz w:val="26"/>
          <w:szCs w:val="26"/>
          <w:lang w:val="vi-VN"/>
        </w:rPr>
        <w:t>Một là, k</w:t>
      </w:r>
      <w:r w:rsidR="00426BBE" w:rsidRPr="0035608A">
        <w:rPr>
          <w:rFonts w:ascii="Times New Roman" w:hAnsi="Times New Roman" w:cs="Times New Roman"/>
          <w:i/>
          <w:iCs/>
          <w:sz w:val="26"/>
          <w:szCs w:val="26"/>
          <w:lang w:val="vi-VN"/>
        </w:rPr>
        <w:t>iểm</w:t>
      </w:r>
      <w:r w:rsidR="00426BBE" w:rsidRPr="00426BBE">
        <w:rPr>
          <w:rFonts w:ascii="Times New Roman" w:hAnsi="Times New Roman" w:cs="Times New Roman"/>
          <w:i/>
          <w:iCs/>
          <w:sz w:val="26"/>
          <w:szCs w:val="26"/>
          <w:lang w:val="vi-VN"/>
        </w:rPr>
        <w:t xml:space="preserve"> soát chi phí và nâng cao hiệu quả sản xuất – kinh doanh</w:t>
      </w:r>
      <w:r w:rsidR="00426BBE" w:rsidRPr="00426BBE">
        <w:rPr>
          <w:rFonts w:ascii="Times New Roman" w:hAnsi="Times New Roman" w:cs="Times New Roman"/>
          <w:sz w:val="26"/>
          <w:szCs w:val="26"/>
          <w:lang w:val="vi-VN"/>
        </w:rPr>
        <w:t>: Các CTCP niêm yết thuộc TKV tập trung vào việc tối ưu hóa chi phí sản xuất, đặc biệt là chi phí nguyên vật liệu, nhân công và vận chuyển – những khoản chiếm tỷ trọng lớn trong khai thác mỏ. Việc đầu tư vào cơ giới hóa và tự động hóa không chỉ giúp giảm sức lao động mà còn nâng cao hiệu quả khai thác, tiết kiệm năng lượng và giảm tổn thất tài nguyên. Ngoài ra, các doanh nghiệp cũng đẩy mạnh kiểm soát nội bộ và khoán chi phí, để phát hiện sớm thất thoát, góp phần ổn định biên lợi nhuận và dòng tiền.</w:t>
      </w:r>
    </w:p>
    <w:p w14:paraId="2CA9FC6C" w14:textId="23046FE6" w:rsidR="00426BBE" w:rsidRPr="00426BBE" w:rsidRDefault="0035608A" w:rsidP="00533E45">
      <w:pPr>
        <w:spacing w:line="312" w:lineRule="auto"/>
        <w:ind w:firstLine="720"/>
        <w:jc w:val="both"/>
        <w:rPr>
          <w:rFonts w:ascii="Times New Roman" w:hAnsi="Times New Roman" w:cs="Times New Roman"/>
          <w:i/>
          <w:iCs/>
          <w:sz w:val="26"/>
          <w:szCs w:val="26"/>
          <w:lang w:val="vi-VN"/>
        </w:rPr>
      </w:pPr>
      <w:r w:rsidRPr="00F22BA5">
        <w:rPr>
          <w:rFonts w:ascii="Times New Roman" w:hAnsi="Times New Roman" w:cs="Times New Roman"/>
          <w:i/>
          <w:iCs/>
          <w:sz w:val="26"/>
          <w:szCs w:val="26"/>
          <w:lang w:val="vi-VN"/>
        </w:rPr>
        <w:t>-</w:t>
      </w:r>
      <w:r w:rsidR="00B50C69">
        <w:rPr>
          <w:rFonts w:ascii="Times New Roman" w:hAnsi="Times New Roman" w:cs="Times New Roman"/>
          <w:i/>
          <w:iCs/>
          <w:sz w:val="26"/>
          <w:szCs w:val="26"/>
          <w:lang w:val="vi-VN"/>
        </w:rPr>
        <w:t xml:space="preserve"> </w:t>
      </w:r>
      <w:r w:rsidRPr="00F22BA5">
        <w:rPr>
          <w:rFonts w:ascii="Times New Roman" w:hAnsi="Times New Roman" w:cs="Times New Roman"/>
          <w:i/>
          <w:iCs/>
          <w:sz w:val="26"/>
          <w:szCs w:val="26"/>
          <w:lang w:val="vi-VN"/>
        </w:rPr>
        <w:t>Hai là,c</w:t>
      </w:r>
      <w:r w:rsidR="00426BBE" w:rsidRPr="00426BBE">
        <w:rPr>
          <w:rFonts w:ascii="Times New Roman" w:hAnsi="Times New Roman" w:cs="Times New Roman"/>
          <w:i/>
          <w:iCs/>
          <w:sz w:val="26"/>
          <w:szCs w:val="26"/>
          <w:lang w:val="vi-VN"/>
        </w:rPr>
        <w:t xml:space="preserve">ơ cấu lại nguồn vốn và quản lý đòn bẩy tài chính an toàn: </w:t>
      </w:r>
      <w:r w:rsidR="00426BBE" w:rsidRPr="00426BBE">
        <w:rPr>
          <w:rFonts w:ascii="Times New Roman" w:hAnsi="Times New Roman" w:cs="Times New Roman"/>
          <w:sz w:val="26"/>
          <w:szCs w:val="26"/>
          <w:lang w:val="vi-VN"/>
        </w:rPr>
        <w:t>Do đặc thù ngành có nhu cầu đầu tư lớn và kéo dài thời gian thu hồi vốn, các công ty phải cơ cấu lại nợ vay hợp lý, ưu tiên vay trung – dài hạn thay vì ngắn hạn để giảm áp lực thanh toán lãi vay và gốc trong kỳ. Đồng thời, doanh nghiệp hướng đến duy trì hệ số nợ trên vốn chủ sở hữu (D/E) ở mức an toàn, thường không quá 1,0 – 1,5 lần, phù hợp với năng lực tài chính và khả năng tạo dòng tiền. Việc hạn chế vay ngắn hạn quá mức và sử dụng vốn vay đúng mục đích là yếu tố then chốt để tránh rủi ro mất khả năng thanh toán.</w:t>
      </w:r>
    </w:p>
    <w:p w14:paraId="104593E1" w14:textId="4CA111E9" w:rsidR="00426BBE" w:rsidRPr="00426BBE" w:rsidRDefault="0035608A" w:rsidP="00533E45">
      <w:pPr>
        <w:spacing w:line="312" w:lineRule="auto"/>
        <w:ind w:firstLine="720"/>
        <w:jc w:val="both"/>
        <w:rPr>
          <w:rFonts w:ascii="Times New Roman" w:hAnsi="Times New Roman" w:cs="Times New Roman"/>
          <w:i/>
          <w:iCs/>
          <w:sz w:val="26"/>
          <w:szCs w:val="26"/>
          <w:lang w:val="vi-VN"/>
        </w:rPr>
      </w:pPr>
      <w:r w:rsidRPr="00F22BA5">
        <w:rPr>
          <w:rFonts w:ascii="Times New Roman" w:hAnsi="Times New Roman" w:cs="Times New Roman"/>
          <w:i/>
          <w:iCs/>
          <w:sz w:val="26"/>
          <w:szCs w:val="26"/>
          <w:lang w:val="vi-VN"/>
        </w:rPr>
        <w:t>- Ba là, đ</w:t>
      </w:r>
      <w:r w:rsidR="00426BBE" w:rsidRPr="00426BBE">
        <w:rPr>
          <w:rFonts w:ascii="Times New Roman" w:hAnsi="Times New Roman" w:cs="Times New Roman"/>
          <w:i/>
          <w:iCs/>
          <w:sz w:val="26"/>
          <w:szCs w:val="26"/>
          <w:lang w:val="vi-VN"/>
        </w:rPr>
        <w:t xml:space="preserve">a dạng hóa nguồn thu và ổn định dòng tiền: </w:t>
      </w:r>
      <w:r w:rsidR="00426BBE" w:rsidRPr="00426BBE">
        <w:rPr>
          <w:rFonts w:ascii="Times New Roman" w:hAnsi="Times New Roman" w:cs="Times New Roman"/>
          <w:sz w:val="26"/>
          <w:szCs w:val="26"/>
          <w:lang w:val="vi-VN"/>
        </w:rPr>
        <w:t>Để đảm bảo tài chính không phụ thuộc hoàn toàn vào hoạt động khai thác than – khoáng sản vốn có chu kỳ và rủi ro giá cả, các công ty đẩy mạnh đa dạng hóa lĩnh vực hoạt động như logistics, chế biến sâu khoáng sản, năng lượng tái tạo và dịch vụ kỹ thuật mỏ. Những lĩnh vực này có thể tạo nguồn thu ổn định, cải thiện dòng tiền trong dài hạn. Một số công ty còn triển khai tái đầu tư từ lợi nhuận giữ lại, giảm lệ thuộc vào vốn vay, từ đó nâng cao năng lực tài chính tự chủ.</w:t>
      </w:r>
    </w:p>
    <w:p w14:paraId="5846CDA4" w14:textId="1BE88D78" w:rsidR="00426BBE" w:rsidRPr="00426BBE" w:rsidRDefault="0035608A" w:rsidP="00533E45">
      <w:pPr>
        <w:spacing w:line="312" w:lineRule="auto"/>
        <w:ind w:firstLine="720"/>
        <w:jc w:val="both"/>
        <w:rPr>
          <w:rFonts w:ascii="Times New Roman" w:hAnsi="Times New Roman" w:cs="Times New Roman"/>
          <w:i/>
          <w:iCs/>
          <w:sz w:val="26"/>
          <w:szCs w:val="26"/>
          <w:lang w:val="vi-VN"/>
        </w:rPr>
      </w:pPr>
      <w:r w:rsidRPr="00F22BA5">
        <w:rPr>
          <w:rFonts w:ascii="Times New Roman" w:hAnsi="Times New Roman" w:cs="Times New Roman"/>
          <w:i/>
          <w:iCs/>
          <w:sz w:val="26"/>
          <w:szCs w:val="26"/>
          <w:lang w:val="vi-VN"/>
        </w:rPr>
        <w:t>- Bốn là, n</w:t>
      </w:r>
      <w:r w:rsidR="00426BBE" w:rsidRPr="00426BBE">
        <w:rPr>
          <w:rFonts w:ascii="Times New Roman" w:hAnsi="Times New Roman" w:cs="Times New Roman"/>
          <w:i/>
          <w:iCs/>
          <w:sz w:val="26"/>
          <w:szCs w:val="26"/>
          <w:lang w:val="vi-VN"/>
        </w:rPr>
        <w:t xml:space="preserve">âng cao quản trị tài chính và minh bạch thông tin: </w:t>
      </w:r>
      <w:r w:rsidR="00426BBE" w:rsidRPr="00426BBE">
        <w:rPr>
          <w:rFonts w:ascii="Times New Roman" w:hAnsi="Times New Roman" w:cs="Times New Roman"/>
          <w:sz w:val="26"/>
          <w:szCs w:val="26"/>
          <w:lang w:val="vi-VN"/>
        </w:rPr>
        <w:t xml:space="preserve">Là doanh nghiệp niêm yết, các công ty bắt buộc phải tuân thủ quy định chặt chẽ về công bố thông tin tài chính, báo cáo kiểm toán, và chỉ số tài chính minh bạch. Từ đó, doanh </w:t>
      </w:r>
      <w:r w:rsidR="00426BBE" w:rsidRPr="00426BBE">
        <w:rPr>
          <w:rFonts w:ascii="Times New Roman" w:hAnsi="Times New Roman" w:cs="Times New Roman"/>
          <w:sz w:val="26"/>
          <w:szCs w:val="26"/>
          <w:lang w:val="vi-VN"/>
        </w:rPr>
        <w:lastRenderedPageBreak/>
        <w:t>nghiệp xây dựng niềm tin với cổ đông và nhà đầu tư, tạo thuận lợi trong việc huy động vốn trên thị trường chứng khoán. Định hướng phát triển là ứng dụng các phần mềm tài chính kế toán hiện đại, kết hợp phân tích dữ liệu tài chính theo thời gian thực để phục vụ ra quyết định, tăng khả năng ứng phó với biến động thị trường.</w:t>
      </w:r>
    </w:p>
    <w:p w14:paraId="2F4C018B" w14:textId="1EA23D10" w:rsidR="00426BBE" w:rsidRDefault="0035608A" w:rsidP="00533E45">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i/>
          <w:iCs/>
          <w:sz w:val="26"/>
          <w:szCs w:val="26"/>
          <w:lang w:val="vi-VN"/>
        </w:rPr>
        <w:t>-</w:t>
      </w:r>
      <w:r w:rsidR="00533E45">
        <w:rPr>
          <w:rFonts w:ascii="Times New Roman" w:hAnsi="Times New Roman" w:cs="Times New Roman"/>
          <w:i/>
          <w:iCs/>
          <w:sz w:val="26"/>
          <w:szCs w:val="26"/>
          <w:lang w:val="vi-VN"/>
        </w:rPr>
        <w:t xml:space="preserve"> </w:t>
      </w:r>
      <w:r w:rsidRPr="00F22BA5">
        <w:rPr>
          <w:rFonts w:ascii="Times New Roman" w:hAnsi="Times New Roman" w:cs="Times New Roman"/>
          <w:i/>
          <w:iCs/>
          <w:sz w:val="26"/>
          <w:szCs w:val="26"/>
          <w:lang w:val="vi-VN"/>
        </w:rPr>
        <w:t>Năm là, c</w:t>
      </w:r>
      <w:r w:rsidR="00426BBE" w:rsidRPr="00426BBE">
        <w:rPr>
          <w:rFonts w:ascii="Times New Roman" w:hAnsi="Times New Roman" w:cs="Times New Roman"/>
          <w:i/>
          <w:iCs/>
          <w:sz w:val="26"/>
          <w:szCs w:val="26"/>
          <w:lang w:val="vi-VN"/>
        </w:rPr>
        <w:t xml:space="preserve">hủ động xây dựng quỹ dự phòng và chiến lược ứng phó rủi ro: </w:t>
      </w:r>
      <w:r w:rsidR="00426BBE" w:rsidRPr="00426BBE">
        <w:rPr>
          <w:rFonts w:ascii="Times New Roman" w:hAnsi="Times New Roman" w:cs="Times New Roman"/>
          <w:sz w:val="26"/>
          <w:szCs w:val="26"/>
          <w:lang w:val="vi-VN"/>
        </w:rPr>
        <w:t>Trong bối cảnh thị trường hàng hóa biến động mạnh và chi phí đầu vào không ổn định, các doanh nghiệp xây dựng các quỹ dự phòng tài chính, như quỹ dự phòng giảm giá hàng tồn kho, quỹ dự phòng đầu tư, và quỹ rủi ro thị trường. Bên cạnh đó, định hướng là thiết lập các kịch bản tài chính (financial scenario planning) để sẵn sàng điều chỉnh kế hoạch sản xuất – kinh doanh trong trường hợp có biến động lớn về giá than, lãi suất, hoặc thay đổi chính sách Nhà nước.</w:t>
      </w:r>
    </w:p>
    <w:p w14:paraId="2D9F7E81" w14:textId="11E2EC1A" w:rsidR="0035608A" w:rsidRPr="00F22BA5" w:rsidRDefault="0035608A" w:rsidP="005B0517">
      <w:pPr>
        <w:pStyle w:val="Heading2"/>
        <w:rPr>
          <w:lang w:val="vi-VN"/>
        </w:rPr>
      </w:pPr>
      <w:bookmarkStart w:id="282" w:name="_Toc198710007"/>
      <w:r w:rsidRPr="00F22BA5">
        <w:rPr>
          <w:lang w:val="vi-VN"/>
        </w:rPr>
        <w:t xml:space="preserve">3.2. Một số </w:t>
      </w:r>
      <w:r w:rsidR="00934C37">
        <w:rPr>
          <w:lang w:val="vi-VN"/>
        </w:rPr>
        <w:t xml:space="preserve">giải </w:t>
      </w:r>
      <w:r w:rsidR="006F50D4">
        <w:rPr>
          <w:lang w:val="vi-VN"/>
        </w:rPr>
        <w:t>pháp, kiến nghị</w:t>
      </w:r>
      <w:r w:rsidRPr="00F22BA5">
        <w:rPr>
          <w:lang w:val="vi-VN"/>
        </w:rPr>
        <w:t xml:space="preserve"> đề xuất cải thiện tình hình tài chính và đảm bảo an toàn tài chính cho các công ty cổ phần niêm yết thuộc TKV</w:t>
      </w:r>
      <w:bookmarkEnd w:id="282"/>
    </w:p>
    <w:p w14:paraId="71F0324E" w14:textId="6C971353"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sz w:val="26"/>
          <w:szCs w:val="26"/>
          <w:lang w:val="vi-VN"/>
        </w:rPr>
        <w:t>Dựa trên những nội dung n</w:t>
      </w:r>
      <w:r w:rsidRPr="00EC6124">
        <w:rPr>
          <w:rFonts w:ascii="Times New Roman" w:hAnsi="Times New Roman" w:cs="Times New Roman"/>
          <w:sz w:val="26"/>
          <w:szCs w:val="26"/>
          <w:lang w:val="pt-BR"/>
        </w:rPr>
        <w:t>ghiên cứu cơ sở lý luận về an toàn tài chính trong doanh nghiệp</w:t>
      </w:r>
      <w:r w:rsidRPr="00426BBE">
        <w:rPr>
          <w:rFonts w:ascii="Times New Roman" w:hAnsi="Times New Roman" w:cs="Times New Roman"/>
          <w:sz w:val="26"/>
          <w:szCs w:val="26"/>
          <w:lang w:val="vi-VN"/>
        </w:rPr>
        <w:t xml:space="preserve">, </w:t>
      </w:r>
      <w:r w:rsidR="00F76309" w:rsidRPr="00F22BA5">
        <w:rPr>
          <w:rFonts w:ascii="Times New Roman" w:hAnsi="Times New Roman" w:cs="Times New Roman"/>
          <w:sz w:val="26"/>
          <w:szCs w:val="26"/>
          <w:lang w:val="vi-VN"/>
        </w:rPr>
        <w:t xml:space="preserve">phân tích </w:t>
      </w:r>
      <w:r w:rsidRPr="00EC6124">
        <w:rPr>
          <w:rFonts w:ascii="Times New Roman" w:hAnsi="Times New Roman" w:cs="Times New Roman"/>
          <w:sz w:val="26"/>
          <w:szCs w:val="26"/>
          <w:lang w:val="pt-BR"/>
        </w:rPr>
        <w:t xml:space="preserve">thực trạng an toàn tài chính tại </w:t>
      </w:r>
      <w:r w:rsidR="00F76309">
        <w:rPr>
          <w:rFonts w:ascii="Times New Roman" w:hAnsi="Times New Roman" w:cs="Times New Roman"/>
          <w:sz w:val="26"/>
          <w:szCs w:val="26"/>
          <w:lang w:val="pt-BR"/>
        </w:rPr>
        <w:t>5</w:t>
      </w:r>
      <w:r w:rsidRPr="00426BBE">
        <w:rPr>
          <w:rFonts w:ascii="Times New Roman" w:hAnsi="Times New Roman" w:cs="Times New Roman"/>
          <w:sz w:val="26"/>
          <w:szCs w:val="26"/>
          <w:lang w:val="vi-VN"/>
        </w:rPr>
        <w:t xml:space="preserve"> </w:t>
      </w:r>
      <w:r w:rsidR="00F76309" w:rsidRPr="00F22BA5">
        <w:rPr>
          <w:rFonts w:ascii="Times New Roman" w:hAnsi="Times New Roman" w:cs="Times New Roman"/>
          <w:sz w:val="26"/>
          <w:szCs w:val="26"/>
          <w:lang w:val="vi-VN"/>
        </w:rPr>
        <w:t>CTCP</w:t>
      </w:r>
      <w:r w:rsidRPr="00EC6124">
        <w:rPr>
          <w:rFonts w:ascii="Times New Roman" w:hAnsi="Times New Roman" w:cs="Times New Roman"/>
          <w:sz w:val="26"/>
          <w:szCs w:val="26"/>
          <w:lang w:val="pt-BR"/>
        </w:rPr>
        <w:t xml:space="preserve"> niêm yết đại</w:t>
      </w:r>
      <w:r w:rsidRPr="00426BBE">
        <w:rPr>
          <w:rFonts w:ascii="Times New Roman" w:hAnsi="Times New Roman" w:cs="Times New Roman"/>
          <w:sz w:val="26"/>
          <w:szCs w:val="26"/>
          <w:lang w:val="vi-VN"/>
        </w:rPr>
        <w:t xml:space="preserve"> diện </w:t>
      </w:r>
      <w:r w:rsidRPr="00EC6124">
        <w:rPr>
          <w:rFonts w:ascii="Times New Roman" w:hAnsi="Times New Roman" w:cs="Times New Roman"/>
          <w:sz w:val="26"/>
          <w:szCs w:val="26"/>
          <w:lang w:val="pt-BR"/>
        </w:rPr>
        <w:t>thuộc TKV giai đoạn 2019-2023</w:t>
      </w:r>
      <w:r w:rsidRPr="00426BBE">
        <w:rPr>
          <w:rFonts w:ascii="Times New Roman" w:hAnsi="Times New Roman" w:cs="Times New Roman"/>
          <w:sz w:val="26"/>
          <w:szCs w:val="26"/>
          <w:lang w:val="vi-VN"/>
        </w:rPr>
        <w:t xml:space="preserve">, </w:t>
      </w:r>
      <w:r w:rsidR="00F76309" w:rsidRPr="00F22BA5">
        <w:rPr>
          <w:rFonts w:ascii="Times New Roman" w:hAnsi="Times New Roman" w:cs="Times New Roman"/>
          <w:sz w:val="26"/>
          <w:szCs w:val="26"/>
          <w:lang w:val="vi-VN"/>
        </w:rPr>
        <w:t>nhóm nghiên cứu đề xuất một số kiến nghị như sau:</w:t>
      </w:r>
      <w:r w:rsidRPr="00426BBE">
        <w:rPr>
          <w:rFonts w:ascii="Times New Roman" w:hAnsi="Times New Roman" w:cs="Times New Roman"/>
          <w:sz w:val="26"/>
          <w:szCs w:val="26"/>
          <w:lang w:val="vi-VN"/>
        </w:rPr>
        <w:t xml:space="preserve"> </w:t>
      </w:r>
    </w:p>
    <w:p w14:paraId="26C6BD18" w14:textId="77777777" w:rsidR="00426BBE" w:rsidRPr="00B564BE" w:rsidRDefault="00426BBE" w:rsidP="005B0517">
      <w:pPr>
        <w:pStyle w:val="Heading3"/>
        <w:rPr>
          <w:lang w:val="vi-VN"/>
        </w:rPr>
      </w:pPr>
      <w:bookmarkStart w:id="283" w:name="_Toc197781204"/>
      <w:bookmarkStart w:id="284" w:name="_Toc197781487"/>
      <w:bookmarkStart w:id="285" w:name="_Toc198710008"/>
      <w:r w:rsidRPr="00B564BE">
        <w:rPr>
          <w:lang w:val="vi-VN"/>
        </w:rPr>
        <w:t>3.2.1. Nhóm giải pháp về khả năng thanh toán</w:t>
      </w:r>
      <w:bookmarkEnd w:id="283"/>
      <w:bookmarkEnd w:id="284"/>
      <w:bookmarkEnd w:id="285"/>
    </w:p>
    <w:p w14:paraId="315104C8" w14:textId="56E918B3"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sz w:val="26"/>
          <w:szCs w:val="26"/>
          <w:lang w:val="vi-VN"/>
        </w:rPr>
        <w:t xml:space="preserve">Trong bối cảnh thị trường khoáng sản biến động và chi phí khai thác ngày càng tăng, các </w:t>
      </w:r>
      <w:r w:rsidR="00FB258A" w:rsidRPr="00F22BA5">
        <w:rPr>
          <w:rFonts w:ascii="Times New Roman" w:hAnsi="Times New Roman" w:cs="Times New Roman"/>
          <w:sz w:val="26"/>
          <w:szCs w:val="26"/>
          <w:lang w:val="vi-VN"/>
        </w:rPr>
        <w:t>CTCP</w:t>
      </w:r>
      <w:r w:rsidRPr="00426BBE">
        <w:rPr>
          <w:rFonts w:ascii="Times New Roman" w:hAnsi="Times New Roman" w:cs="Times New Roman"/>
          <w:sz w:val="26"/>
          <w:szCs w:val="26"/>
          <w:lang w:val="vi-VN"/>
        </w:rPr>
        <w:t xml:space="preserve"> niêm yết thuộc Tập đoàn Công nghiệp Than - Khoáng sản Việt Nam (TKV) đang phải đối mặt với nhiều áp lực về tài chính, đặc biệt là về khả năng thanh toán ngắn hạn. Khả năng thanh toán không chỉ là thước đo quan trọng phản ánh sức khỏe tài chính của doanh nghiệp mà còn quyết định đến sự tồn tại và phát triển bền vững. Vì vậy, việc đề xuất và triển khai các nhóm giải pháp phù hợp là vô cùng cần thiết. Dưới đây là phân tích cụ thể bốn giải pháp chủ chốt nhằm cải thiện khả năng thanh toán cho các công ty thuộc khối doanh nghiệp này.</w:t>
      </w:r>
    </w:p>
    <w:p w14:paraId="0C3135F1" w14:textId="77777777" w:rsidR="00426BBE" w:rsidRPr="00426BBE" w:rsidRDefault="00426BBE" w:rsidP="00426BBE">
      <w:pPr>
        <w:spacing w:line="312" w:lineRule="auto"/>
        <w:ind w:firstLine="720"/>
        <w:jc w:val="both"/>
        <w:rPr>
          <w:rFonts w:ascii="Times New Roman" w:hAnsi="Times New Roman" w:cs="Times New Roman"/>
          <w:sz w:val="26"/>
          <w:szCs w:val="26"/>
          <w:lang w:val="vi-VN"/>
        </w:rPr>
      </w:pPr>
      <w:r w:rsidRPr="00426BBE">
        <w:rPr>
          <w:rFonts w:ascii="Times New Roman" w:hAnsi="Times New Roman" w:cs="Times New Roman"/>
          <w:sz w:val="26"/>
          <w:szCs w:val="26"/>
          <w:lang w:val="vi-VN"/>
        </w:rPr>
        <w:t xml:space="preserve">Trước hết, </w:t>
      </w:r>
      <w:r w:rsidRPr="00426BBE">
        <w:rPr>
          <w:rStyle w:val="Strong"/>
          <w:rFonts w:ascii="Times New Roman" w:hAnsi="Times New Roman" w:cs="Times New Roman"/>
          <w:b w:val="0"/>
          <w:bCs w:val="0"/>
          <w:sz w:val="26"/>
          <w:szCs w:val="26"/>
          <w:lang w:val="vi-VN"/>
        </w:rPr>
        <w:t>quản lý dòng tiền hiệu quả</w:t>
      </w:r>
      <w:r w:rsidRPr="00426BBE">
        <w:rPr>
          <w:rFonts w:ascii="Times New Roman" w:hAnsi="Times New Roman" w:cs="Times New Roman"/>
          <w:sz w:val="26"/>
          <w:szCs w:val="26"/>
          <w:lang w:val="vi-VN"/>
        </w:rPr>
        <w:t xml:space="preserve"> là giải pháp cốt lõi giúp doanh nghiệp đảm bảo thanh khoản.</w:t>
      </w:r>
    </w:p>
    <w:p w14:paraId="56EF0463" w14:textId="27CA8CF6"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 xml:space="preserve"> Các công ty trong ngành than – khoáng sản có chu kỳ sản xuất kinh doanh dài, thường xuyên phải đầu tư vào máy móc, thiết bị khai thác, dẫn đến việc dòng tiền dễ bị gián đoạn. Trong khi đó, doanh thu thường bị chi phối bởi yếu tố </w:t>
      </w:r>
      <w:r w:rsidR="00FB258A" w:rsidRPr="00F22BA5">
        <w:rPr>
          <w:rFonts w:ascii="Times New Roman" w:hAnsi="Times New Roman" w:cs="Times New Roman"/>
          <w:sz w:val="26"/>
          <w:szCs w:val="26"/>
          <w:lang w:val="vi-VN"/>
        </w:rPr>
        <w:t>địa chất, thời vự</w:t>
      </w:r>
      <w:r w:rsidRPr="00D04935">
        <w:rPr>
          <w:rFonts w:ascii="Times New Roman" w:hAnsi="Times New Roman" w:cs="Times New Roman"/>
          <w:sz w:val="26"/>
          <w:szCs w:val="26"/>
          <w:lang w:val="vi-VN"/>
        </w:rPr>
        <w:t xml:space="preserve"> hoặc thời điểm thanh toán từ khách hàng lớn như các nhà máy nhiệt điện</w:t>
      </w:r>
      <w:r w:rsidR="00FB258A" w:rsidRPr="00F22BA5">
        <w:rPr>
          <w:rFonts w:ascii="Times New Roman" w:hAnsi="Times New Roman" w:cs="Times New Roman"/>
          <w:sz w:val="26"/>
          <w:szCs w:val="26"/>
          <w:lang w:val="vi-VN"/>
        </w:rPr>
        <w:t>, xi măng, phân bón</w:t>
      </w:r>
      <w:r w:rsidRPr="00D04935">
        <w:rPr>
          <w:rFonts w:ascii="Times New Roman" w:hAnsi="Times New Roman" w:cs="Times New Roman"/>
          <w:sz w:val="26"/>
          <w:szCs w:val="26"/>
          <w:lang w:val="vi-VN"/>
        </w:rPr>
        <w:t>. Do đó, các công ty cần nâng cao năng lực dự báo dòng tiền thông qua việc sử dụng phần mềm quản trị tài chính hiện đại, đồng thời xây dựng kế hoạch thu chi cụ thể theo từng quý, từng tháng.</w:t>
      </w:r>
    </w:p>
    <w:p w14:paraId="2A883FC1"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lastRenderedPageBreak/>
        <w:t xml:space="preserve">- </w:t>
      </w:r>
      <w:r w:rsidRPr="00D04935">
        <w:rPr>
          <w:rFonts w:ascii="Times New Roman" w:hAnsi="Times New Roman" w:cs="Times New Roman"/>
          <w:sz w:val="26"/>
          <w:szCs w:val="26"/>
          <w:lang w:val="vi-VN"/>
        </w:rPr>
        <w:t xml:space="preserve">Bên cạnh đó, việc giám sát chặt chẽ các khoản phải thu và phải trả cũng là yếu tố quan trọng. Việc trì trệ trong thu hồi công nợ hay chậm trễ trong thanh toán cho nhà cung cấp đều có thể ảnh hưởng đến uy tín và khả năng vận hành chuỗi cung ứng. </w:t>
      </w:r>
    </w:p>
    <w:p w14:paraId="48029745"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Từ đó, các công ty cần thiết lập quy trình kiểm soát công nợ hiệu quả và thường xuyên cập nhật tình hình dòng tiền để có phương án điều chỉnh kịp thời.</w:t>
      </w:r>
    </w:p>
    <w:p w14:paraId="267208D6"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 xml:space="preserve">Tiếp theo, </w:t>
      </w:r>
      <w:r w:rsidRPr="00D04935">
        <w:rPr>
          <w:rStyle w:val="Strong"/>
          <w:rFonts w:ascii="Times New Roman" w:hAnsi="Times New Roman" w:cs="Times New Roman"/>
          <w:b w:val="0"/>
          <w:bCs w:val="0"/>
          <w:sz w:val="26"/>
          <w:szCs w:val="26"/>
          <w:lang w:val="vi-VN"/>
        </w:rPr>
        <w:t>tăng cường tín dụng ngắn hạn</w:t>
      </w:r>
      <w:r w:rsidRPr="00D04935">
        <w:rPr>
          <w:rFonts w:ascii="Times New Roman" w:hAnsi="Times New Roman" w:cs="Times New Roman"/>
          <w:sz w:val="26"/>
          <w:szCs w:val="26"/>
          <w:lang w:val="vi-VN"/>
        </w:rPr>
        <w:t xml:space="preserve"> là giải pháp linh hoạt giúp doanh nghiệp có nguồn lực bổ sung khi cần thiết.</w:t>
      </w:r>
    </w:p>
    <w:p w14:paraId="7FC9BA40"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 </w:t>
      </w:r>
      <w:r w:rsidRPr="00D04935">
        <w:rPr>
          <w:rFonts w:ascii="Times New Roman" w:hAnsi="Times New Roman" w:cs="Times New Roman"/>
          <w:sz w:val="26"/>
          <w:szCs w:val="26"/>
          <w:lang w:val="vi-VN"/>
        </w:rPr>
        <w:t>Trong thực tế, nhiều công ty thuộc TKV như CTCP Than Hà Lầm hay CTCP Than Vàng Danh thường xuyên sử dụng các khoản vay ngắn hạn từ ngân hàng để tài trợ vốn lưu động. Tuy nhiên, việc phụ thuộc quá mức vào vốn vay có thể khiến doanh nghiệp gặp rủi ro về chi phí tài chính khi lãi suất biến động. Do đó, các công ty cần có chiến lược đa dạng hóa nguồn vay, không chỉ dừng lại ở ngân hàng mà còn có thể tìm đến các tổ chức tín dụng phi ngân hàng, quỹ đầu tư hoặc thỏa thuận tín dụng thương mại với nhà cung cấp.</w:t>
      </w:r>
    </w:p>
    <w:p w14:paraId="78FB3882"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 </w:t>
      </w:r>
      <w:r w:rsidRPr="00D04935">
        <w:rPr>
          <w:rFonts w:ascii="Times New Roman" w:hAnsi="Times New Roman" w:cs="Times New Roman"/>
          <w:sz w:val="26"/>
          <w:szCs w:val="26"/>
          <w:lang w:val="vi-VN"/>
        </w:rPr>
        <w:t>Mặt khác, việc xây dựng uy tín tín dụng tốt thông qua báo cáo tài chính minh bạch, kết quả kinh doanh ổn định cũng sẽ giúp doanh nghiệp dễ dàng tiếp cận các khoản tín dụng ưu đãi, từ đó giảm áp lực chi phí lãi vay.</w:t>
      </w:r>
    </w:p>
    <w:p w14:paraId="0777E10E" w14:textId="64714ACC" w:rsidR="00426BBE" w:rsidRPr="00F22BA5" w:rsidRDefault="00426BBE" w:rsidP="00FB258A">
      <w:pPr>
        <w:spacing w:line="312" w:lineRule="auto"/>
        <w:ind w:firstLine="720"/>
        <w:jc w:val="both"/>
        <w:rPr>
          <w:rFonts w:ascii="Times New Roman" w:hAnsi="Times New Roman" w:cs="Times New Roman"/>
          <w:b/>
          <w:bCs/>
          <w:i/>
          <w:iCs/>
          <w:sz w:val="26"/>
          <w:szCs w:val="26"/>
          <w:lang w:val="vi-VN"/>
        </w:rPr>
      </w:pPr>
      <w:r w:rsidRPr="00D04935">
        <w:rPr>
          <w:rFonts w:ascii="Times New Roman" w:hAnsi="Times New Roman" w:cs="Times New Roman"/>
          <w:sz w:val="26"/>
          <w:szCs w:val="26"/>
          <w:lang w:val="vi-VN"/>
        </w:rPr>
        <w:t xml:space="preserve"> Một yếu tố quan trọng không thể bỏ qua là </w:t>
      </w:r>
      <w:r w:rsidRPr="00D04935">
        <w:rPr>
          <w:rStyle w:val="Strong"/>
          <w:rFonts w:ascii="Times New Roman" w:hAnsi="Times New Roman" w:cs="Times New Roman"/>
          <w:b w:val="0"/>
          <w:bCs w:val="0"/>
          <w:sz w:val="26"/>
          <w:szCs w:val="26"/>
          <w:lang w:val="vi-VN"/>
        </w:rPr>
        <w:t>xây dựng quỹ dự phòng thanh khoản</w:t>
      </w:r>
      <w:r w:rsidR="00FB258A" w:rsidRPr="00F22BA5">
        <w:rPr>
          <w:rFonts w:ascii="Times New Roman" w:hAnsi="Times New Roman" w:cs="Times New Roman"/>
          <w:b/>
          <w:bCs/>
          <w:i/>
          <w:iCs/>
          <w:sz w:val="26"/>
          <w:szCs w:val="26"/>
          <w:lang w:val="vi-VN"/>
        </w:rPr>
        <w:t>.</w:t>
      </w:r>
    </w:p>
    <w:p w14:paraId="1D01837F" w14:textId="77777777" w:rsidR="00426BBE" w:rsidRPr="00D04935" w:rsidRDefault="00426BBE" w:rsidP="00426BBE">
      <w:pPr>
        <w:spacing w:line="312" w:lineRule="auto"/>
        <w:ind w:firstLine="720"/>
        <w:jc w:val="both"/>
        <w:rPr>
          <w:rFonts w:ascii="Times New Roman" w:hAnsi="Times New Roman" w:cs="Times New Roman"/>
          <w:b/>
          <w:bCs/>
          <w:i/>
          <w:iCs/>
          <w:sz w:val="26"/>
          <w:szCs w:val="26"/>
          <w:lang w:val="vi-VN"/>
        </w:rPr>
      </w:pPr>
      <w:r w:rsidRPr="00D04935">
        <w:rPr>
          <w:rFonts w:ascii="Times New Roman" w:hAnsi="Times New Roman" w:cs="Times New Roman"/>
          <w:b/>
          <w:bCs/>
          <w:i/>
          <w:iCs/>
          <w:sz w:val="26"/>
          <w:szCs w:val="26"/>
          <w:lang w:val="vi-VN"/>
        </w:rPr>
        <w:t xml:space="preserve">   </w:t>
      </w:r>
      <w:r w:rsidRPr="00EC6124">
        <w:rPr>
          <w:rFonts w:ascii="Times New Roman" w:hAnsi="Times New Roman" w:cs="Times New Roman"/>
          <w:b/>
          <w:bCs/>
          <w:i/>
          <w:iCs/>
          <w:sz w:val="26"/>
          <w:szCs w:val="26"/>
          <w:lang w:val="vi-VN"/>
        </w:rPr>
        <w:t xml:space="preserve">- </w:t>
      </w:r>
      <w:r w:rsidRPr="00D04935">
        <w:rPr>
          <w:rFonts w:ascii="Times New Roman" w:hAnsi="Times New Roman" w:cs="Times New Roman"/>
          <w:sz w:val="26"/>
          <w:szCs w:val="26"/>
          <w:lang w:val="vi-VN"/>
        </w:rPr>
        <w:t>Ngoài ra, việc duy trì một tỷ lệ hợp lý tài sản ngắn hạn có tính thanh khoản cao như tiền gửi ngân hàng, chứng khoán thanh khoản nhanh cũng là phương án bổ trợ hiệu quả cho quỹ dự phòng này.</w:t>
      </w:r>
    </w:p>
    <w:p w14:paraId="31380AFD" w14:textId="29DB19E6" w:rsidR="00426BBE" w:rsidRPr="00D04935" w:rsidRDefault="00426BBE" w:rsidP="00FB258A">
      <w:pPr>
        <w:spacing w:line="312" w:lineRule="auto"/>
        <w:ind w:firstLine="720"/>
        <w:jc w:val="both"/>
        <w:rPr>
          <w:rFonts w:ascii="Times New Roman" w:hAnsi="Times New Roman" w:cs="Times New Roman"/>
          <w:b/>
          <w:bCs/>
          <w:i/>
          <w:iCs/>
          <w:sz w:val="26"/>
          <w:szCs w:val="26"/>
          <w:lang w:val="vi-VN"/>
        </w:rPr>
      </w:pPr>
      <w:r w:rsidRPr="00D04935">
        <w:rPr>
          <w:rFonts w:ascii="Times New Roman" w:hAnsi="Times New Roman" w:cs="Times New Roman"/>
          <w:b/>
          <w:bCs/>
          <w:i/>
          <w:iCs/>
          <w:sz w:val="26"/>
          <w:szCs w:val="26"/>
          <w:lang w:val="vi-VN"/>
        </w:rPr>
        <w:t xml:space="preserve"> </w:t>
      </w:r>
      <w:r w:rsidRPr="00D04935">
        <w:rPr>
          <w:rFonts w:ascii="Times New Roman" w:hAnsi="Times New Roman" w:cs="Times New Roman"/>
          <w:sz w:val="26"/>
          <w:szCs w:val="26"/>
          <w:lang w:val="vi-VN"/>
        </w:rPr>
        <w:t xml:space="preserve">Cuối cùng, </w:t>
      </w:r>
      <w:r w:rsidRPr="00D04935">
        <w:rPr>
          <w:rStyle w:val="Strong"/>
          <w:rFonts w:ascii="Times New Roman" w:hAnsi="Times New Roman" w:cs="Times New Roman"/>
          <w:b w:val="0"/>
          <w:bCs w:val="0"/>
          <w:sz w:val="26"/>
          <w:szCs w:val="26"/>
          <w:lang w:val="vi-VN"/>
        </w:rPr>
        <w:t>thu hồi công nợ hiệu quả</w:t>
      </w:r>
      <w:r w:rsidRPr="00D04935">
        <w:rPr>
          <w:rFonts w:ascii="Times New Roman" w:hAnsi="Times New Roman" w:cs="Times New Roman"/>
          <w:sz w:val="26"/>
          <w:szCs w:val="26"/>
          <w:lang w:val="vi-VN"/>
        </w:rPr>
        <w:t xml:space="preserve"> là yếu tố then chốt để bảo đảm dòng tiền vận hành ổn định</w:t>
      </w:r>
      <w:r w:rsidRPr="00FB258A">
        <w:rPr>
          <w:rFonts w:ascii="Times New Roman" w:hAnsi="Times New Roman" w:cs="Times New Roman"/>
          <w:sz w:val="26"/>
          <w:szCs w:val="26"/>
          <w:lang w:val="vi-VN"/>
        </w:rPr>
        <w:t>.</w:t>
      </w:r>
      <w:r w:rsidR="00FB258A" w:rsidRPr="00F22BA5">
        <w:rPr>
          <w:rFonts w:ascii="Times New Roman" w:hAnsi="Times New Roman" w:cs="Times New Roman"/>
          <w:b/>
          <w:bCs/>
          <w:iCs/>
          <w:sz w:val="26"/>
          <w:szCs w:val="26"/>
          <w:lang w:val="vi-VN"/>
        </w:rPr>
        <w:t xml:space="preserve"> C</w:t>
      </w:r>
      <w:r w:rsidRPr="00FB258A">
        <w:rPr>
          <w:rFonts w:ascii="Times New Roman" w:hAnsi="Times New Roman" w:cs="Times New Roman"/>
          <w:sz w:val="26"/>
          <w:szCs w:val="26"/>
          <w:lang w:val="vi-VN"/>
        </w:rPr>
        <w:t>ác</w:t>
      </w:r>
      <w:r w:rsidRPr="00D04935">
        <w:rPr>
          <w:rFonts w:ascii="Times New Roman" w:hAnsi="Times New Roman" w:cs="Times New Roman"/>
          <w:sz w:val="26"/>
          <w:szCs w:val="26"/>
          <w:lang w:val="vi-VN"/>
        </w:rPr>
        <w:t xml:space="preserve"> công ty nên xây dựng hệ thống báo cáo định kỳ về công nợ để quản trị hiệu quả và tránh tình trạng nợ xấu kéo dài, ảnh hưởng đến khả năng thanh toán chung của toàn doanh nghiệp.</w:t>
      </w:r>
    </w:p>
    <w:p w14:paraId="4E0A685F" w14:textId="77777777" w:rsidR="00426BBE" w:rsidRPr="00D04935" w:rsidRDefault="00426BBE" w:rsidP="00426BBE">
      <w:pPr>
        <w:spacing w:line="312" w:lineRule="auto"/>
        <w:jc w:val="both"/>
        <w:rPr>
          <w:rFonts w:ascii="Times New Roman" w:hAnsi="Times New Roman" w:cs="Times New Roman"/>
          <w:b/>
          <w:bCs/>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Tóm lại, trong bối cảnh ngành công nghiệp khai khoáng đang đứng trước nhiều thách thức, việc đảm bảo khả năng thanh toán là yếu tố sống còn đối với các công ty cổ phần niêm yết thuộc TKV. Thông qua việc triển khai đồng bộ các giải pháp như quản lý dòng tiền chặt chẽ, mở rộng tín dụng ngắn hạn một cách hợp lý, xây dựng quỹ dự phòng thanh khoản và cải thiện hiệu quả thu hồi nợ, các doanh nghiệp không chỉ nâng cao sức chống chịu tài chính mà còn tạo nền tảng ổn định để phát triển bền vững trong dài hạn.</w:t>
      </w:r>
    </w:p>
    <w:p w14:paraId="0052E3E6" w14:textId="77777777" w:rsidR="00426BBE" w:rsidRPr="00B564BE" w:rsidRDefault="00426BBE" w:rsidP="005B0517">
      <w:pPr>
        <w:pStyle w:val="Heading3"/>
        <w:rPr>
          <w:lang w:val="vi-VN"/>
        </w:rPr>
      </w:pPr>
      <w:bookmarkStart w:id="286" w:name="_Toc197781205"/>
      <w:bookmarkStart w:id="287" w:name="_Toc197781488"/>
      <w:bookmarkStart w:id="288" w:name="_Toc198710009"/>
      <w:r w:rsidRPr="00B564BE">
        <w:rPr>
          <w:lang w:val="vi-VN"/>
        </w:rPr>
        <w:lastRenderedPageBreak/>
        <w:t>3.2.2. Nhóm giải pháp về cơ cấu nguồn vốn và tài sản</w:t>
      </w:r>
      <w:bookmarkEnd w:id="286"/>
      <w:bookmarkEnd w:id="287"/>
      <w:bookmarkEnd w:id="288"/>
    </w:p>
    <w:p w14:paraId="06FDAACD" w14:textId="55CA9F3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Trong bối cảnh ngành công nghiệp than và khoáng sản Việt Nam đang bước vào giai đoạn chuyển đổi với yêu cầu nâng cao hiệu quả sản xuất và phát triển bền vững, các </w:t>
      </w:r>
      <w:r w:rsidR="00FB258A" w:rsidRPr="00F22BA5">
        <w:rPr>
          <w:rFonts w:ascii="Times New Roman" w:hAnsi="Times New Roman" w:cs="Times New Roman"/>
          <w:sz w:val="26"/>
          <w:szCs w:val="26"/>
          <w:lang w:val="vi-VN"/>
        </w:rPr>
        <w:t>CTCP</w:t>
      </w:r>
      <w:r w:rsidRPr="00D04935">
        <w:rPr>
          <w:rFonts w:ascii="Times New Roman" w:hAnsi="Times New Roman" w:cs="Times New Roman"/>
          <w:sz w:val="26"/>
          <w:szCs w:val="26"/>
          <w:lang w:val="vi-VN"/>
        </w:rPr>
        <w:t xml:space="preserve"> niêm yết thuộc Tập đoàn Công nghiệp Than - Khoáng sản Việt Nam (TKV) cần chú trọng nhiều hơn đến việc tái cấu trúc tài chính, đặc biệt là cơ cấu nguồn vốn và tài sản. Việc xây dựng một cơ cấu vốn hợp lý và phân bổ tài sản hiệu quả không chỉ giúp doanh nghiệp giảm thiểu rủi ro tài chính mà còn tạo nền tảng vững chắc cho đầu tư, phát triển và thích ứng với biến động thị trường.</w:t>
      </w:r>
    </w:p>
    <w:p w14:paraId="4C8E2F73"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Một trong những giải pháp then chốt là </w:t>
      </w:r>
      <w:r w:rsidRPr="00D04935">
        <w:rPr>
          <w:rStyle w:val="Strong"/>
          <w:rFonts w:ascii="Times New Roman" w:hAnsi="Times New Roman" w:cs="Times New Roman"/>
          <w:b w:val="0"/>
          <w:bCs w:val="0"/>
          <w:sz w:val="26"/>
          <w:szCs w:val="26"/>
          <w:lang w:val="vi-VN"/>
        </w:rPr>
        <w:t>tối ưu hóa cơ cấu vốn</w:t>
      </w:r>
      <w:r w:rsidRPr="00D04935">
        <w:rPr>
          <w:rFonts w:ascii="Times New Roman" w:hAnsi="Times New Roman" w:cs="Times New Roman"/>
          <w:i/>
          <w:iCs/>
          <w:sz w:val="26"/>
          <w:szCs w:val="26"/>
          <w:lang w:val="vi-VN"/>
        </w:rPr>
        <w:t>,</w:t>
      </w:r>
      <w:r w:rsidRPr="00D04935">
        <w:rPr>
          <w:rFonts w:ascii="Times New Roman" w:hAnsi="Times New Roman" w:cs="Times New Roman"/>
          <w:sz w:val="26"/>
          <w:szCs w:val="26"/>
          <w:lang w:val="vi-VN"/>
        </w:rPr>
        <w:t xml:space="preserve"> đảm bảo cân bằng giữa nợ vay và vốn chủ sở hữu.</w:t>
      </w:r>
    </w:p>
    <w:p w14:paraId="05BF20BE"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 </w:t>
      </w:r>
      <w:r w:rsidRPr="00D04935">
        <w:rPr>
          <w:rFonts w:ascii="Times New Roman" w:hAnsi="Times New Roman" w:cs="Times New Roman"/>
          <w:sz w:val="26"/>
          <w:szCs w:val="26"/>
          <w:lang w:val="vi-VN"/>
        </w:rPr>
        <w:t>Hiện nay, nhiều công ty thuộc TKV có tỷ lệ đòn bẩy tài chính tương đối cao, phản ánh qua hệ số nợ trên tổng tài sản hoặc nợ trên vốn chủ sở hữu (D/E) ở mức đáng báo động. Chẳng hạn, CTCP Than Hà Tu có mức nợ vay chiếm trên 60% tổng tài sản, điều này khiến chi phí lãi vay tăng cao và ảnh hưởng trực tiếp đến lợi nhuận thuần. Trong bối cảnh lãi suất có xu hướng dao động mạnh, việc phụ thuộc quá mức vào vốn vay sẽ làm gia tăng rủi ro tài chính. Do đó, các doanh nghiệp cần từng bước nâng cao tỷ trọng vốn chủ sở hữu thông qua việc giữ lại lợi nhuận, phát hành thêm cổ phiếu, hoặc thu hút các nhà đầu tư chiến lược.</w:t>
      </w:r>
    </w:p>
    <w:p w14:paraId="1057D8A4" w14:textId="77777777" w:rsidR="00426BBE" w:rsidRPr="00EC6124"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Việc sử dụng vốn chủ sở hữu một cách chủ động không chỉ làm giảm áp lực trả nợ mà còn tạo sự ổn định về dòng tiền, nâng cao hệ số tín nhiệm và khả năng huy động vốn trong tương lai.</w:t>
      </w:r>
      <w:r w:rsidRPr="00EC6124">
        <w:rPr>
          <w:rFonts w:ascii="Times New Roman" w:hAnsi="Times New Roman" w:cs="Times New Roman"/>
          <w:sz w:val="26"/>
          <w:szCs w:val="26"/>
          <w:lang w:val="vi-VN"/>
        </w:rPr>
        <w:t xml:space="preserve">    </w:t>
      </w:r>
    </w:p>
    <w:p w14:paraId="151EC739" w14:textId="77777777" w:rsidR="00426BBE" w:rsidRPr="00EC6124"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Song song với cơ cấu vốn, </w:t>
      </w:r>
      <w:r w:rsidRPr="00D04935">
        <w:rPr>
          <w:rStyle w:val="Strong"/>
          <w:rFonts w:ascii="Times New Roman" w:hAnsi="Times New Roman" w:cs="Times New Roman"/>
          <w:b w:val="0"/>
          <w:bCs w:val="0"/>
          <w:sz w:val="26"/>
          <w:szCs w:val="26"/>
          <w:lang w:val="vi-VN"/>
        </w:rPr>
        <w:t>đầu tư hiệu quả vào tài sản dài hạn</w:t>
      </w:r>
      <w:r w:rsidRPr="00D04935">
        <w:rPr>
          <w:rFonts w:ascii="Times New Roman" w:hAnsi="Times New Roman" w:cs="Times New Roman"/>
          <w:sz w:val="26"/>
          <w:szCs w:val="26"/>
          <w:lang w:val="vi-VN"/>
        </w:rPr>
        <w:t xml:space="preserve"> cũng là một trong những yếu tố sống còn đối với doanh nghiệp khai thác khoáng sản.</w:t>
      </w:r>
    </w:p>
    <w:p w14:paraId="58CD9FA9"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Ngành công nghiệp than – khoáng sản đòi hỏi phải có hệ thống thiết bị máy móc, công nghệ khai thác hiện đại và bền bỉ. Tuy nhiên, nếu đầu tư tràn lan, không kiểm soát được hiệu suất sử dụng tài sản, sẽ dẫn đến tình trạng lãng phí nguồn lực và làm giảm hiệu quả sinh lời. Thực tế cho thấy, một số đơn vị thuộc TKV hiện đang đối mặt với tình trạng máy móc thiết bị cũ kỹ, hoạt động kém hiệu quả hoặc bị sử dụng không đúng công suất. Vì vậy, các công ty cần thực hiện rà soát định kỳ hiệu suất sử dụng tài sản cố định, từ đó đưa ra quyết định loại bỏ, thanh lý hoặc đầu tư thay thế phù hợp.</w:t>
      </w:r>
    </w:p>
    <w:p w14:paraId="6372FAF2" w14:textId="77777777" w:rsidR="00426BBE" w:rsidRPr="00EC6124"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Ngoài ra, việc gắn kết đầu tư tài sản với chiến lược sản xuất kinh doanh dài hạn sẽ giúp doanh nghiệp đảm bảo rằng tài sản không chỉ được sử dụng hiệu quả mà còn đóng vai trò hỗ trợ phát triển năng lực cốt lõi của công ty.</w:t>
      </w:r>
    </w:p>
    <w:p w14:paraId="4D120CFA"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Bên cạnh việc đầu tư vào tài sản dài hạn, </w:t>
      </w:r>
      <w:r w:rsidRPr="00D04935">
        <w:rPr>
          <w:rStyle w:val="Strong"/>
          <w:rFonts w:ascii="Times New Roman" w:hAnsi="Times New Roman" w:cs="Times New Roman"/>
          <w:b w:val="0"/>
          <w:bCs w:val="0"/>
          <w:sz w:val="26"/>
          <w:szCs w:val="26"/>
          <w:lang w:val="vi-VN"/>
        </w:rPr>
        <w:t>đảm bảo tính thanh khoản của tài sản</w:t>
      </w:r>
      <w:r w:rsidRPr="00D04935">
        <w:rPr>
          <w:rFonts w:ascii="Times New Roman" w:hAnsi="Times New Roman" w:cs="Times New Roman"/>
          <w:sz w:val="26"/>
          <w:szCs w:val="26"/>
          <w:lang w:val="vi-VN"/>
        </w:rPr>
        <w:t xml:space="preserve"> cũng là một yêu cầu quan trọng.</w:t>
      </w:r>
    </w:p>
    <w:p w14:paraId="48889E59" w14:textId="5C13DE6C"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lastRenderedPageBreak/>
        <w:t>-</w:t>
      </w:r>
      <w:r w:rsidRPr="00D04935">
        <w:rPr>
          <w:rFonts w:ascii="Times New Roman" w:hAnsi="Times New Roman" w:cs="Times New Roman"/>
          <w:sz w:val="26"/>
          <w:szCs w:val="26"/>
          <w:lang w:val="vi-VN"/>
        </w:rPr>
        <w:t xml:space="preserve"> Trong ngành khai khoáng, </w:t>
      </w:r>
      <w:r w:rsidR="00FB258A" w:rsidRPr="00F22BA5">
        <w:rPr>
          <w:rFonts w:ascii="Times New Roman" w:hAnsi="Times New Roman" w:cs="Times New Roman"/>
          <w:sz w:val="26"/>
          <w:szCs w:val="26"/>
          <w:lang w:val="vi-VN"/>
        </w:rPr>
        <w:t xml:space="preserve">có </w:t>
      </w:r>
      <w:r w:rsidRPr="00D04935">
        <w:rPr>
          <w:rFonts w:ascii="Times New Roman" w:hAnsi="Times New Roman" w:cs="Times New Roman"/>
          <w:sz w:val="26"/>
          <w:szCs w:val="26"/>
          <w:lang w:val="vi-VN"/>
        </w:rPr>
        <w:t xml:space="preserve">nhiều tài sản </w:t>
      </w:r>
      <w:r w:rsidR="00FB258A" w:rsidRPr="00F22BA5">
        <w:rPr>
          <w:rFonts w:ascii="Times New Roman" w:hAnsi="Times New Roman" w:cs="Times New Roman"/>
          <w:sz w:val="26"/>
          <w:szCs w:val="26"/>
          <w:lang w:val="vi-VN"/>
        </w:rPr>
        <w:t xml:space="preserve">cố định nhưng lại </w:t>
      </w:r>
      <w:r w:rsidRPr="00D04935">
        <w:rPr>
          <w:rFonts w:ascii="Times New Roman" w:hAnsi="Times New Roman" w:cs="Times New Roman"/>
          <w:sz w:val="26"/>
          <w:szCs w:val="26"/>
          <w:lang w:val="vi-VN"/>
        </w:rPr>
        <w:t>có tính chấ</w:t>
      </w:r>
      <w:r w:rsidR="00FB258A">
        <w:rPr>
          <w:rFonts w:ascii="Times New Roman" w:hAnsi="Times New Roman" w:cs="Times New Roman"/>
          <w:sz w:val="26"/>
          <w:szCs w:val="26"/>
          <w:lang w:val="vi-VN"/>
        </w:rPr>
        <w:t xml:space="preserve">t </w:t>
      </w:r>
      <w:r w:rsidRPr="00D04935">
        <w:rPr>
          <w:rFonts w:ascii="Times New Roman" w:hAnsi="Times New Roman" w:cs="Times New Roman"/>
          <w:sz w:val="26"/>
          <w:szCs w:val="26"/>
          <w:lang w:val="vi-VN"/>
        </w:rPr>
        <w:t>thanh khoản</w:t>
      </w:r>
      <w:r w:rsidR="00FB258A" w:rsidRPr="00F22BA5">
        <w:rPr>
          <w:rFonts w:ascii="Times New Roman" w:hAnsi="Times New Roman" w:cs="Times New Roman"/>
          <w:sz w:val="26"/>
          <w:szCs w:val="26"/>
          <w:lang w:val="vi-VN"/>
        </w:rPr>
        <w:t xml:space="preserve"> thấp</w:t>
      </w:r>
      <w:r w:rsidRPr="00D04935">
        <w:rPr>
          <w:rFonts w:ascii="Times New Roman" w:hAnsi="Times New Roman" w:cs="Times New Roman"/>
          <w:sz w:val="26"/>
          <w:szCs w:val="26"/>
          <w:lang w:val="vi-VN"/>
        </w:rPr>
        <w:t xml:space="preserve"> như máy móc chuyên dụng, phương tiện vận chuyển lớn. Khi doanh nghiệp gặp khó khăn về dòng tiền, việc chuyển đổi các tài sản này thành tiền mặt thường gặp trở ngại hoặc phải chấp nhận bán với giá thấp. Do đó, các công ty cần xác định tỷ lệ hợp lý giữa tài sản thanh khoản cao (như tiền mặt, chứng khoán ngắn hạn, hàng tồn kho dễ tiêu thụ) và tài sản thanh khoản thấp, đồng thời duy trì một danh mục tài sản có khả năng chuyển đổi nhanh để đối phó với những biến động bất ngờ.</w:t>
      </w:r>
    </w:p>
    <w:p w14:paraId="3C2F99C5" w14:textId="77777777" w:rsidR="00426BBE" w:rsidRPr="00EC6124"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Ngoài ra, việc định giá lại tài sản theo chu kỳ và phân loại rõ ràng trong báo cáo tài chính cũng giúp nhà quản trị có cái nhìn toàn diện hơn về khả năng sử dụng tài sản khi cần thiết.</w:t>
      </w:r>
    </w:p>
    <w:p w14:paraId="092AE174"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Cuối cùng</w:t>
      </w:r>
      <w:r w:rsidRPr="00D04935">
        <w:rPr>
          <w:rFonts w:ascii="Times New Roman" w:hAnsi="Times New Roman" w:cs="Times New Roman"/>
          <w:b/>
          <w:bCs/>
          <w:sz w:val="26"/>
          <w:szCs w:val="26"/>
          <w:lang w:val="vi-VN"/>
        </w:rPr>
        <w:t xml:space="preserve">, </w:t>
      </w:r>
      <w:r w:rsidRPr="00D04935">
        <w:rPr>
          <w:rStyle w:val="Strong"/>
          <w:rFonts w:ascii="Times New Roman" w:hAnsi="Times New Roman" w:cs="Times New Roman"/>
          <w:b w:val="0"/>
          <w:bCs w:val="0"/>
          <w:sz w:val="26"/>
          <w:szCs w:val="26"/>
          <w:lang w:val="vi-VN"/>
        </w:rPr>
        <w:t>quản lý nợ vay và tài sản một cách hiệu quả</w:t>
      </w:r>
      <w:r w:rsidRPr="00D04935">
        <w:rPr>
          <w:rFonts w:ascii="Times New Roman" w:hAnsi="Times New Roman" w:cs="Times New Roman"/>
          <w:sz w:val="26"/>
          <w:szCs w:val="26"/>
          <w:lang w:val="vi-VN"/>
        </w:rPr>
        <w:t xml:space="preserve"> chính là yếu tố quyết định đến tính an toàn và linh hoạt của doanh nghiệp trong hoạt động tài chính.</w:t>
      </w:r>
    </w:p>
    <w:p w14:paraId="4D17CC2C"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Nhiều công ty thuộc TKV hiện đang sử dụng nợ vay để tài trợ cho cả đầu tư dài hạn và vốn lưu động, song không phải lúc nào cũng đảm bảo sự tương ứng giữa nguồn vốn và mục đích sử dụng. Điều này có thể dẫn đến việc gánh nặng nợ vượt quá khả năng trả nợ, đặc biệt trong thời kỳ giá than giảm hoặc thị trường tiêu thụ chậm lại. Do đó, các công ty cần xây dựng quy trình đánh giá rủi ro tín dụng nội bộ, thường xuyên kiểm tra khả năng trả nợ thông qua các chỉ số như hệ số thanh toán lãi vay (ICR), vòng quay tài sản và chỉ số nợ trên EBITDA.</w:t>
      </w:r>
    </w:p>
    <w:p w14:paraId="25009432"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Đồng thời, khi sử dụng vốn vay, doanh nghiệp cần kiểm soát chặt chẽ tiến độ và hiệu quả của các dự án đầu tư để đảm bảo rằng nợ vay mang lại giá trị gia tăng thực sự. Việc phối hợp chặt chẽ giữa phòng tài chính và bộ phận kỹ thuật trong kiểm soát chi phí đầu tư và hiệu suất tài sản sẽ góp phần nâng cao hiệu quả sử dụng vốn vay. </w:t>
      </w:r>
    </w:p>
    <w:p w14:paraId="2241FE55" w14:textId="4ACB4E6A"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Tóm lại, nhóm giải pháp về cơ cấu nguồn vốn và tài sản là một phần không thể tách rời trong chiến lược phát triển bền vững của các công ty cổ phần niêm yết thuộc TKV. Việc tối ưu hóa tỷ lệ nợ vay – vốn chủ, đầu tư hiệu quả vào tài sản dài hạn, đảm bảo tính thanh khoản tài sả</w:t>
      </w:r>
      <w:r w:rsidR="0053521F">
        <w:rPr>
          <w:rFonts w:ascii="Times New Roman" w:hAnsi="Times New Roman" w:cs="Times New Roman"/>
          <w:sz w:val="26"/>
          <w:szCs w:val="26"/>
          <w:lang w:val="vi-VN"/>
        </w:rPr>
        <w:t>n</w:t>
      </w:r>
      <w:r w:rsidR="0053521F" w:rsidRPr="00F22BA5">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và nâng cao năng lực quản trị nợ vay sẽ giúp các doanh nghiệp không chỉ đứng vững trước biến động của thị trường mà còn tạo đà tăng trưởng ổn định trong dài hạn. Trong một ngành có tính chu kỳ cao như khai khoáng, khả năng chủ động về tài chính và tài sản chính là nền tảng để nâng cao giá trị doanh nghiệp và bảo vệ lợi ích cho cổ đông cũng như người lao động.</w:t>
      </w:r>
    </w:p>
    <w:p w14:paraId="58C6D73F" w14:textId="77777777" w:rsidR="00426BBE" w:rsidRPr="00B564BE" w:rsidRDefault="00426BBE" w:rsidP="005B0517">
      <w:pPr>
        <w:pStyle w:val="Heading3"/>
        <w:rPr>
          <w:lang w:val="vi-VN"/>
        </w:rPr>
      </w:pPr>
      <w:bookmarkStart w:id="289" w:name="_Toc197781206"/>
      <w:bookmarkStart w:id="290" w:name="_Toc197781489"/>
      <w:bookmarkStart w:id="291" w:name="_Toc198710010"/>
      <w:r w:rsidRPr="00B564BE">
        <w:rPr>
          <w:lang w:val="vi-VN"/>
        </w:rPr>
        <w:lastRenderedPageBreak/>
        <w:t>3.2.3. Nhóm giải pháp về hiệu suất hoạt động</w:t>
      </w:r>
      <w:bookmarkEnd w:id="289"/>
      <w:bookmarkEnd w:id="290"/>
      <w:bookmarkEnd w:id="291"/>
    </w:p>
    <w:p w14:paraId="5F3C79F4" w14:textId="62CE88F0"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Để đảm bảo phát triển bền vững, việc nâng cao hiệu suất hoạt độ</w:t>
      </w:r>
      <w:r w:rsidR="00B94E0B">
        <w:rPr>
          <w:rFonts w:ascii="Times New Roman" w:hAnsi="Times New Roman" w:cs="Times New Roman"/>
          <w:sz w:val="26"/>
          <w:szCs w:val="26"/>
          <w:lang w:val="vi-VN"/>
        </w:rPr>
        <w:t>ng thông qua c</w:t>
      </w:r>
      <w:r w:rsidR="00B94E0B" w:rsidRPr="00F22BA5">
        <w:rPr>
          <w:rFonts w:ascii="Times New Roman" w:hAnsi="Times New Roman" w:cs="Times New Roman"/>
          <w:sz w:val="26"/>
          <w:szCs w:val="26"/>
          <w:lang w:val="vi-VN"/>
        </w:rPr>
        <w:t>ơ giới hóa</w:t>
      </w:r>
      <w:r w:rsidRPr="00D04935">
        <w:rPr>
          <w:rFonts w:ascii="Times New Roman" w:hAnsi="Times New Roman" w:cs="Times New Roman"/>
          <w:sz w:val="26"/>
          <w:szCs w:val="26"/>
          <w:lang w:val="vi-VN"/>
        </w:rPr>
        <w:t>, đổi mới công nghệ</w:t>
      </w:r>
      <w:r w:rsidR="00B94E0B" w:rsidRPr="00F22BA5">
        <w:rPr>
          <w:rFonts w:ascii="Times New Roman" w:hAnsi="Times New Roman" w:cs="Times New Roman"/>
          <w:sz w:val="26"/>
          <w:szCs w:val="26"/>
          <w:lang w:val="vi-VN"/>
        </w:rPr>
        <w:t xml:space="preserve"> khai thác</w:t>
      </w:r>
      <w:r w:rsidRPr="00D04935">
        <w:rPr>
          <w:rFonts w:ascii="Times New Roman" w:hAnsi="Times New Roman" w:cs="Times New Roman"/>
          <w:sz w:val="26"/>
          <w:szCs w:val="26"/>
          <w:lang w:val="vi-VN"/>
        </w:rPr>
        <w:t>, kiểm soát chi phí và tối ưu chuỗi cung ứng là hết sức cấp thiết.</w:t>
      </w:r>
    </w:p>
    <w:p w14:paraId="6C9F1EFA" w14:textId="620F37CB" w:rsidR="00426BBE" w:rsidRPr="00D04935" w:rsidRDefault="00B94E0B" w:rsidP="00426BBE">
      <w:pPr>
        <w:spacing w:line="312" w:lineRule="auto"/>
        <w:ind w:firstLine="720"/>
        <w:jc w:val="both"/>
        <w:rPr>
          <w:rFonts w:ascii="Times New Roman" w:hAnsi="Times New Roman" w:cs="Times New Roman"/>
          <w:sz w:val="26"/>
          <w:szCs w:val="26"/>
          <w:lang w:val="vi-VN"/>
        </w:rPr>
      </w:pPr>
      <w:r w:rsidRPr="00F22BA5">
        <w:rPr>
          <w:rFonts w:ascii="Times New Roman" w:hAnsi="Times New Roman" w:cs="Times New Roman"/>
          <w:sz w:val="26"/>
          <w:szCs w:val="26"/>
          <w:lang w:val="vi-VN"/>
        </w:rPr>
        <w:t xml:space="preserve">Cơ giới hóa và </w:t>
      </w:r>
      <w:r w:rsidR="00426BBE" w:rsidRPr="00D04935">
        <w:rPr>
          <w:rStyle w:val="Strong"/>
          <w:rFonts w:ascii="Times New Roman" w:hAnsi="Times New Roman" w:cs="Times New Roman"/>
          <w:b w:val="0"/>
          <w:bCs w:val="0"/>
          <w:sz w:val="26"/>
          <w:szCs w:val="26"/>
          <w:lang w:val="vi-VN"/>
        </w:rPr>
        <w:t>đầu tư vào công nghệ hiện đại</w:t>
      </w:r>
      <w:r w:rsidR="00426BBE" w:rsidRPr="00D04935">
        <w:rPr>
          <w:rFonts w:ascii="Times New Roman" w:hAnsi="Times New Roman" w:cs="Times New Roman"/>
          <w:sz w:val="26"/>
          <w:szCs w:val="26"/>
          <w:lang w:val="vi-VN"/>
        </w:rPr>
        <w:t xml:space="preserve"> là yếu tố mang tính độ</w:t>
      </w:r>
      <w:r>
        <w:rPr>
          <w:rFonts w:ascii="Times New Roman" w:hAnsi="Times New Roman" w:cs="Times New Roman"/>
          <w:sz w:val="26"/>
          <w:szCs w:val="26"/>
          <w:lang w:val="vi-VN"/>
        </w:rPr>
        <w:t xml:space="preserve">t phá giúp </w:t>
      </w:r>
      <w:r w:rsidRPr="00F22BA5">
        <w:rPr>
          <w:rFonts w:ascii="Times New Roman" w:hAnsi="Times New Roman" w:cs="Times New Roman"/>
          <w:sz w:val="26"/>
          <w:szCs w:val="26"/>
          <w:lang w:val="vi-VN"/>
        </w:rPr>
        <w:t xml:space="preserve">các CTCP niêm yêt thuộc TKV </w:t>
      </w:r>
      <w:r w:rsidR="00426BBE" w:rsidRPr="00D04935">
        <w:rPr>
          <w:rFonts w:ascii="Times New Roman" w:hAnsi="Times New Roman" w:cs="Times New Roman"/>
          <w:sz w:val="26"/>
          <w:szCs w:val="26"/>
          <w:lang w:val="vi-VN"/>
        </w:rPr>
        <w:t>chuyển mình từ khai thác truyền thống sang sản xuất thông minh, tiết kiệm tài nguyên và thân thiện hơn với môi trường.</w:t>
      </w:r>
    </w:p>
    <w:p w14:paraId="2F74572E" w14:textId="77777777" w:rsidR="00426BBE" w:rsidRPr="00EC6124"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Hiện nay, nhiều mỏ than lộ thiên và hầm lò đang đối mặt với tình trạng khai thác sâu, điều kiện địa chất phức tạp và rủi ro an toàn cao. Trong khi đó, việc ứng dụng công nghệ mới như máy đào liên hợp, hệ thống điều khiển từ xa, tự động hóa băng tải, công nghệ tuyển than sạch, hệ thống quản trị bằng phần mềm ERP… vẫn còn ở mức hạn chế và chưa đồng bộ. Do đó, các công ty cần đẩy mạnh đầu tư máy móc thiết bị tự động hóa, ứng dụng công nghệ thông minh (IoT, AI, phân tích dữ liệu lớn) trong theo dõi sản xuất – bảo trì thiết bị, đồng thời tìm kiếm sự hợp tác với các đối tác quốc tế trong lĩnh vực kỹ thuật mỏ và năng lượng sạch. Những khoản đầu tư này tuy lớn nhưng về lâu dài sẽ giúp giảm đáng kể chi phí vận hành, nâng cao hiệu quả khai thác và xử lý tài nguyên, đồng thời góp phần thực hiện mục tiêu phát triển xanh theo định hướng của TKV và Chính phủ.</w:t>
      </w:r>
    </w:p>
    <w:p w14:paraId="1D414B04"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Song hành với cải tiến công nghệ là việc </w:t>
      </w:r>
      <w:r w:rsidRPr="00B94E0B">
        <w:rPr>
          <w:rStyle w:val="Strong"/>
          <w:rFonts w:ascii="Times New Roman" w:hAnsi="Times New Roman" w:cs="Times New Roman"/>
          <w:b w:val="0"/>
          <w:sz w:val="26"/>
          <w:szCs w:val="26"/>
          <w:lang w:val="vi-VN"/>
        </w:rPr>
        <w:t>kiểm soát chi phí hiệu quả</w:t>
      </w:r>
      <w:r w:rsidRPr="00D04935">
        <w:rPr>
          <w:rFonts w:ascii="Times New Roman" w:hAnsi="Times New Roman" w:cs="Times New Roman"/>
          <w:sz w:val="26"/>
          <w:szCs w:val="26"/>
          <w:lang w:val="vi-VN"/>
        </w:rPr>
        <w:t>, đặc biệt trong bối cảnh giá đầu vào (như dầu, thép, vật tư khai thác) biến động mạnh và áp lực chi phí lao động ngày càng gia tăng.</w:t>
      </w:r>
    </w:p>
    <w:p w14:paraId="6CE7A0FB"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Các công ty cổ phần niêm yết TKV cần xây dựng hệ thống kế toán quản trị chi tiết theo trung tâm chi phí, nhằm theo dõi và phân tích các chi phí phát sinh theo từng khâu – từng bộ phận. Bằng cách này, các khoản chi bất hợp lý sẽ được phát hiện kịp thời, từ đó đưa ra các biện pháp cắt giảm phù hợp.</w:t>
      </w:r>
    </w:p>
    <w:p w14:paraId="0D17B6CC" w14:textId="4B883843"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 xml:space="preserve"> Bên cạnh đó, việc tối ưu định mức tiêu hao nguyên liệu, tái sử dụng chất thải công nghiệp (như đất đá thải trong khai thác), hay thực hiện tiết kiệm điện – nước trong quá trình sản xuất cũng là các biện pháp góp phần giảm chi phí vận hành. Một yếu tố không thể bỏ qua là chi phí lao động – với đặc thù ngành khai khoáng đòi hỏi số lượng lớn công nhân vận hành, việc cải tiến điều kiện làm việc, ứng dụng công nghệ để giả</w:t>
      </w:r>
      <w:r w:rsidR="00B94E0B">
        <w:rPr>
          <w:rFonts w:ascii="Times New Roman" w:hAnsi="Times New Roman" w:cs="Times New Roman"/>
          <w:sz w:val="26"/>
          <w:szCs w:val="26"/>
          <w:lang w:val="vi-VN"/>
        </w:rPr>
        <w:t>m</w:t>
      </w:r>
      <w:r w:rsidR="00B94E0B" w:rsidRPr="00F22BA5">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phụ thuộc vào</w:t>
      </w:r>
      <w:r w:rsidR="00B94E0B" w:rsidRPr="00F22BA5">
        <w:rPr>
          <w:rFonts w:ascii="Times New Roman" w:hAnsi="Times New Roman" w:cs="Times New Roman"/>
          <w:sz w:val="26"/>
          <w:szCs w:val="26"/>
          <w:lang w:val="vi-VN"/>
        </w:rPr>
        <w:t xml:space="preserve"> lực lượng lao</w:t>
      </w:r>
      <w:r w:rsidRPr="00D04935">
        <w:rPr>
          <w:rFonts w:ascii="Times New Roman" w:hAnsi="Times New Roman" w:cs="Times New Roman"/>
          <w:sz w:val="26"/>
          <w:szCs w:val="26"/>
          <w:lang w:val="vi-VN"/>
        </w:rPr>
        <w:t xml:space="preserve"> động sẽ giúp tiết giảm chi phí dài hạn và nâng cao an toàn lao động.</w:t>
      </w:r>
    </w:p>
    <w:p w14:paraId="61CC5C17"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Cuối cùng, </w:t>
      </w:r>
      <w:r w:rsidRPr="00D04935">
        <w:rPr>
          <w:rStyle w:val="Strong"/>
          <w:rFonts w:ascii="Times New Roman" w:hAnsi="Times New Roman" w:cs="Times New Roman"/>
          <w:b w:val="0"/>
          <w:bCs w:val="0"/>
          <w:sz w:val="26"/>
          <w:szCs w:val="26"/>
          <w:lang w:val="vi-VN"/>
        </w:rPr>
        <w:t>quản lý chuỗi cung ứng hiệu quả</w:t>
      </w:r>
      <w:r w:rsidRPr="00D04935">
        <w:rPr>
          <w:rFonts w:ascii="Times New Roman" w:hAnsi="Times New Roman" w:cs="Times New Roman"/>
          <w:sz w:val="26"/>
          <w:szCs w:val="26"/>
          <w:lang w:val="vi-VN"/>
        </w:rPr>
        <w:t xml:space="preserve"> giữ vai trò đặc biệt quan trọng trong đảm bảo sự ổn định của hoạt động sản xuất – kinh doanh.</w:t>
      </w:r>
    </w:p>
    <w:p w14:paraId="77F5D018"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Ngành than – khoáng sản phụ thuộc nhiều vào nguồn cung nguyên vật liệu, vật tư kỹ thuật từ các nhà cung cấp trong và ngoài nước. Sự chậm trễ trong vận </w:t>
      </w:r>
      <w:r w:rsidRPr="00D04935">
        <w:rPr>
          <w:rFonts w:ascii="Times New Roman" w:hAnsi="Times New Roman" w:cs="Times New Roman"/>
          <w:sz w:val="26"/>
          <w:szCs w:val="26"/>
          <w:lang w:val="vi-VN"/>
        </w:rPr>
        <w:lastRenderedPageBreak/>
        <w:t>chuyển, tăng giá nguyên liệu hoặc gián đoạn cung ứng có thể gây đình trệ toàn bộ dây chuyền sản xuất. Thực tế cho thấy, nhiều công ty TKV chưa có hệ thống quản lý nhà cung cấp hiệu quả, dẫn đến tình trạng phụ thuộc vào một số đối tác lớn, thiếu tính chủ động trong đàm phán giá cả hoặc thời gian giao hàng. Do đó, các doanh nghiệp cần thiết lập hệ thống đánh giá, phân loại và giám sát nhà cung cấp dựa trên các tiêu chí cụ thể (chất lượng, thời gian giao hàng, uy tín, giá cả). Việc đa dạng hóa nguồn cung, thiết lập quan hệ dài hạn và minh bạch hóa hợp đồng cũng sẽ góp phần giảm thiểu rủi ro chuỗi cung ứng.</w:t>
      </w:r>
    </w:p>
    <w:p w14:paraId="2C3D1E95"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Ngoài ra, cần nâng cao năng lực dự báo nhu cầu nguyên liệu và phối hợp chặt chẽ giữa bộ phận sản xuất – mua hàng – tài chính để đảm bảo cung ứng đầu vào liên tục và tối ưu tồn kho.</w:t>
      </w:r>
    </w:p>
    <w:p w14:paraId="3FCB0954"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Tổng kết lại, nhóm giải pháp về hiệu suất hoạt động đóng vai trò then chốt trong việc nâng cao năng lực cạnh tranh và hiệu quả sản xuất cho các công ty cổ phần niêm yết thuộc TKV. Việc kết hợp giữa cải tiến quy trình sản xuất, ứng dụng công nghệ hiện đại, kiểm soát chi phí vận hành và quản lý chuỗi cung ứng hiệu quả không chỉ giúp doanh nghiệp vượt qua các khó khăn hiện tại mà còn tạo nền tảng phát triển ổn định, linh hoạt trong dài hạn. Trong bối cảnh nền kinh tế chuyển đổi theo hướng xanh – số hóa, khả năng thích ứng và đổi mới hoạt động sản xuất sẽ là yếu tố quyết định sự thành công và bền vững của các doanh nghiệp ngành than – khoáng sản trong tương lai.</w:t>
      </w:r>
    </w:p>
    <w:p w14:paraId="6B31B521" w14:textId="77777777" w:rsidR="00426BBE" w:rsidRPr="00B564BE" w:rsidRDefault="00426BBE" w:rsidP="005B0517">
      <w:pPr>
        <w:pStyle w:val="Heading3"/>
        <w:rPr>
          <w:lang w:val="vi-VN"/>
        </w:rPr>
      </w:pPr>
      <w:bookmarkStart w:id="292" w:name="_Toc197781207"/>
      <w:bookmarkStart w:id="293" w:name="_Toc197781490"/>
      <w:bookmarkStart w:id="294" w:name="_Toc198710011"/>
      <w:r w:rsidRPr="00B564BE">
        <w:rPr>
          <w:lang w:val="vi-VN"/>
        </w:rPr>
        <w:t>3.2.4. Nhóm giải pháp về khả năng sinh lời</w:t>
      </w:r>
      <w:bookmarkEnd w:id="292"/>
      <w:bookmarkEnd w:id="293"/>
      <w:bookmarkEnd w:id="294"/>
    </w:p>
    <w:p w14:paraId="6CFE961E"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Trong bối cảnh ngành than – khoáng sản Việt Nam đang đối mặt với áp lực cạnh tranh ngày càng cao, chi phí sản xuất gia tăng, yêu cầu về bảo vệ môi trường và chuyển đổi năng lượng bền vững, các công ty cổ phần niêm yết thuộc Tập đoàn Công nghiệp Than – Khoáng sản Việt Nam (TKV) cần đặt ưu tiên chiến lược vào việc nâng cao khả năng sinh lời. Điều này không chỉ giúp củng cố hiệu quả tài chính mà còn tạo ra động lực phát triển dài hạn. Để đạt được mục tiêu đó, các doanh nghiệp cần triển khai đồng bộ nhiều giải pháp, từ tối ưu hóa chiến lược giá bán, đa dạng hóa sản phẩm, tăng cường đầu tư vào nghiên cứu và phát triển (R&amp;D) đến mở rộng và cải thiện các kênh phân phối.</w:t>
      </w:r>
    </w:p>
    <w:p w14:paraId="7DD1E2B9"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Trước tiên, </w:t>
      </w:r>
      <w:r w:rsidRPr="00D04935">
        <w:rPr>
          <w:rStyle w:val="Strong"/>
          <w:rFonts w:ascii="Times New Roman" w:hAnsi="Times New Roman" w:cs="Times New Roman"/>
          <w:b w:val="0"/>
          <w:bCs w:val="0"/>
          <w:sz w:val="26"/>
          <w:szCs w:val="26"/>
          <w:lang w:val="vi-VN"/>
        </w:rPr>
        <w:t>tối ưu hóa chiến lược giá bán</w:t>
      </w:r>
      <w:r w:rsidRPr="00D04935">
        <w:rPr>
          <w:rFonts w:ascii="Times New Roman" w:hAnsi="Times New Roman" w:cs="Times New Roman"/>
          <w:sz w:val="26"/>
          <w:szCs w:val="26"/>
          <w:lang w:val="vi-VN"/>
        </w:rPr>
        <w:t xml:space="preserve"> là giải pháp quan trọng nhằm cân bằng giữa doanh thu và khả năng cạnh tranh trên thị trường.</w:t>
      </w:r>
    </w:p>
    <w:p w14:paraId="77F3CDB6" w14:textId="4BC4A7CA"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 xml:space="preserve">Trong lĩnh vực khai thác và chế biến than – khoáng sản, giá bán thường chịu tác động mạnh từ giá thế giới, chi phí đầu vào và chính sách điều tiết nhà nước. Việc đàm phán hiệu quả các hợp đồng cung ứng than dài hạn cho các nhà </w:t>
      </w:r>
      <w:r w:rsidRPr="00D04935">
        <w:rPr>
          <w:rFonts w:ascii="Times New Roman" w:hAnsi="Times New Roman" w:cs="Times New Roman"/>
          <w:sz w:val="26"/>
          <w:szCs w:val="26"/>
          <w:lang w:val="vi-VN"/>
        </w:rPr>
        <w:lastRenderedPageBreak/>
        <w:t>máy nhiệt điện, xi măng, phân bón sẽ giúp doanh nghiệp bảo đảm lợi nhuận ổn định, đồng thời giảm thiểu rủi ro biến động giá ngắn hạn.</w:t>
      </w:r>
    </w:p>
    <w:p w14:paraId="12CC7F93" w14:textId="2131DD2B" w:rsidR="00426BBE" w:rsidRPr="00D04935" w:rsidRDefault="00426BBE" w:rsidP="0053521F">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Một giải pháp không kém phần quan trọng là </w:t>
      </w:r>
      <w:r w:rsidRPr="00D04935">
        <w:rPr>
          <w:rStyle w:val="Strong"/>
          <w:rFonts w:ascii="Times New Roman" w:hAnsi="Times New Roman" w:cs="Times New Roman"/>
          <w:b w:val="0"/>
          <w:bCs w:val="0"/>
          <w:sz w:val="26"/>
          <w:szCs w:val="26"/>
          <w:lang w:val="vi-VN"/>
        </w:rPr>
        <w:t>đa dạng hóa sản phẩm và dịch vụ</w:t>
      </w:r>
      <w:r w:rsidRPr="00D04935">
        <w:rPr>
          <w:rFonts w:ascii="Times New Roman" w:hAnsi="Times New Roman" w:cs="Times New Roman"/>
          <w:sz w:val="26"/>
          <w:szCs w:val="26"/>
          <w:lang w:val="vi-VN"/>
        </w:rPr>
        <w:t xml:space="preserve"> để giảm phụ thuộc vào một vài dòng sản phẩm chủ lực như than cám, than nhiệt hay quặ</w:t>
      </w:r>
      <w:r w:rsidR="0053521F">
        <w:rPr>
          <w:rFonts w:ascii="Times New Roman" w:hAnsi="Times New Roman" w:cs="Times New Roman"/>
          <w:sz w:val="26"/>
          <w:szCs w:val="26"/>
          <w:lang w:val="vi-VN"/>
        </w:rPr>
        <w:t>ng nguyên khai.</w:t>
      </w: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Các doanh nghiệp cần đẩy mạnh phát triển các sản phẩm có giá trị gia tăng cao hơn như than sạch, than tuyển, alumin, các sản phẩm luyện kim từ quặng, hoặc phụ phẩm sau chế biến có thể sử dụng trong xây dựng và sản xuất vật liệu.</w:t>
      </w:r>
    </w:p>
    <w:p w14:paraId="4A46DF00"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Ngoài ra, việc phát triển thêm các dịch vụ hỗ trợ như vận tải, dịch vụ sửa chữa thiết bị khai thác, cho thuê máy móc cũng có thể mở rộng nguồn thu, giúp công ty chống đỡ tốt hơn trước chu kỳ giá biến động. Việc đa dạng hóa sản phẩm không chỉ tăng biên lợi nhuận mà còn nâng cao vị thế cạnh tranh và khả năng phục hồi trong giai đoạn thị trường khó khăn.</w:t>
      </w:r>
    </w:p>
    <w:p w14:paraId="1BE5F079"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Bên cạnh đó, </w:t>
      </w:r>
      <w:r w:rsidRPr="00D04935">
        <w:rPr>
          <w:rStyle w:val="Strong"/>
          <w:rFonts w:ascii="Times New Roman" w:hAnsi="Times New Roman" w:cs="Times New Roman"/>
          <w:b w:val="0"/>
          <w:bCs w:val="0"/>
          <w:sz w:val="26"/>
          <w:szCs w:val="26"/>
          <w:lang w:val="vi-VN"/>
        </w:rPr>
        <w:t>đầu tư vào nghiên cứu và phát triển (R&amp;D)</w:t>
      </w:r>
      <w:r w:rsidRPr="00D04935">
        <w:rPr>
          <w:rFonts w:ascii="Times New Roman" w:hAnsi="Times New Roman" w:cs="Times New Roman"/>
          <w:b/>
          <w:bCs/>
          <w:sz w:val="26"/>
          <w:szCs w:val="26"/>
          <w:lang w:val="vi-VN"/>
        </w:rPr>
        <w:t xml:space="preserve"> </w:t>
      </w:r>
      <w:r w:rsidRPr="00D04935">
        <w:rPr>
          <w:rFonts w:ascii="Times New Roman" w:hAnsi="Times New Roman" w:cs="Times New Roman"/>
          <w:sz w:val="26"/>
          <w:szCs w:val="26"/>
          <w:lang w:val="vi-VN"/>
        </w:rPr>
        <w:t>là yếu tố then chốt để tạo ra lợi thế cạnh tranh lâu dài.</w:t>
      </w:r>
    </w:p>
    <w:p w14:paraId="5F4713E4"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Thực tế cho thấy, các công ty trong ngành than – khoáng sản thường có mức đầu tư cho R&amp;D rất hạn chế, chủ yếu tập trung vào bảo trì thiết bị và tối ưu vận hành thay vì tạo ra sản phẩm hoặc quy trình mới. Trong xu thế công nghiệp 4.0, việc nghiên cứu các công nghệ khai thác xanh, chế biến sâu tài nguyên, xử lý chất thải, hoặc ứng dụng AI – Big Data trong điều hành sản xuất sẽ giúp doanh nghiệp nâng cao hiệu quả sản xuất và giảm chi phí. Các công ty TKV có thể thành lập trung tâm R&amp;D nội bộ hoặc hợp tác với các viện nghiên cứu chuyên ngành như Viện Khoa học Công nghệ Mỏ, Đại học Mỏ - Địa chất để triển khai các đề tài nghiên cứu thực tiễn. Đặc biệt, R&amp;D còn góp phần phát hiện các dòng sản phẩm mới có tiềm năng xuất khẩu, mở rộng thị trường ra ngoài nước – điều mà hiện tại mới chỉ có một số ít doanh nghiệp như CTCP Nhôm Lâm Đồng thực hiện thành công.</w:t>
      </w:r>
    </w:p>
    <w:p w14:paraId="44D30C09"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Cuối cùng, </w:t>
      </w:r>
      <w:r w:rsidRPr="00D04935">
        <w:rPr>
          <w:rStyle w:val="Strong"/>
          <w:rFonts w:ascii="Times New Roman" w:hAnsi="Times New Roman" w:cs="Times New Roman"/>
          <w:b w:val="0"/>
          <w:bCs w:val="0"/>
          <w:sz w:val="26"/>
          <w:szCs w:val="26"/>
          <w:lang w:val="vi-VN"/>
        </w:rPr>
        <w:t>tối ưu hóa các kênh phân phối</w:t>
      </w:r>
      <w:r w:rsidRPr="00D04935">
        <w:rPr>
          <w:rFonts w:ascii="Times New Roman" w:hAnsi="Times New Roman" w:cs="Times New Roman"/>
          <w:sz w:val="26"/>
          <w:szCs w:val="26"/>
          <w:lang w:val="vi-VN"/>
        </w:rPr>
        <w:t xml:space="preserve"> là giải pháp hỗ trợ quan trọng để tăng doanh thu, mở rộng thị trường và giảm chi phí bán hàng.</w:t>
      </w:r>
    </w:p>
    <w:p w14:paraId="6F8198EC"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 xml:space="preserve">Với đặc thù ngành than – khoáng sản, việc vận chuyển chủ yếu qua đường bộ, đường sắt và đường thủy với chi phí lớn khiến giá thành sản phẩm bị đội lên. Một số công ty như CTCP Than Mạo Khê, CTCP Than Cao Sơn còn bị phụ thuộc nhiều vào các kênh phân phối truyền thống hoặc đơn vị tiêu thụ nội bộ trong TKV, dẫn đến hạn chế khả năng mở rộng thị trường bên ngoài. Do đó, các công ty cần nghiên cứu thiết lập hệ thống phân phối đa kênh, tăng cường năng lực logistics nội </w:t>
      </w:r>
      <w:r w:rsidRPr="00D04935">
        <w:rPr>
          <w:rFonts w:ascii="Times New Roman" w:hAnsi="Times New Roman" w:cs="Times New Roman"/>
          <w:sz w:val="26"/>
          <w:szCs w:val="26"/>
          <w:lang w:val="vi-VN"/>
        </w:rPr>
        <w:lastRenderedPageBreak/>
        <w:t>bộ, hợp tác với các đối tác vận chuyển để tối ưu chi phí giao hàng và rút ngắn thời gian phân phối.</w:t>
      </w:r>
    </w:p>
    <w:p w14:paraId="59D485E7"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Đồng thời, việc ứng dụng nền tảng số hóa trong quản lý đơn hàng, theo dõi vận chuyển và kết nối trực tiếp với khách hàng (B2B hoặc B2C) sẽ giúp nâng cao trải nghiệm khách hàng và gia tăng doanh số bán hàng. Đặc biệt, đối với các sản phẩm có giá trị cao như alumin hay tinh quặng, việc thiết lập đại lý phân phối chuyên biệt hoặc mở rộng kênh xuất khẩu sang các thị trường như Trung Quốc, Ấn Độ, Nhật Bản là rất tiềm năng.</w:t>
      </w:r>
    </w:p>
    <w:p w14:paraId="2FA6D195" w14:textId="07A29D55" w:rsidR="00426BBE" w:rsidRPr="0053521F"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Tổng thể, khả năng sinh lời là một chỉ tiêu tài chính cốt lõi phản ánh hiệu quả hoạt động tổng thể của doanh nghiệp. Đối với các công ty cổ phần niêm yết thuộc TKV, việc nâng cao khả năng sinh lời không chỉ giúp cải thiện tỷ suất lợi nhuận trên doanh thu (ROS), tài sản (ROA) và vốn chủ sở hữu (ROE) mà còn là cơ sở để gia tăng giá trị cổ phiếu, củng cố lòng tin của nhà đầu tư và nâng cao năng lực tài chính cho các chiến lược đầu tư dài hạn. Tuy nhiên, để thực hiện hiệu quả nhóm giải pháp này, doanh nghiệp cần có tư duy đổi mới, tầm nhìn chiến lược và sự phối hợp chặt chẽ giữa các phòng ban chức năng trong toàn hệ thố</w:t>
      </w:r>
      <w:r w:rsidR="0053521F">
        <w:rPr>
          <w:rFonts w:ascii="Times New Roman" w:hAnsi="Times New Roman" w:cs="Times New Roman"/>
          <w:sz w:val="26"/>
          <w:szCs w:val="26"/>
          <w:lang w:val="vi-VN"/>
        </w:rPr>
        <w:t>ng.</w:t>
      </w:r>
    </w:p>
    <w:p w14:paraId="2DC307CA" w14:textId="77777777" w:rsidR="00426BBE" w:rsidRPr="00B564BE" w:rsidRDefault="00426BBE" w:rsidP="005B0517">
      <w:pPr>
        <w:pStyle w:val="Heading3"/>
        <w:rPr>
          <w:lang w:val="vi-VN"/>
        </w:rPr>
      </w:pPr>
      <w:bookmarkStart w:id="295" w:name="_Toc197781208"/>
      <w:bookmarkStart w:id="296" w:name="_Toc197781491"/>
      <w:bookmarkStart w:id="297" w:name="_Toc198710012"/>
      <w:r w:rsidRPr="00B564BE">
        <w:rPr>
          <w:lang w:val="vi-VN"/>
        </w:rPr>
        <w:t>3.2.5. Nhóm giải pháp về quản trị và minh bạch tài chính</w:t>
      </w:r>
      <w:bookmarkEnd w:id="295"/>
      <w:bookmarkEnd w:id="296"/>
      <w:bookmarkEnd w:id="297"/>
    </w:p>
    <w:p w14:paraId="2E0E8EE0" w14:textId="77777777" w:rsidR="00426BBE" w:rsidRPr="00EC6124" w:rsidRDefault="00426BBE" w:rsidP="00426BBE">
      <w:pPr>
        <w:spacing w:line="312" w:lineRule="auto"/>
        <w:ind w:firstLine="720"/>
        <w:jc w:val="both"/>
        <w:rPr>
          <w:rFonts w:ascii="Times New Roman" w:hAnsi="Times New Roman" w:cs="Times New Roman"/>
          <w:sz w:val="26"/>
          <w:szCs w:val="26"/>
        </w:rPr>
      </w:pPr>
      <w:r w:rsidRPr="00EC6124">
        <w:rPr>
          <w:rFonts w:ascii="Times New Roman" w:hAnsi="Times New Roman" w:cs="Times New Roman"/>
          <w:i/>
          <w:iCs/>
          <w:sz w:val="26"/>
          <w:szCs w:val="26"/>
        </w:rPr>
        <w:t>Minh bạch thông tin tài chính</w:t>
      </w:r>
      <w:r w:rsidRPr="00EC6124">
        <w:rPr>
          <w:rFonts w:ascii="Times New Roman" w:hAnsi="Times New Roman" w:cs="Times New Roman"/>
          <w:sz w:val="26"/>
          <w:szCs w:val="26"/>
        </w:rPr>
        <w:t xml:space="preserve">: </w:t>
      </w:r>
    </w:p>
    <w:p w14:paraId="7F8BED94" w14:textId="77777777" w:rsidR="00426BBE" w:rsidRPr="00EC6124" w:rsidRDefault="00426BBE" w:rsidP="00426BBE">
      <w:pPr>
        <w:spacing w:line="312" w:lineRule="auto"/>
        <w:ind w:firstLine="720"/>
        <w:jc w:val="both"/>
        <w:rPr>
          <w:rFonts w:ascii="Times New Roman" w:hAnsi="Times New Roman" w:cs="Times New Roman"/>
          <w:sz w:val="26"/>
          <w:szCs w:val="26"/>
        </w:rPr>
      </w:pPr>
      <w:r w:rsidRPr="00EC6124">
        <w:rPr>
          <w:rFonts w:ascii="Times New Roman" w:hAnsi="Times New Roman" w:cs="Times New Roman"/>
          <w:sz w:val="26"/>
          <w:szCs w:val="26"/>
          <w:lang w:val="vi-VN"/>
        </w:rPr>
        <w:t>-</w:t>
      </w:r>
      <w:r w:rsidRPr="00EC6124">
        <w:rPr>
          <w:rFonts w:ascii="Times New Roman" w:hAnsi="Times New Roman" w:cs="Times New Roman"/>
          <w:sz w:val="26"/>
          <w:szCs w:val="26"/>
        </w:rPr>
        <w:t xml:space="preserve"> Báo cáo tài chính định kỳ: Các công ty phải công bố đầy đủ và đúng hạn báo cáo tài chính hàng quý, bán niên (được soát xét) và năm (được kiểm toán), theo chuẩn mực kế toán Việt Nam (VAS) hoặc IFRS nếu có áp dụng.</w:t>
      </w:r>
    </w:p>
    <w:p w14:paraId="36264E89" w14:textId="77777777" w:rsidR="00426BBE" w:rsidRPr="00EC6124" w:rsidRDefault="00426BBE" w:rsidP="00426BBE">
      <w:pPr>
        <w:spacing w:line="312" w:lineRule="auto"/>
        <w:ind w:firstLine="720"/>
        <w:jc w:val="both"/>
        <w:rPr>
          <w:rFonts w:ascii="Times New Roman" w:hAnsi="Times New Roman" w:cs="Times New Roman"/>
          <w:sz w:val="26"/>
          <w:szCs w:val="26"/>
        </w:rPr>
      </w:pPr>
      <w:r w:rsidRPr="00EC6124">
        <w:rPr>
          <w:rFonts w:ascii="Times New Roman" w:hAnsi="Times New Roman" w:cs="Times New Roman"/>
          <w:sz w:val="26"/>
          <w:szCs w:val="26"/>
          <w:lang w:val="vi-VN"/>
        </w:rPr>
        <w:t>-</w:t>
      </w:r>
      <w:r w:rsidRPr="00EC6124">
        <w:rPr>
          <w:rFonts w:ascii="Times New Roman" w:hAnsi="Times New Roman" w:cs="Times New Roman"/>
          <w:sz w:val="26"/>
          <w:szCs w:val="26"/>
        </w:rPr>
        <w:t xml:space="preserve"> Báo cáo quản trị công ty: Là công ty niêm yết, họ phải công bố báo cáo quản trị công ty định kỳ nhằm thể hiện tính minh bạch trong hoạt động quản lý, điều hành và giám sát nội bộ.</w:t>
      </w:r>
    </w:p>
    <w:p w14:paraId="769FBCB3" w14:textId="77777777" w:rsidR="00426BBE" w:rsidRPr="00EC6124" w:rsidRDefault="00426BBE" w:rsidP="00426BBE">
      <w:pPr>
        <w:spacing w:line="312" w:lineRule="auto"/>
        <w:ind w:firstLine="720"/>
        <w:jc w:val="both"/>
        <w:rPr>
          <w:rFonts w:ascii="Times New Roman" w:hAnsi="Times New Roman" w:cs="Times New Roman"/>
          <w:sz w:val="26"/>
          <w:szCs w:val="26"/>
        </w:rPr>
      </w:pPr>
      <w:r w:rsidRPr="00EC6124">
        <w:rPr>
          <w:rFonts w:ascii="Times New Roman" w:hAnsi="Times New Roman" w:cs="Times New Roman"/>
          <w:sz w:val="26"/>
          <w:szCs w:val="26"/>
          <w:lang w:val="vi-VN"/>
        </w:rPr>
        <w:t>-</w:t>
      </w:r>
      <w:r w:rsidRPr="00EC6124">
        <w:rPr>
          <w:rFonts w:ascii="Times New Roman" w:hAnsi="Times New Roman" w:cs="Times New Roman"/>
          <w:sz w:val="26"/>
          <w:szCs w:val="26"/>
        </w:rPr>
        <w:t xml:space="preserve"> Thông tin cổ tức và lợi nhuận: Tình hình phân phối lợi nhuận, kế hoạch chi trả cổ tức, và tỷ lệ chia cổ tức hàng năm là nội dung bắt buộc công bố.</w:t>
      </w:r>
    </w:p>
    <w:p w14:paraId="6917248C" w14:textId="77777777" w:rsidR="00426BBE" w:rsidRPr="00EC6124" w:rsidRDefault="00426BBE" w:rsidP="00426BBE">
      <w:pPr>
        <w:spacing w:line="312" w:lineRule="auto"/>
        <w:ind w:firstLine="720"/>
        <w:jc w:val="both"/>
        <w:rPr>
          <w:rFonts w:ascii="Times New Roman" w:hAnsi="Times New Roman" w:cs="Times New Roman"/>
          <w:sz w:val="26"/>
          <w:szCs w:val="26"/>
        </w:rPr>
      </w:pPr>
      <w:r w:rsidRPr="00EC6124">
        <w:rPr>
          <w:rFonts w:ascii="Times New Roman" w:hAnsi="Times New Roman" w:cs="Times New Roman"/>
          <w:sz w:val="26"/>
          <w:szCs w:val="26"/>
        </w:rPr>
        <w:t xml:space="preserve">     </w:t>
      </w:r>
      <w:r w:rsidRPr="00EC6124">
        <w:rPr>
          <w:rFonts w:ascii="Times New Roman" w:hAnsi="Times New Roman" w:cs="Times New Roman"/>
          <w:sz w:val="26"/>
          <w:szCs w:val="26"/>
          <w:lang w:val="vi-VN"/>
        </w:rPr>
        <w:t>-</w:t>
      </w:r>
      <w:r w:rsidRPr="00EC6124">
        <w:rPr>
          <w:rFonts w:ascii="Times New Roman" w:hAnsi="Times New Roman" w:cs="Times New Roman"/>
          <w:sz w:val="26"/>
          <w:szCs w:val="26"/>
        </w:rPr>
        <w:t xml:space="preserve"> Thuyết minh tài chính và rủi ro: Các doanh nghiệp này cần cung cấp phần thuyết minh về các khoản mục lớn và rủi ro trong hoạt động như: nợ vay, đầu tư, dự án khai thác, môi trường...</w:t>
      </w:r>
    </w:p>
    <w:p w14:paraId="37E20313" w14:textId="77777777" w:rsidR="00426BBE" w:rsidRPr="00EC6124" w:rsidRDefault="00426BBE" w:rsidP="00426BBE">
      <w:pPr>
        <w:spacing w:line="312" w:lineRule="auto"/>
        <w:ind w:firstLine="720"/>
        <w:jc w:val="both"/>
        <w:rPr>
          <w:rFonts w:ascii="Times New Roman" w:hAnsi="Times New Roman" w:cs="Times New Roman"/>
          <w:sz w:val="26"/>
          <w:szCs w:val="26"/>
        </w:rPr>
      </w:pPr>
      <w:r w:rsidRPr="00EC6124">
        <w:rPr>
          <w:rFonts w:ascii="Times New Roman" w:hAnsi="Times New Roman" w:cs="Times New Roman"/>
          <w:sz w:val="26"/>
          <w:szCs w:val="26"/>
        </w:rPr>
        <w:t xml:space="preserve">     </w:t>
      </w:r>
      <w:r w:rsidRPr="00EC6124">
        <w:rPr>
          <w:rFonts w:ascii="Times New Roman" w:hAnsi="Times New Roman" w:cs="Times New Roman"/>
          <w:sz w:val="26"/>
          <w:szCs w:val="26"/>
          <w:lang w:val="vi-VN"/>
        </w:rPr>
        <w:t>-</w:t>
      </w:r>
      <w:r w:rsidRPr="00EC6124">
        <w:rPr>
          <w:rFonts w:ascii="Times New Roman" w:hAnsi="Times New Roman" w:cs="Times New Roman"/>
          <w:sz w:val="26"/>
          <w:szCs w:val="26"/>
        </w:rPr>
        <w:t xml:space="preserve"> Thông tin giao dịch nội bộ và cổ đông lớn: Giao dịch của ban lãnh đạo và cổ đông lớn phải được công bố công khai để đảm bảo tính minh bạch.</w:t>
      </w:r>
    </w:p>
    <w:p w14:paraId="749CBF2C" w14:textId="77777777" w:rsidR="00426BBE" w:rsidRPr="00EC6124"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rPr>
        <w:t xml:space="preserve">     </w:t>
      </w:r>
      <w:r w:rsidRPr="00EC6124">
        <w:rPr>
          <w:rFonts w:ascii="Times New Roman" w:hAnsi="Times New Roman" w:cs="Times New Roman"/>
          <w:sz w:val="26"/>
          <w:szCs w:val="26"/>
          <w:lang w:val="vi-VN"/>
        </w:rPr>
        <w:t>-</w:t>
      </w:r>
      <w:r w:rsidRPr="00EC6124">
        <w:rPr>
          <w:rFonts w:ascii="Times New Roman" w:hAnsi="Times New Roman" w:cs="Times New Roman"/>
          <w:sz w:val="26"/>
          <w:szCs w:val="26"/>
        </w:rPr>
        <w:t xml:space="preserve"> Tác động từ chính sách TKV và nhà nước: Do là doanh nghiệp nhà nước chi phối, các công ty này thường bị ảnh hưởng bởi chính sách ngành than và khoáng sản, và phải minh bạch về các tác động này trong báo cáo.</w:t>
      </w:r>
    </w:p>
    <w:p w14:paraId="3C5F01EE"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i/>
          <w:iCs/>
          <w:sz w:val="26"/>
          <w:szCs w:val="26"/>
          <w:lang w:val="vi-VN"/>
        </w:rPr>
        <w:lastRenderedPageBreak/>
        <w:t xml:space="preserve">Tuân thủ quy định pháp lý và kế toán quốc tế: </w:t>
      </w:r>
      <w:r w:rsidRPr="00D04935">
        <w:rPr>
          <w:rFonts w:ascii="Times New Roman" w:hAnsi="Times New Roman" w:cs="Times New Roman"/>
          <w:sz w:val="26"/>
          <w:szCs w:val="26"/>
          <w:lang w:val="vi-VN"/>
        </w:rPr>
        <w:t>Đảm bảo công ty tuân thủ nghiêm ngặt các quy định pháp lý, chuẩn mực kế toán quốc tế để tránh các rủi ro pháp lý và bảo vệ lợi ích của các cổ đông.</w:t>
      </w:r>
    </w:p>
    <w:p w14:paraId="23D9E68C"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Fonts w:ascii="Times New Roman" w:eastAsiaTheme="majorEastAsia" w:hAnsi="Times New Roman" w:cs="Times New Roman"/>
          <w:sz w:val="26"/>
          <w:szCs w:val="26"/>
          <w:lang w:val="vi-VN"/>
        </w:rPr>
        <w:t>Tuân thủ quy định pháp lý trong nước.</w:t>
      </w:r>
    </w:p>
    <w:p w14:paraId="796E4F97"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Fonts w:ascii="Times New Roman" w:eastAsiaTheme="majorEastAsia" w:hAnsi="Times New Roman" w:cs="Times New Roman"/>
          <w:sz w:val="26"/>
          <w:szCs w:val="26"/>
          <w:lang w:val="vi-VN"/>
        </w:rPr>
        <w:t>Luật Doanh nghiệp </w:t>
      </w:r>
      <w:r w:rsidRPr="00D04935">
        <w:rPr>
          <w:rFonts w:ascii="Times New Roman" w:hAnsi="Times New Roman" w:cs="Times New Roman"/>
          <w:sz w:val="26"/>
          <w:szCs w:val="26"/>
          <w:lang w:val="vi-VN"/>
        </w:rPr>
        <w:t>và</w:t>
      </w:r>
      <w:r w:rsidRPr="00D04935">
        <w:rPr>
          <w:rFonts w:ascii="Times New Roman" w:eastAsiaTheme="majorEastAsia" w:hAnsi="Times New Roman" w:cs="Times New Roman"/>
          <w:sz w:val="26"/>
          <w:szCs w:val="26"/>
          <w:lang w:val="vi-VN"/>
        </w:rPr>
        <w:t> Luật Chứng khoán </w:t>
      </w:r>
      <w:r w:rsidRPr="00D04935">
        <w:rPr>
          <w:rFonts w:ascii="Times New Roman" w:hAnsi="Times New Roman" w:cs="Times New Roman"/>
          <w:sz w:val="26"/>
          <w:szCs w:val="26"/>
          <w:lang w:val="vi-VN"/>
        </w:rPr>
        <w:t>hiện hành.</w:t>
      </w:r>
    </w:p>
    <w:p w14:paraId="17F03FAE"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Fonts w:ascii="Times New Roman" w:eastAsiaTheme="majorEastAsia" w:hAnsi="Times New Roman" w:cs="Times New Roman"/>
          <w:sz w:val="26"/>
          <w:szCs w:val="26"/>
          <w:lang w:val="vi-VN"/>
        </w:rPr>
        <w:t>Thông tư 96/2020/TT-BTC </w:t>
      </w:r>
      <w:r w:rsidRPr="00D04935">
        <w:rPr>
          <w:rFonts w:ascii="Times New Roman" w:hAnsi="Times New Roman" w:cs="Times New Roman"/>
          <w:sz w:val="26"/>
          <w:szCs w:val="26"/>
          <w:lang w:val="vi-VN"/>
        </w:rPr>
        <w:t xml:space="preserve">và các văn bản hướng dẫn công bố thông tin trên thị trường chứng khoán. </w:t>
      </w:r>
    </w:p>
    <w:p w14:paraId="76C7B85F" w14:textId="77777777" w:rsidR="00426BBE" w:rsidRPr="00D04935" w:rsidRDefault="00426BBE" w:rsidP="00426BBE">
      <w:pPr>
        <w:spacing w:line="312" w:lineRule="auto"/>
        <w:ind w:firstLine="720"/>
        <w:jc w:val="both"/>
        <w:rPr>
          <w:rFonts w:ascii="Times New Roman" w:eastAsiaTheme="majorEastAsia"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Fonts w:ascii="Times New Roman" w:eastAsiaTheme="majorEastAsia" w:hAnsi="Times New Roman" w:cs="Times New Roman"/>
          <w:sz w:val="26"/>
          <w:szCs w:val="26"/>
          <w:lang w:val="vi-VN"/>
        </w:rPr>
        <w:t>Quy định của Sở Giao dịch Chứng khoán Hà Nội (HNX) hoặc</w:t>
      </w:r>
    </w:p>
    <w:p w14:paraId="66F8FD42" w14:textId="77777777" w:rsidR="00426BBE" w:rsidRPr="00D04935" w:rsidRDefault="00426BBE" w:rsidP="00426BBE">
      <w:pPr>
        <w:spacing w:line="312" w:lineRule="auto"/>
        <w:jc w:val="both"/>
        <w:rPr>
          <w:rFonts w:ascii="Times New Roman" w:eastAsiaTheme="majorEastAsia" w:hAnsi="Times New Roman" w:cs="Times New Roman"/>
          <w:sz w:val="26"/>
          <w:szCs w:val="26"/>
          <w:lang w:val="vi-VN"/>
        </w:rPr>
      </w:pPr>
      <w:r w:rsidRPr="00D04935">
        <w:rPr>
          <w:rFonts w:ascii="Times New Roman" w:eastAsiaTheme="majorEastAsia" w:hAnsi="Times New Roman" w:cs="Times New Roman"/>
          <w:sz w:val="26"/>
          <w:szCs w:val="26"/>
          <w:lang w:val="vi-VN"/>
        </w:rPr>
        <w:t>UPCoM</w:t>
      </w:r>
      <w:r w:rsidRPr="00D04935">
        <w:rPr>
          <w:rFonts w:ascii="Times New Roman" w:hAnsi="Times New Roman" w:cs="Times New Roman"/>
          <w:sz w:val="26"/>
          <w:szCs w:val="26"/>
          <w:lang w:val="vi-VN"/>
        </w:rPr>
        <w:t>, nơi các công ty đang niêm yết.</w:t>
      </w:r>
    </w:p>
    <w:p w14:paraId="7918CAC7"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eastAsiaTheme="majorEastAsia" w:hAnsi="Times New Roman" w:cs="Times New Roman"/>
          <w:sz w:val="26"/>
          <w:szCs w:val="26"/>
          <w:lang w:val="vi-VN"/>
        </w:rPr>
        <w:t xml:space="preserve">     </w:t>
      </w:r>
      <w:r w:rsidRPr="00EC6124">
        <w:rPr>
          <w:rFonts w:ascii="Times New Roman" w:eastAsiaTheme="majorEastAsia" w:hAnsi="Times New Roman" w:cs="Times New Roman"/>
          <w:sz w:val="26"/>
          <w:szCs w:val="26"/>
          <w:lang w:val="vi-VN"/>
        </w:rPr>
        <w:t>-</w:t>
      </w:r>
      <w:r w:rsidRPr="00D04935">
        <w:rPr>
          <w:rFonts w:ascii="Times New Roman" w:eastAsiaTheme="majorEastAsia" w:hAnsi="Times New Roman" w:cs="Times New Roman"/>
          <w:sz w:val="26"/>
          <w:szCs w:val="26"/>
          <w:lang w:val="vi-VN"/>
        </w:rPr>
        <w:t xml:space="preserve"> Luật Kế toán và chuẩn mực kế toán Việt Nam (VAS)</w:t>
      </w:r>
      <w:r w:rsidRPr="00D04935">
        <w:rPr>
          <w:rFonts w:ascii="Times New Roman" w:hAnsi="Times New Roman" w:cs="Times New Roman"/>
          <w:sz w:val="26"/>
          <w:szCs w:val="26"/>
          <w:lang w:val="vi-VN"/>
        </w:rPr>
        <w:t>:</w:t>
      </w:r>
    </w:p>
    <w:p w14:paraId="47283385"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Các quy định nội bộ của TKV (vì TKV là công ty mẹ/cổ đông chi phối), đặc biệt trong lĩnh vực tài chính, đầu tư và quản trị doanh nghiệp.</w:t>
      </w:r>
    </w:p>
    <w:p w14:paraId="6C4D5FA3"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eastAsiaTheme="majorEastAsia" w:hAnsi="Times New Roman" w:cs="Times New Roman"/>
          <w:sz w:val="26"/>
          <w:szCs w:val="26"/>
          <w:lang w:val="vi-VN"/>
        </w:rPr>
        <w:t> Ti</w:t>
      </w:r>
      <w:r w:rsidRPr="00D04935">
        <w:rPr>
          <w:rFonts w:ascii="Times New Roman" w:hAnsi="Times New Roman" w:cs="Times New Roman"/>
          <w:sz w:val="26"/>
          <w:szCs w:val="26"/>
          <w:lang w:val="vi-VN"/>
        </w:rPr>
        <w:t>ếp</w:t>
      </w:r>
      <w:r w:rsidRPr="00D04935">
        <w:rPr>
          <w:rFonts w:ascii="Times New Roman" w:eastAsiaTheme="majorEastAsia" w:hAnsi="Times New Roman" w:cs="Times New Roman"/>
          <w:sz w:val="26"/>
          <w:szCs w:val="26"/>
          <w:lang w:val="vi-VN"/>
        </w:rPr>
        <w:t xml:space="preserve"> cận hoặc áp dụng Chuẩn mực Kế toán Quốc tế (IFRS)</w:t>
      </w:r>
      <w:r w:rsidRPr="00D04935">
        <w:rPr>
          <w:rFonts w:ascii="Times New Roman" w:hAnsi="Times New Roman" w:cs="Times New Roman"/>
          <w:sz w:val="26"/>
          <w:szCs w:val="26"/>
          <w:lang w:val="vi-VN"/>
        </w:rPr>
        <w:t>:</w:t>
      </w:r>
    </w:p>
    <w:p w14:paraId="6F5AE6C0"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Một số công ty lớn, đặc biệt là doanh nghiệp nhà nước, sẽ</w:t>
      </w:r>
      <w:r w:rsidRPr="00D04935">
        <w:rPr>
          <w:rFonts w:ascii="Times New Roman" w:eastAsiaTheme="majorEastAsia" w:hAnsi="Times New Roman" w:cs="Times New Roman"/>
          <w:sz w:val="26"/>
          <w:szCs w:val="26"/>
          <w:lang w:val="vi-VN"/>
        </w:rPr>
        <w:t> bắt buộc hoặc khuyến khích chuyển đổi sang IFRS từ năm 2025 trở đi</w:t>
      </w:r>
      <w:r w:rsidRPr="00D04935">
        <w:rPr>
          <w:rFonts w:ascii="Times New Roman" w:hAnsi="Times New Roman" w:cs="Times New Roman"/>
          <w:sz w:val="26"/>
          <w:szCs w:val="26"/>
          <w:lang w:val="vi-VN"/>
        </w:rPr>
        <w:t>. Việc áp dụng IFRS giúp các công ty thuộc TKV dễ dàng hơn trong việc gọi vốn quốc tế, nâng cao minh bạch và khả năng so sánh báo cáo tài chính. Các công ty thuộc TKV nếu có kế hoạch huy động vốn từ nhà đầu tư nước ngoài, phát hành trái phiếu quốc tế, hoặc niêm yết tại thị trường nước ngoài sẽ đặc biệt quan tâm đến việc</w:t>
      </w:r>
      <w:r w:rsidRPr="00D04935">
        <w:rPr>
          <w:rFonts w:ascii="Times New Roman" w:eastAsiaTheme="majorEastAsia" w:hAnsi="Times New Roman" w:cs="Times New Roman"/>
          <w:sz w:val="26"/>
          <w:szCs w:val="26"/>
          <w:lang w:val="vi-VN"/>
        </w:rPr>
        <w:t> chuẩn bị và chuyển đổi sang IFRS</w:t>
      </w:r>
      <w:r w:rsidRPr="00D04935">
        <w:rPr>
          <w:rFonts w:ascii="Times New Roman" w:hAnsi="Times New Roman" w:cs="Times New Roman"/>
          <w:sz w:val="26"/>
          <w:szCs w:val="26"/>
          <w:lang w:val="vi-VN"/>
        </w:rPr>
        <w:t>.</w:t>
      </w:r>
    </w:p>
    <w:p w14:paraId="0D533B61"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eastAsiaTheme="majorEastAsia" w:hAnsi="Times New Roman" w:cs="Times New Roman"/>
          <w:sz w:val="26"/>
          <w:szCs w:val="26"/>
          <w:lang w:val="vi-VN"/>
        </w:rPr>
        <w:t xml:space="preserve">     </w:t>
      </w:r>
      <w:r w:rsidRPr="00EC6124">
        <w:rPr>
          <w:rFonts w:ascii="Times New Roman" w:eastAsiaTheme="majorEastAsia" w:hAnsi="Times New Roman" w:cs="Times New Roman"/>
          <w:sz w:val="26"/>
          <w:szCs w:val="26"/>
          <w:lang w:val="vi-VN"/>
        </w:rPr>
        <w:t>-</w:t>
      </w:r>
      <w:r w:rsidRPr="00D04935">
        <w:rPr>
          <w:rFonts w:ascii="Times New Roman" w:eastAsiaTheme="majorEastAsia" w:hAnsi="Times New Roman" w:cs="Times New Roman"/>
          <w:sz w:val="26"/>
          <w:szCs w:val="26"/>
          <w:lang w:val="vi-VN"/>
        </w:rPr>
        <w:t xml:space="preserve"> Kiểm toán độc lập và báo cáo minh bạch</w:t>
      </w:r>
      <w:r w:rsidRPr="00D04935">
        <w:rPr>
          <w:rFonts w:ascii="Times New Roman" w:hAnsi="Times New Roman" w:cs="Times New Roman"/>
          <w:sz w:val="26"/>
          <w:szCs w:val="26"/>
          <w:lang w:val="vi-VN"/>
        </w:rPr>
        <w:t>:</w:t>
      </w:r>
    </w:p>
    <w:p w14:paraId="4D19B3CE"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Các báo cáo tài chính năm của công ty niêm yết thuộc TKV đều phải được kiểm toán bởi</w:t>
      </w:r>
      <w:r w:rsidRPr="00D04935">
        <w:rPr>
          <w:rFonts w:ascii="Times New Roman" w:eastAsiaTheme="majorEastAsia" w:hAnsi="Times New Roman" w:cs="Times New Roman"/>
          <w:sz w:val="26"/>
          <w:szCs w:val="26"/>
          <w:lang w:val="vi-VN"/>
        </w:rPr>
        <w:t> các công ty kiểm toán độc lập được chấp thuận bởi Ủy ban Chứng khoán Nhà nước</w:t>
      </w:r>
      <w:r w:rsidRPr="00D04935">
        <w:rPr>
          <w:rFonts w:ascii="Times New Roman" w:hAnsi="Times New Roman" w:cs="Times New Roman"/>
          <w:sz w:val="26"/>
          <w:szCs w:val="26"/>
          <w:lang w:val="vi-VN"/>
        </w:rPr>
        <w:t>. Kiểm toán viên phải tuân thủ cả quy định của Bộ Tài chính Việt Nam và chuẩn mực kiểm toán quốc tế (ISA). Kiểm toán độc lập góp phần đảm bảo</w:t>
      </w:r>
      <w:r w:rsidRPr="00D04935">
        <w:rPr>
          <w:rFonts w:ascii="Times New Roman" w:eastAsiaTheme="majorEastAsia" w:hAnsi="Times New Roman" w:cs="Times New Roman"/>
          <w:sz w:val="26"/>
          <w:szCs w:val="26"/>
          <w:lang w:val="vi-VN"/>
        </w:rPr>
        <w:t> tính trung thực và hợp lý của báo cáo tài chính</w:t>
      </w:r>
      <w:r w:rsidRPr="00D04935">
        <w:rPr>
          <w:rFonts w:ascii="Times New Roman" w:hAnsi="Times New Roman" w:cs="Times New Roman"/>
          <w:sz w:val="26"/>
          <w:szCs w:val="26"/>
          <w:lang w:val="vi-VN"/>
        </w:rPr>
        <w:t>, tạo niềm tin cho cổ đông, nhà đầu tư và đối tác.</w:t>
      </w:r>
    </w:p>
    <w:p w14:paraId="6E13CF2F"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eastAsiaTheme="majorEastAsia" w:hAnsi="Times New Roman" w:cs="Times New Roman"/>
          <w:sz w:val="26"/>
          <w:szCs w:val="26"/>
          <w:lang w:val="vi-VN"/>
        </w:rPr>
        <w:t xml:space="preserve">     </w:t>
      </w:r>
      <w:r w:rsidRPr="00EC6124">
        <w:rPr>
          <w:rFonts w:ascii="Times New Roman" w:eastAsiaTheme="majorEastAsia" w:hAnsi="Times New Roman" w:cs="Times New Roman"/>
          <w:sz w:val="26"/>
          <w:szCs w:val="26"/>
          <w:lang w:val="vi-VN"/>
        </w:rPr>
        <w:t>-</w:t>
      </w:r>
      <w:r w:rsidRPr="00D04935">
        <w:rPr>
          <w:rFonts w:ascii="Times New Roman" w:eastAsiaTheme="majorEastAsia" w:hAnsi="Times New Roman" w:cs="Times New Roman"/>
          <w:sz w:val="26"/>
          <w:szCs w:val="26"/>
          <w:lang w:val="vi-VN"/>
        </w:rPr>
        <w:t xml:space="preserve"> Tăng cường tuân thủ quản trị công ty theo thông lệ quốc tế</w:t>
      </w:r>
      <w:r w:rsidRPr="00D04935">
        <w:rPr>
          <w:rFonts w:ascii="Times New Roman" w:hAnsi="Times New Roman" w:cs="Times New Roman"/>
          <w:sz w:val="26"/>
          <w:szCs w:val="26"/>
          <w:lang w:val="vi-VN"/>
        </w:rPr>
        <w:t>:</w:t>
      </w:r>
    </w:p>
    <w:p w14:paraId="090026C1" w14:textId="77777777" w:rsidR="00426BBE" w:rsidRPr="00D04935" w:rsidRDefault="00426BBE" w:rsidP="00426BBE">
      <w:pPr>
        <w:spacing w:line="312" w:lineRule="auto"/>
        <w:ind w:firstLine="144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Các công ty niêm yết thuộc TKV được yêu cầu thực hiện</w:t>
      </w:r>
      <w:r w:rsidRPr="00D04935">
        <w:rPr>
          <w:rFonts w:ascii="Times New Roman" w:eastAsiaTheme="majorEastAsia" w:hAnsi="Times New Roman" w:cs="Times New Roman"/>
          <w:sz w:val="26"/>
          <w:szCs w:val="26"/>
          <w:lang w:val="vi-VN"/>
        </w:rPr>
        <w:t> quản trị công ty tốt</w:t>
      </w:r>
      <w:r w:rsidRPr="00D04935">
        <w:rPr>
          <w:rFonts w:ascii="Times New Roman" w:hAnsi="Times New Roman" w:cs="Times New Roman"/>
          <w:sz w:val="26"/>
          <w:szCs w:val="26"/>
          <w:lang w:val="vi-VN"/>
        </w:rPr>
        <w:t>, bao gồm:</w:t>
      </w:r>
    </w:p>
    <w:p w14:paraId="65DB6425" w14:textId="77777777" w:rsidR="00426BBE" w:rsidRPr="00D04935" w:rsidRDefault="00426BBE" w:rsidP="00426BBE">
      <w:pPr>
        <w:pStyle w:val="ListParagraph"/>
        <w:numPr>
          <w:ilvl w:val="0"/>
          <w:numId w:val="29"/>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Hội đồng quản trị độc lập và hoạt động hiệu quả.</w:t>
      </w:r>
    </w:p>
    <w:p w14:paraId="2C9DDBD3" w14:textId="77777777" w:rsidR="00426BBE" w:rsidRPr="00D04935" w:rsidRDefault="00426BBE" w:rsidP="00426BBE">
      <w:pPr>
        <w:pStyle w:val="ListParagraph"/>
        <w:numPr>
          <w:ilvl w:val="0"/>
          <w:numId w:val="29"/>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Công bố thông tin rõ ràng về giao dịch với bên liên quan.</w:t>
      </w:r>
    </w:p>
    <w:p w14:paraId="3F06F536" w14:textId="77777777" w:rsidR="00426BBE" w:rsidRPr="00D04935" w:rsidRDefault="00426BBE" w:rsidP="00426BBE">
      <w:pPr>
        <w:pStyle w:val="ListParagraph"/>
        <w:numPr>
          <w:ilvl w:val="0"/>
          <w:numId w:val="29"/>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Có Ban kiểm soát/Ban kiểm toán nội bộ hoạt động độc lập.</w:t>
      </w:r>
    </w:p>
    <w:p w14:paraId="08F9DE01" w14:textId="77777777" w:rsidR="00426BBE" w:rsidRPr="00D04935" w:rsidRDefault="00426BBE" w:rsidP="00426BBE">
      <w:pPr>
        <w:pStyle w:val="ListParagraph"/>
        <w:numPr>
          <w:ilvl w:val="0"/>
          <w:numId w:val="29"/>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Đảm bảo quyền lợi của cổ đông nhỏ, và tiếp cận thông tin đầy đủ.</w:t>
      </w:r>
    </w:p>
    <w:p w14:paraId="74C6877B"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i/>
          <w:iCs/>
          <w:sz w:val="26"/>
          <w:szCs w:val="26"/>
          <w:lang w:val="vi-VN"/>
        </w:rPr>
        <w:lastRenderedPageBreak/>
        <w:t>Phát triển hệ thống quản trị công ty:</w:t>
      </w:r>
      <w:r w:rsidRPr="00D04935">
        <w:rPr>
          <w:rFonts w:ascii="Times New Roman" w:hAnsi="Times New Roman" w:cs="Times New Roman"/>
          <w:sz w:val="26"/>
          <w:szCs w:val="26"/>
          <w:lang w:val="vi-VN"/>
        </w:rPr>
        <w:t xml:space="preserve"> Xây dựng một hệ thống quản trị công ty hiệu quả, đặc biệt trong việc ra quyết định chiến lược và quản lý tài chính, nhằm bảo vệ lợi ích của cổ đông và các nhà đầu tư.</w:t>
      </w:r>
      <w:r w:rsidRPr="00D04935">
        <w:rPr>
          <w:rFonts w:ascii="Times New Roman" w:hAnsi="Times New Roman" w:cs="Times New Roman"/>
          <w:color w:val="000000"/>
          <w:sz w:val="26"/>
          <w:szCs w:val="26"/>
          <w:lang w:val="vi-VN"/>
        </w:rPr>
        <w:t>Để nâng cao hiệu quả hoạt động, tăng tính minh bạch và đáp ứng yêu cầu hội nhập, cần tiếp tục hoàn thiện và phát triển hệ thống quản trị công ty theo hướng chuyên nghiệp, hiện đại và phù hợp với thông lệ quốc tế. Việc phát triển hệ thống quản trị công ty cần tập trung vào các nội dung cốt lõi sau:</w:t>
      </w:r>
    </w:p>
    <w:p w14:paraId="7F485F95"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Style w:val="Strong"/>
          <w:rFonts w:ascii="Times New Roman" w:eastAsiaTheme="majorEastAsia" w:hAnsi="Times New Roman" w:cs="Times New Roman"/>
          <w:b w:val="0"/>
          <w:bCs w:val="0"/>
          <w:color w:val="000000"/>
          <w:sz w:val="26"/>
          <w:szCs w:val="26"/>
          <w:lang w:val="vi-VN"/>
        </w:rPr>
        <w:t>Hoàn thiện cơ cấu quản trị</w:t>
      </w:r>
      <w:r w:rsidRPr="00D04935">
        <w:rPr>
          <w:rFonts w:ascii="Times New Roman" w:hAnsi="Times New Roman" w:cs="Times New Roman"/>
          <w:color w:val="000000"/>
          <w:sz w:val="26"/>
          <w:szCs w:val="26"/>
          <w:lang w:val="vi-VN"/>
        </w:rPr>
        <w:t>, củng cố vai trò của Hội đồng quản trị với thành phần hợp lý, tăng tỷ lệ thành viên độc lập, và đảm bảo sự tách biệt rõ ràng giữa chức năng quản lý và điều hành.</w:t>
      </w:r>
    </w:p>
    <w:p w14:paraId="1687D888"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Style w:val="Strong"/>
          <w:rFonts w:ascii="Times New Roman" w:eastAsiaTheme="majorEastAsia" w:hAnsi="Times New Roman" w:cs="Times New Roman"/>
          <w:b w:val="0"/>
          <w:bCs w:val="0"/>
          <w:color w:val="000000"/>
          <w:sz w:val="26"/>
          <w:szCs w:val="26"/>
          <w:lang w:val="vi-VN"/>
        </w:rPr>
        <w:t>Thiết lập quy chế quản trị nội bộ chặt chẽ</w:t>
      </w:r>
      <w:r w:rsidRPr="00D04935">
        <w:rPr>
          <w:rFonts w:ascii="Times New Roman" w:hAnsi="Times New Roman" w:cs="Times New Roman"/>
          <w:color w:val="000000"/>
          <w:sz w:val="26"/>
          <w:szCs w:val="26"/>
          <w:lang w:val="vi-VN"/>
        </w:rPr>
        <w:t>, xây dựng và ban hành các quy chế hoạt động cho HĐQT, Ban giám đốc, quy chế kiểm soát giao dịch với bên liên quan, phân định rõ trách nhiệm và quyền hạn.</w:t>
      </w:r>
    </w:p>
    <w:p w14:paraId="748AA78E"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Style w:val="Strong"/>
          <w:rFonts w:ascii="Times New Roman" w:eastAsiaTheme="majorEastAsia" w:hAnsi="Times New Roman" w:cs="Times New Roman"/>
          <w:b w:val="0"/>
          <w:bCs w:val="0"/>
          <w:color w:val="000000"/>
          <w:sz w:val="26"/>
          <w:szCs w:val="26"/>
          <w:lang w:val="vi-VN"/>
        </w:rPr>
        <w:t>Tăng cường công tác kiểm soát nội bộ và kiểm toán nội bộ</w:t>
      </w:r>
      <w:r w:rsidRPr="00D04935">
        <w:rPr>
          <w:rFonts w:ascii="Times New Roman" w:hAnsi="Times New Roman" w:cs="Times New Roman"/>
          <w:color w:val="000000"/>
          <w:sz w:val="26"/>
          <w:szCs w:val="26"/>
          <w:lang w:val="vi-VN"/>
        </w:rPr>
        <w:t>, thành lập bộ phận kiểm toán nội bộ độc lập, áp dụng các mô hình kiểm soát theo chuẩn quốc tế như COSO để giảm thiểu rủi ro và phát hiện sai phạm.</w:t>
      </w:r>
    </w:p>
    <w:p w14:paraId="064ADDBD"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Style w:val="Strong"/>
          <w:rFonts w:ascii="Times New Roman" w:eastAsiaTheme="majorEastAsia" w:hAnsi="Times New Roman" w:cs="Times New Roman"/>
          <w:b w:val="0"/>
          <w:bCs w:val="0"/>
          <w:color w:val="000000"/>
          <w:sz w:val="26"/>
          <w:szCs w:val="26"/>
          <w:lang w:val="vi-VN"/>
        </w:rPr>
        <w:t>Đảm bảo công bố thông tin minh bạch và đầy đủ</w:t>
      </w:r>
      <w:r w:rsidRPr="00D04935">
        <w:rPr>
          <w:rFonts w:ascii="Times New Roman" w:hAnsi="Times New Roman" w:cs="Times New Roman"/>
          <w:color w:val="000000"/>
          <w:sz w:val="26"/>
          <w:szCs w:val="26"/>
          <w:lang w:val="vi-VN"/>
        </w:rPr>
        <w:t>, thực hiện công bố thông tin theo đúng quy định của pháp luật chứng khoán, nâng cao chất lượng báo cáo thường niên, báo cáo quản trị công ty, và tăng cường đối thoại với cổ đông.</w:t>
      </w:r>
    </w:p>
    <w:p w14:paraId="0129458D"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Style w:val="Strong"/>
          <w:rFonts w:ascii="Times New Roman" w:eastAsiaTheme="majorEastAsia" w:hAnsi="Times New Roman" w:cs="Times New Roman"/>
          <w:b w:val="0"/>
          <w:bCs w:val="0"/>
          <w:color w:val="000000"/>
          <w:sz w:val="26"/>
          <w:szCs w:val="26"/>
          <w:lang w:val="vi-VN"/>
        </w:rPr>
        <w:t>Nâng cao năng lực và đạo đức nghề nghiệp của ban lãnh đạo</w:t>
      </w:r>
      <w:r w:rsidRPr="00D04935">
        <w:rPr>
          <w:rFonts w:ascii="Times New Roman" w:hAnsi="Times New Roman" w:cs="Times New Roman"/>
          <w:color w:val="000000"/>
          <w:sz w:val="26"/>
          <w:szCs w:val="26"/>
          <w:lang w:val="vi-VN"/>
        </w:rPr>
        <w:t>, tổ chức đào tạo định kỳ về quản trị công ty, quản lý rủi ro, và tuân thủ quy định pháp luật cho HĐQT và Ban điều hành.</w:t>
      </w:r>
    </w:p>
    <w:p w14:paraId="275DD3F1" w14:textId="77777777" w:rsidR="00426BBE" w:rsidRPr="00EC6124"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Style w:val="Strong"/>
          <w:rFonts w:ascii="Times New Roman" w:eastAsiaTheme="majorEastAsia" w:hAnsi="Times New Roman" w:cs="Times New Roman"/>
          <w:b w:val="0"/>
          <w:bCs w:val="0"/>
          <w:color w:val="000000"/>
          <w:sz w:val="26"/>
          <w:szCs w:val="26"/>
          <w:lang w:val="vi-VN"/>
        </w:rPr>
        <w:t>Tiệm cận thông lệ quản trị quốc tế</w:t>
      </w:r>
      <w:r w:rsidRPr="00D04935">
        <w:rPr>
          <w:rFonts w:ascii="Times New Roman" w:hAnsi="Times New Roman" w:cs="Times New Roman"/>
          <w:color w:val="000000"/>
          <w:sz w:val="26"/>
          <w:szCs w:val="26"/>
          <w:lang w:val="vi-VN"/>
        </w:rPr>
        <w:t>, từng bước triển khai các nguyên tắc quản trị tốt của OECD, lồng ghép yếu tố ESG (môi trường, xã hội, quản trị) vào chiến lược và báo cáo doanh nghiệp.Việc phát triển hệ thống quản trị không chỉ giúp các công ty thuộc TKV hoạt động minh bạch và hiệu quả hơn, mà còn góp phần nâng cao uy tín doanh nghiệp, thu hút đầu tư và tạo tiền đề cho phát triển bền vững trong dài hạn.</w:t>
      </w:r>
    </w:p>
    <w:p w14:paraId="55989459" w14:textId="77777777" w:rsidR="00426BBE" w:rsidRPr="00B564BE" w:rsidRDefault="00426BBE" w:rsidP="005B0517">
      <w:pPr>
        <w:pStyle w:val="Heading3"/>
        <w:rPr>
          <w:lang w:val="vi-VN"/>
        </w:rPr>
      </w:pPr>
      <w:bookmarkStart w:id="298" w:name="_Toc197781209"/>
      <w:bookmarkStart w:id="299" w:name="_Toc197781492"/>
      <w:bookmarkStart w:id="300" w:name="_Toc198710013"/>
      <w:r w:rsidRPr="00B564BE">
        <w:rPr>
          <w:lang w:val="vi-VN"/>
        </w:rPr>
        <w:t>3.2.6. Nhóm giải pháp về quản lý rủi ro tài chính</w:t>
      </w:r>
      <w:bookmarkEnd w:id="298"/>
      <w:bookmarkEnd w:id="299"/>
      <w:bookmarkEnd w:id="300"/>
    </w:p>
    <w:p w14:paraId="598010D4"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i/>
          <w:iCs/>
          <w:sz w:val="26"/>
          <w:szCs w:val="26"/>
          <w:lang w:val="vi-VN"/>
        </w:rPr>
        <w:t>Đánh giá và phân tích rủi ro:</w:t>
      </w:r>
      <w:r w:rsidRPr="00D04935">
        <w:rPr>
          <w:rFonts w:ascii="Times New Roman" w:hAnsi="Times New Roman" w:cs="Times New Roman"/>
          <w:sz w:val="26"/>
          <w:szCs w:val="26"/>
          <w:lang w:val="vi-VN"/>
        </w:rPr>
        <w:t xml:space="preserve"> Tạo dựng một hệ thống quản lý rủi ro để theo dõi, phân tích các yếu tố có thể ảnh hưởng đến tình hình tài chính, bao gồm rủi ro thị trường, rủi ro tỷ giá, lãi suất và các yếu tố khác.Các công ty cổ phần niêm yết thuộc TKV hoạt động chủ yếu trong lĩnh vực khai thác than và khoáng sản, vốn có tính đặc thù cao và chịu tác động lớn từ nhiều yếu tố bên ngoài. Việc đánh giá và </w:t>
      </w:r>
      <w:r w:rsidRPr="00D04935">
        <w:rPr>
          <w:rFonts w:ascii="Times New Roman" w:hAnsi="Times New Roman" w:cs="Times New Roman"/>
          <w:sz w:val="26"/>
          <w:szCs w:val="26"/>
          <w:lang w:val="vi-VN"/>
        </w:rPr>
        <w:lastRenderedPageBreak/>
        <w:t>phân tích rủi ro là cần thiết nhằm quản trị hiệu quả hoạt động và bảo vệ lợi ích của cổ đông. Các nhóm rủi ro chủ yếu bao gồm:</w:t>
      </w:r>
    </w:p>
    <w:p w14:paraId="21128C27"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Rủi ro tài chính: Tỷ lệ vay nợ của một số công ty khá cao, dẫn đến áp lực trả nợ, chi phí lãi vay lớn và rủi ro thanh khoản nếu dòng tiền vận hành không ổn định. Ngoài ra, biến động tỷ giá và lãi suất cũng tác động đến chi phí tài chính.</w:t>
      </w:r>
    </w:p>
    <w:p w14:paraId="5F9786AA"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Rủi ro thị trường: Biến động giá than, kim loại và nguyên liệu đầu vào ảnh hưởng trực tiếp đến doanh thu và lợi nhuận. Ngoài ra, thị trường tiêu thụ (chủ yếu là ngành điện, xi măng, luyện kim) phụ thuộc nhiều vào chính sách điều tiết của Nhà nước.</w:t>
      </w:r>
    </w:p>
    <w:p w14:paraId="53160112"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Rủi ro pháp lý và chính sách: Do là doanh nghiệp nhà nước cổ phần hóa, các công ty thuộc TKV chịu ảnh hưởng lớn từ chính sách tài nguyên, thuế, môi trường và quy định pháp luật về đấu thầu, đầu tư công. Sự thay đổi về cơ chế quản lý có thể ảnh hưởng đến chiến lược kinh doanh.</w:t>
      </w:r>
    </w:p>
    <w:p w14:paraId="0E33FD2A"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Rủi ro hoạt động: Ngành than và khoáng sản có đặc thù kỹ thuật phức tạp, rủi ro tai nạn lao động, sự cố thiết bị, hoặc gián đoạn chuỗi cung ứng. Ngoài ra, các mỏ khai thác lâu năm có thể gặp khó khăn về chất lượng tài nguyên và chi phí tăng cao. </w:t>
      </w:r>
    </w:p>
    <w:p w14:paraId="7B83DDC4"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Rủi ro môi trường và xã hội (ESG): Khai thác tài nguyên thiên nhiên luôn đi kèm với áp lực về môi trường, tiêu chuẩn an toàn, và trách nhiệm xã hội. Việc không đáp ứng được kỳ vọng của cộng đồng và các cơ quan quản lý có thể dẫn đến đình chỉ hoạt động hoặc mất hình ảnh thương hiệu.</w:t>
      </w:r>
    </w:p>
    <w:p w14:paraId="0CDF9A2C"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Rủi ro quản trị doanh nghiệp: Một số công ty vẫn còn tình trạng kiêm nhiệm trong bộ máy lãnh đạo, thiếu thành viên độc lập trong Hội đồng quản trị và kiểm soát nội bộ chưa đầy đủ, có thể dẫn đến thiếu minh bạch và xung đột lợi ích.</w:t>
      </w:r>
    </w:p>
    <w:p w14:paraId="792A4819"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D04935">
        <w:rPr>
          <w:rFonts w:ascii="Times New Roman" w:hAnsi="Times New Roman" w:cs="Times New Roman"/>
          <w:i/>
          <w:iCs/>
          <w:sz w:val="26"/>
          <w:szCs w:val="26"/>
          <w:lang w:val="vi-VN"/>
        </w:rPr>
        <w:t>Sử dụng các công cụ tài chính phòng ngừa rủi ro:</w:t>
      </w:r>
      <w:r w:rsidRPr="00D04935">
        <w:rPr>
          <w:rFonts w:ascii="Times New Roman" w:hAnsi="Times New Roman" w:cs="Times New Roman"/>
          <w:sz w:val="26"/>
          <w:szCs w:val="26"/>
          <w:lang w:val="vi-VN"/>
        </w:rPr>
        <w:t xml:space="preserve"> Trong bối cảnh thị trường biến động mạnh và doanh nghiệp ngành khai khoáng thường xuyên đối mặt với các rủi ro tài chính, việc sử dụng các công cụ tài chính để phòng ngừa rủi ro là cần thiết nhằm đảm bảo sự ổn định và bền vững trong hoạt động kinh doanh. Các công ty cổ phần niêm yết thuộc TKV có thể áp dụng một số công cụ tài chính sau:</w:t>
      </w:r>
    </w:p>
    <w:p w14:paraId="661CD72C"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Hợp đồng kỳ hạn (forward contract</w:t>
      </w:r>
      <w:r w:rsidRPr="00D04935">
        <w:rPr>
          <w:rFonts w:ascii="Times New Roman" w:hAnsi="Times New Roman" w:cs="Times New Roman"/>
          <w:b/>
          <w:bCs/>
          <w:sz w:val="26"/>
          <w:szCs w:val="26"/>
          <w:lang w:val="vi-VN"/>
        </w:rPr>
        <w:t>)</w:t>
      </w:r>
      <w:r w:rsidRPr="00D04935">
        <w:rPr>
          <w:rFonts w:ascii="Times New Roman" w:hAnsi="Times New Roman" w:cs="Times New Roman"/>
          <w:sz w:val="26"/>
          <w:szCs w:val="26"/>
          <w:lang w:val="vi-VN"/>
        </w:rPr>
        <w:t>: Áp dụng để cố định tỷ giá hoặc giá nguyên vật liệu nhập khẩu, giảm thiểu rủi ro tỷ giá khi thanh toán quốc tế. Đây là công cụ thường dùng trong quản trị rủi ro tỷ giá với ngân hàng thương mại.</w:t>
      </w:r>
    </w:p>
    <w:p w14:paraId="7B77A8FE"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Công cụ phái sinh lãi suất (interest rate swaps</w:t>
      </w:r>
      <w:r w:rsidRPr="00D04935">
        <w:rPr>
          <w:rFonts w:ascii="Times New Roman" w:hAnsi="Times New Roman" w:cs="Times New Roman"/>
          <w:b/>
          <w:bCs/>
          <w:sz w:val="26"/>
          <w:szCs w:val="26"/>
          <w:lang w:val="vi-VN"/>
        </w:rPr>
        <w:t>)</w:t>
      </w:r>
      <w:r w:rsidRPr="00D04935">
        <w:rPr>
          <w:rFonts w:ascii="Times New Roman" w:hAnsi="Times New Roman" w:cs="Times New Roman"/>
          <w:sz w:val="26"/>
          <w:szCs w:val="26"/>
          <w:lang w:val="vi-VN"/>
        </w:rPr>
        <w:t>: Dùng để hoán đổi lãi suất vay từ biến động sang cố định, qua đó ổn định chi phí tài chính trong điều kiện lãi suất thị trường có xu hướng tăng.</w:t>
      </w:r>
    </w:p>
    <w:p w14:paraId="389B1BB3"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Hợp đồng tương lai và quyền chọn hàng hóa (commodity</w:t>
      </w:r>
    </w:p>
    <w:p w14:paraId="31826C95" w14:textId="77777777" w:rsidR="00426BBE" w:rsidRPr="00D04935" w:rsidRDefault="00426BBE" w:rsidP="00426BBE">
      <w:pPr>
        <w:spacing w:line="312" w:lineRule="auto"/>
        <w:ind w:hanging="284"/>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lastRenderedPageBreak/>
        <w:t xml:space="preserve">    futures/options): Giúp doanh nghiệp cố định giá than, kim loại hoặc nguyên liệu đầu vào để tránh tác động bất lợi từ biến động giá thị trường. Tuy nhiên, công cụ này hiện còn ít phổ biến tại Việt Nam, chủ yếu được tiếp cận qua các sàn giao dịch quốc tế.</w:t>
      </w:r>
    </w:p>
    <w:p w14:paraId="738C5FB3"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Bảo hiểm rủi ro (risk insurance</w:t>
      </w:r>
      <w:r w:rsidRPr="00D04935">
        <w:rPr>
          <w:rFonts w:ascii="Times New Roman" w:hAnsi="Times New Roman" w:cs="Times New Roman"/>
          <w:b/>
          <w:bCs/>
          <w:sz w:val="26"/>
          <w:szCs w:val="26"/>
          <w:lang w:val="vi-VN"/>
        </w:rPr>
        <w:t>)</w:t>
      </w:r>
      <w:r w:rsidRPr="00D04935">
        <w:rPr>
          <w:rFonts w:ascii="Times New Roman" w:hAnsi="Times New Roman" w:cs="Times New Roman"/>
          <w:sz w:val="26"/>
          <w:szCs w:val="26"/>
          <w:lang w:val="vi-VN"/>
        </w:rPr>
        <w:t>: Mua các loại bảo hiểm như bảo hiểm tài sản, gián đoạn kinh doanh, tai nạn lao động, hay bảo hiểm trách nhiệm môi trường giúp giảm thiểu tác động của các sự cố không lường trước.</w:t>
      </w:r>
    </w:p>
    <w:p w14:paraId="6B40527B"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w:t>
      </w:r>
      <w:r w:rsidRPr="00D04935">
        <w:rPr>
          <w:rFonts w:ascii="Times New Roman" w:hAnsi="Times New Roman" w:cs="Times New Roman"/>
          <w:i/>
          <w:iCs/>
          <w:sz w:val="26"/>
          <w:szCs w:val="26"/>
          <w:lang w:val="vi-VN"/>
        </w:rPr>
        <w:t xml:space="preserve">Đa dạng hóa danh mục đầu tư và nguồn cung: </w:t>
      </w:r>
      <w:r w:rsidRPr="00D04935">
        <w:rPr>
          <w:rFonts w:ascii="Times New Roman" w:hAnsi="Times New Roman" w:cs="Times New Roman"/>
          <w:sz w:val="26"/>
          <w:szCs w:val="26"/>
          <w:lang w:val="vi-VN"/>
        </w:rPr>
        <w:t>Đây không chỉ là công cụ quản trị chiến lược, việc đầu tư vào nhiều lĩnh vực liên quan (ví dụ logistics, chế biến sâu, năng lượng tái tạo) hoặc đa dạng hóa nhà cung cấp, khách hàng cũng góp phần phân tán rủi ro tài chính. Thiết lập quỹ dự phòng và sử dụng quỹ bình ổn giá, một số công ty có thể xây dựng các quỹ nội bộ nhằm ổn định lợi nhuận và chi phí trong các giai đoạn thị trường biến động mạnh.</w:t>
      </w:r>
    </w:p>
    <w:p w14:paraId="1DA92DA6"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Đa dạng hóa đầu tư để giảm thiểu rủi ro tài chính, các công ty nên đa</w:t>
      </w:r>
    </w:p>
    <w:p w14:paraId="7E49019B" w14:textId="77777777" w:rsidR="00426BBE" w:rsidRPr="00D04935" w:rsidRDefault="00426BBE" w:rsidP="00426BBE">
      <w:p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dạng hóa các nguồn thu nhập và đầu tư vào các lĩnh vực khác nhau, không chỉ phụ thuộc vào một sản phẩm hay thị trường duy nhất.</w:t>
      </w:r>
    </w:p>
    <w:p w14:paraId="51CFA260"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Đầu tư vào chế biến sâu khoáng sản, tập trung nâng cao chuỗi giá trị sản phẩm bằng cách đầu tư vào các nhà máy chế biến alumin, tinh quặng, kim loại màu… thay vì chỉ xuất khẩu khoáng sản thô. Phát triển lĩnh vực năng lượng tái tạo, khai thác lợi thế về quỹ đất sau khai thác để đầu tư vào điện mặt trời, điện gió, góp phần chuyển đổi mô hình tăng trưởng theo hướng thân thiện với môi trường. Đầu tư vào logistics và dịch vụ phụ trợ, mở rộng sang các hoạt động như vận tải chuyên dụng, dịch vụ kho bãi, sửa chữa thiết bị khai khoáng để vừa phục vụ nội bộ, vừa cung cấp cho thị trường bên ngoài.</w:t>
      </w:r>
    </w:p>
    <w:p w14:paraId="25951B83"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 </w:t>
      </w: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Đa dạng hóa danh mục khai thác khoáng sản, tìm kiếm cơ hội trong các lĩnh vực khoáng sản có giá trị cao và tiềm năng như đất hiếm, titan, đá vôi công nghiệp, phục vụ các ngành công nghệ cao và vật liệu mới. Hợp tác đầu tư với doanh nghiệp trong và ngoài nước, thiết lập liên doanh, liên kết trong các dự án có hàm lượng công nghệ cao, hoặc dự án đầu tư lớn nhằm chia sẻ rủi ro và mở rộng thị trường.</w:t>
      </w:r>
    </w:p>
    <w:p w14:paraId="644D33E0" w14:textId="77777777" w:rsidR="00426BBE" w:rsidRDefault="00426BBE" w:rsidP="00426BBE">
      <w:pPr>
        <w:spacing w:line="312" w:lineRule="auto"/>
        <w:ind w:firstLine="720"/>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w:t>
      </w:r>
      <w:r w:rsidRPr="00D04935">
        <w:rPr>
          <w:rFonts w:ascii="Times New Roman" w:hAnsi="Times New Roman" w:cs="Times New Roman"/>
          <w:sz w:val="26"/>
          <w:szCs w:val="26"/>
          <w:lang w:val="vi-VN"/>
        </w:rPr>
        <w:t xml:space="preserve"> Đầu tư tài chính có chọn lọc, sử dụng vốn nhàn rỗi để đầu tư vào các sản phẩm tài chính như trái phiếu doanh nghiệp, cổ phiếu ngành liên quan hoặc quỹ đầu tư với nguyên tắc an toàn, linh hoạt và hiệu quả.</w:t>
      </w:r>
    </w:p>
    <w:p w14:paraId="517EE420" w14:textId="0E78ED62" w:rsidR="006F50D4" w:rsidRDefault="006F50D4" w:rsidP="006F50D4">
      <w:pPr>
        <w:pStyle w:val="Heading3"/>
        <w:rPr>
          <w:lang w:val="vi-VN"/>
        </w:rPr>
      </w:pPr>
      <w:bookmarkStart w:id="301" w:name="_Toc198710014"/>
      <w:r w:rsidRPr="00B564BE">
        <w:rPr>
          <w:lang w:val="vi-VN"/>
        </w:rPr>
        <w:lastRenderedPageBreak/>
        <w:t>3.2.</w:t>
      </w:r>
      <w:r>
        <w:rPr>
          <w:lang w:val="vi-VN"/>
        </w:rPr>
        <w:t>7</w:t>
      </w:r>
      <w:r w:rsidRPr="00B564BE">
        <w:rPr>
          <w:lang w:val="vi-VN"/>
        </w:rPr>
        <w:t xml:space="preserve">. </w:t>
      </w:r>
      <w:r>
        <w:rPr>
          <w:lang w:val="vi-VN"/>
        </w:rPr>
        <w:t>Một số kiến nghị với Chính Phủ</w:t>
      </w:r>
      <w:bookmarkEnd w:id="301"/>
    </w:p>
    <w:p w14:paraId="4488DC79" w14:textId="3AAC4CA5" w:rsidR="006F50D4" w:rsidRPr="00D04935" w:rsidRDefault="006F50D4" w:rsidP="006F50D4">
      <w:pPr>
        <w:spacing w:line="312" w:lineRule="auto"/>
        <w:ind w:firstLine="720"/>
        <w:jc w:val="both"/>
        <w:rPr>
          <w:rFonts w:ascii="Times New Roman" w:hAnsi="Times New Roman" w:cs="Times New Roman"/>
          <w:sz w:val="26"/>
          <w:szCs w:val="26"/>
          <w:lang w:val="vi-VN"/>
        </w:rPr>
      </w:pPr>
      <w:r w:rsidRPr="006F50D4">
        <w:rPr>
          <w:rFonts w:ascii="Times New Roman" w:hAnsi="Times New Roman" w:cs="Times New Roman"/>
          <w:sz w:val="26"/>
          <w:szCs w:val="26"/>
          <w:lang w:val="vi-VN"/>
        </w:rPr>
        <w:t>Để đảm bảo an toàn tài chính và phát triển bền vững cho các công ty cổ phần niêm yết thuộc Tập đoàn Công nghiệp Than - Khoáng sản Việt Nam (TKV),</w:t>
      </w:r>
      <w:r>
        <w:rPr>
          <w:rFonts w:ascii="Times New Roman" w:hAnsi="Times New Roman" w:cs="Times New Roman"/>
          <w:sz w:val="26"/>
          <w:szCs w:val="26"/>
          <w:lang w:val="vi-VN"/>
        </w:rPr>
        <w:t xml:space="preserve"> cần</w:t>
      </w:r>
      <w:r w:rsidRPr="006F50D4">
        <w:rPr>
          <w:rFonts w:ascii="Times New Roman" w:hAnsi="Times New Roman" w:cs="Times New Roman"/>
          <w:sz w:val="26"/>
          <w:szCs w:val="26"/>
          <w:lang w:val="vi-VN"/>
        </w:rPr>
        <w:t xml:space="preserve"> kiến nghị Chính phủ xem xét ban hành các chính sách hỗ trợ về tín dụng ưu đãi và thuế, đặc biệt đối với các dự án đầu tư đổi mới công nghệ, tiết kiệm năng lượng và bảo vệ môi trường. Đồng thời, cần</w:t>
      </w:r>
      <w:r>
        <w:rPr>
          <w:rFonts w:ascii="Times New Roman" w:hAnsi="Times New Roman" w:cs="Times New Roman"/>
          <w:sz w:val="26"/>
          <w:szCs w:val="26"/>
          <w:lang w:val="vi-VN"/>
        </w:rPr>
        <w:t xml:space="preserve"> hoàn thiện khung hành lang pháp lý,</w:t>
      </w:r>
      <w:r w:rsidRPr="006F50D4">
        <w:rPr>
          <w:rFonts w:ascii="Times New Roman" w:hAnsi="Times New Roman" w:cs="Times New Roman"/>
          <w:sz w:val="26"/>
          <w:szCs w:val="26"/>
          <w:lang w:val="vi-VN"/>
        </w:rPr>
        <w:t xml:space="preserve"> tăng cường cơ chế giám sát tài chính, minh bạch hóa thông tin doanh nghiệp niêm yết, hỗ trợ xây dựng hệ thống quản trị doanh nghiệp theo chuẩn quốc tế, và thúc đẩy phát triển thị trường tiêu thụ than - khoáng sản nội địa ổn định, tạo điều kiện thuận lợi để các công ty trong ngành phát triển bền vững, nâng cao năng lực cạnh tranh trong nước và quốc tế.</w:t>
      </w:r>
    </w:p>
    <w:p w14:paraId="0094F5B7" w14:textId="50DBF963" w:rsidR="00426BBE" w:rsidRPr="00B564BE" w:rsidRDefault="00426BBE" w:rsidP="005B0517">
      <w:pPr>
        <w:pStyle w:val="Heading3"/>
        <w:rPr>
          <w:lang w:val="vi-VN"/>
        </w:rPr>
      </w:pPr>
      <w:bookmarkStart w:id="302" w:name="_Toc197781212"/>
      <w:bookmarkStart w:id="303" w:name="_Toc197781495"/>
      <w:bookmarkStart w:id="304" w:name="_Toc198710015"/>
      <w:r w:rsidRPr="00B564BE">
        <w:rPr>
          <w:lang w:val="vi-VN"/>
        </w:rPr>
        <w:t>3.2.</w:t>
      </w:r>
      <w:r w:rsidR="006F50D4">
        <w:rPr>
          <w:lang w:val="vi-VN"/>
        </w:rPr>
        <w:t>8</w:t>
      </w:r>
      <w:r w:rsidRPr="00B564BE">
        <w:rPr>
          <w:lang w:val="vi-VN"/>
        </w:rPr>
        <w:t>. Kết luận</w:t>
      </w:r>
      <w:bookmarkEnd w:id="302"/>
      <w:bookmarkEnd w:id="303"/>
      <w:bookmarkEnd w:id="304"/>
    </w:p>
    <w:p w14:paraId="6DA317BD" w14:textId="77777777" w:rsidR="00426BBE" w:rsidRPr="00D04935" w:rsidRDefault="00426BBE" w:rsidP="00426BBE">
      <w:pPr>
        <w:pStyle w:val="NormalWeb"/>
        <w:spacing w:line="312" w:lineRule="auto"/>
        <w:ind w:firstLine="720"/>
        <w:jc w:val="both"/>
        <w:rPr>
          <w:sz w:val="26"/>
          <w:szCs w:val="26"/>
          <w:lang w:val="vi-VN" w:eastAsia="en-US"/>
        </w:rPr>
      </w:pPr>
      <w:r w:rsidRPr="00D04935">
        <w:rPr>
          <w:sz w:val="26"/>
          <w:szCs w:val="26"/>
          <w:lang w:val="vi-VN" w:eastAsia="en-US"/>
        </w:rPr>
        <w:t>Trong bối cảnh nền kinh tế thế giới và trong nước liên tục biến động, ngành công nghiệp khai thác khoáng sản – trong đó có ngành than – đang chịu tác động sâu rộng từ nhiều yếu tố: từ chính sách chuyển dịch năng lượng, biến động giá cả nguyên vật liệu đầu vào, đến yêu cầu ngày càng cao về quản trị doanh nghiệp hiện đại và phát triển bền vững. Trước tình hình đó, việc đảm bảo an toàn tài chính không chỉ là nhiệm vụ mang tính cấp bách mà còn là chiến lược cốt lõi giúp các công ty cổ phần niêm yết thuộc Tập đoàn Công nghiệp Than - Khoáng sản Việt Nam (TKV) phát triển bền vững trong dài hạn.</w:t>
      </w:r>
    </w:p>
    <w:p w14:paraId="24D29896" w14:textId="664BCAA9" w:rsidR="00426BBE" w:rsidRPr="00D04935" w:rsidRDefault="00426BBE" w:rsidP="00426BBE">
      <w:pPr>
        <w:spacing w:line="312" w:lineRule="auto"/>
        <w:ind w:firstLine="720"/>
        <w:jc w:val="both"/>
        <w:rPr>
          <w:rFonts w:ascii="Times New Roman" w:hAnsi="Times New Roman" w:cs="Times New Roman"/>
          <w:sz w:val="26"/>
          <w:szCs w:val="26"/>
          <w:lang w:val="vi-VN" w:eastAsia="en-US"/>
        </w:rPr>
      </w:pPr>
      <w:r w:rsidRPr="00D04935">
        <w:rPr>
          <w:rFonts w:ascii="Times New Roman" w:hAnsi="Times New Roman" w:cs="Times New Roman"/>
          <w:sz w:val="26"/>
          <w:szCs w:val="26"/>
          <w:lang w:val="vi-VN" w:eastAsia="en-US"/>
        </w:rPr>
        <w:t>Qua nghiên cứu và phân tích, có thể thấy rằng thực trạng tài chính của các công ty cổ phần niêm yết thuộc TKV đang tồn tại nhiều vấn đề như: khả năng thanh toán ngắn hạn chưa cao, cơ cấu tài sản thiếu hợp lý, hệ số nợ lớn so với vốn chủ sở hữu, hiệu quả sử dụng vốn chưa thực sự tối ưu, cùng với rủi ro tiềm ẩn từ thị trường, tài nguyên và môi trường. Để giải quyết những vấn đề</w:t>
      </w:r>
      <w:r w:rsidR="004E6AFE">
        <w:rPr>
          <w:rFonts w:ascii="Times New Roman" w:hAnsi="Times New Roman" w:cs="Times New Roman"/>
          <w:sz w:val="26"/>
          <w:szCs w:val="26"/>
          <w:lang w:val="vi-VN" w:eastAsia="en-US"/>
        </w:rPr>
        <w:t xml:space="preserve"> trên, </w:t>
      </w:r>
      <w:r w:rsidR="004E6AFE" w:rsidRPr="00F22BA5">
        <w:rPr>
          <w:rFonts w:ascii="Times New Roman" w:hAnsi="Times New Roman" w:cs="Times New Roman"/>
          <w:sz w:val="26"/>
          <w:szCs w:val="26"/>
          <w:lang w:val="vi-VN" w:eastAsia="en-US"/>
        </w:rPr>
        <w:t>6</w:t>
      </w:r>
      <w:r w:rsidRPr="00D04935">
        <w:rPr>
          <w:rFonts w:ascii="Times New Roman" w:hAnsi="Times New Roman" w:cs="Times New Roman"/>
          <w:sz w:val="26"/>
          <w:szCs w:val="26"/>
          <w:lang w:val="vi-VN" w:eastAsia="en-US"/>
        </w:rPr>
        <w:t xml:space="preserve"> nhóm giải pháp đã được đề xuất một cách đồng bộ, toàn diện và có tính khả thi cao, bao gồm:</w:t>
      </w:r>
    </w:p>
    <w:p w14:paraId="3E34794D" w14:textId="77777777" w:rsidR="00426BBE" w:rsidRPr="00D04935" w:rsidRDefault="00426BBE" w:rsidP="00426BBE">
      <w:pPr>
        <w:pStyle w:val="ListParagraph"/>
        <w:numPr>
          <w:ilvl w:val="0"/>
          <w:numId w:val="30"/>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Giải pháp nâng cao khả năng thanh toán:</w:t>
      </w:r>
    </w:p>
    <w:p w14:paraId="7E1E4B65"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Nhằm đảm bảo doanh nghiệp có đủ khả năng chi trả các nghĩa vụ ngắn hạn, các công ty cần chủ động điều chỉnh cơ cấu tài sản lưu động, tăng cường quản lý dòng tiền, rút ngắn chu kỳ thu hồi công nợ và cải thiện tỷ lệ thanh toán hiện hành cũng như thanh toán nhanh. Bên cạnh đó, việc sử dụng công cụ quản lý dòng tiền hiện đại như ngân sách tiền mặt, dòng tiền dự báo và các chỉ số cảnh báo sớm về rủi ro thanh khoản sẽ giúp doanh nghiệp chủ động ứng phó với tình huống thiếu hụt dòng tiền.</w:t>
      </w:r>
    </w:p>
    <w:p w14:paraId="5F826E83" w14:textId="77777777" w:rsidR="003803F6" w:rsidRDefault="003803F6">
      <w:pPr>
        <w:spacing w:after="160" w:line="259" w:lineRule="auto"/>
        <w:rPr>
          <w:rFonts w:ascii="Times New Roman" w:hAnsi="Times New Roman" w:cs="Times New Roman"/>
          <w:sz w:val="26"/>
          <w:szCs w:val="26"/>
          <w:lang w:val="vi-VN"/>
        </w:rPr>
      </w:pPr>
      <w:r>
        <w:rPr>
          <w:rFonts w:ascii="Times New Roman" w:hAnsi="Times New Roman" w:cs="Times New Roman"/>
          <w:sz w:val="26"/>
          <w:szCs w:val="26"/>
          <w:lang w:val="vi-VN"/>
        </w:rPr>
        <w:br w:type="page"/>
      </w:r>
    </w:p>
    <w:p w14:paraId="6B3F6C62" w14:textId="420F4979" w:rsidR="00426BBE" w:rsidRPr="00D04935" w:rsidRDefault="00426BBE" w:rsidP="00426BBE">
      <w:pPr>
        <w:pStyle w:val="ListParagraph"/>
        <w:numPr>
          <w:ilvl w:val="0"/>
          <w:numId w:val="30"/>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lastRenderedPageBreak/>
        <w:t>Giải pháp về cơ cấu vốn:</w:t>
      </w:r>
    </w:p>
    <w:p w14:paraId="7B2DCDD4"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Việc tối ưu hóa cơ cấu vốn là điều kiện tiên quyết để đảm bảo mức độ an toàn tài chính. Các công ty cần giảm dần tỷ lệ nợ vay, đặc biệt là vay ngắn hạn, đồng thời tăng cường vốn chủ sở hữu thông qua giữ lại lợi nhuận hoặc phát hành cổ phiếu. Việc sử dụng đòn bẩy tài chính cần được kiểm soát ở mức độ hợp lý để tránh rủi ro mất khả năng chi trả và phá vỡ tính ổn định tài chính của doanh nghiệp.</w:t>
      </w:r>
    </w:p>
    <w:p w14:paraId="273E4351" w14:textId="77777777" w:rsidR="00426BBE" w:rsidRPr="00D04935" w:rsidRDefault="00426BBE" w:rsidP="00426BBE">
      <w:pPr>
        <w:pStyle w:val="ListParagraph"/>
        <w:numPr>
          <w:ilvl w:val="0"/>
          <w:numId w:val="30"/>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Giải pháp về cơ cấu tài sản:</w:t>
      </w:r>
    </w:p>
    <w:p w14:paraId="1AA9334D"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Một cơ cấu tài sản cân đối, hợp lý giữa tài sản ngắn hạn và dài hạn sẽ tạo điều kiện thuận lợi cho hoạt động sản xuất kinh doanh. Các doanh nghiệp cần rà soát lại danh mục tài sản, tránh đầu tư dàn trải, ưu tiên các tài sản tạo ra giá trị gia tăng cao và thanh khoản tốt. Đồng thời, cần tăng cường quản lý hàng tồn kho và công nợ phải thu để tránh bị chiếm dụng vốn quá mức.</w:t>
      </w:r>
    </w:p>
    <w:p w14:paraId="6821BF47" w14:textId="77777777" w:rsidR="00426BBE" w:rsidRPr="00D04935" w:rsidRDefault="00426BBE" w:rsidP="00426BBE">
      <w:pPr>
        <w:pStyle w:val="ListParagraph"/>
        <w:numPr>
          <w:ilvl w:val="0"/>
          <w:numId w:val="30"/>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Giải pháp nâng cao hiệu quả hoạt động: </w:t>
      </w:r>
    </w:p>
    <w:p w14:paraId="71B3EA5F"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Để tăng cường khả năng sinh lời và sử dụng hiệu quả các nguồn lực tài chính, các công ty cần chú trọng nâng cao năng suất lao động, giảm chi phí sản xuất, cải tiến công nghệ, đẩy mạnh cơ giới hóa – tự động hóa trong khai thác. Ngoài ra, cần tăng cường phân tích hiệu quả tài chính của từng dự án đầu tư, nhằm tối ưu hóa tỷ suất sinh lời và vòng quay vốn.</w:t>
      </w:r>
    </w:p>
    <w:p w14:paraId="1E3327B7" w14:textId="77777777" w:rsidR="00426BBE" w:rsidRPr="00D04935" w:rsidRDefault="00426BBE" w:rsidP="00426BBE">
      <w:pPr>
        <w:pStyle w:val="ListParagraph"/>
        <w:numPr>
          <w:ilvl w:val="0"/>
          <w:numId w:val="30"/>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Giải pháp về quản trị tài chính:</w:t>
      </w:r>
    </w:p>
    <w:p w14:paraId="2B874BDB"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Quản trị tài chính hiệu quả là nền tảng vững chắc cho việc kiểm soát rủi ro và ra quyết định đầu tư – tài trợ. Các công ty cần xây dựng hệ thống quản trị tài chính khoa học, minh bạch, chuẩn hóa theo chuẩn mực kế toán trong nước và hướng đến IFRS. Việc ứng dụng phần mềm quản lý tài chính, báo cáo quản trị định kỳ và xây dựng bộ chỉ số giám sát tài chính sẽ giúp nâng cao chất lượng quản lý và khả năng phản ứng nhanh trước các biến động thị trường.</w:t>
      </w:r>
    </w:p>
    <w:p w14:paraId="0075E921" w14:textId="77777777" w:rsidR="00426BBE" w:rsidRPr="00D04935" w:rsidRDefault="00426BBE" w:rsidP="00426BBE">
      <w:pPr>
        <w:pStyle w:val="ListParagraph"/>
        <w:numPr>
          <w:ilvl w:val="0"/>
          <w:numId w:val="30"/>
        </w:num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Giải pháp kiểm soát và phòng ngừa rủi ro tài chính:</w:t>
      </w:r>
    </w:p>
    <w:p w14:paraId="467D3EED" w14:textId="77777777" w:rsidR="00426BBE" w:rsidRPr="00D04935" w:rsidRDefault="00426BBE" w:rsidP="00426BBE">
      <w:pPr>
        <w:spacing w:line="312" w:lineRule="auto"/>
        <w:jc w:val="both"/>
        <w:rPr>
          <w:rFonts w:ascii="Times New Roman" w:hAnsi="Times New Roman" w:cs="Times New Roman"/>
          <w:sz w:val="26"/>
          <w:szCs w:val="26"/>
          <w:lang w:val="vi-VN"/>
        </w:rPr>
      </w:pPr>
      <w:r w:rsidRPr="00EC6124">
        <w:rPr>
          <w:rFonts w:ascii="Times New Roman" w:hAnsi="Times New Roman" w:cs="Times New Roman"/>
          <w:sz w:val="26"/>
          <w:szCs w:val="26"/>
          <w:lang w:val="vi-VN"/>
        </w:rPr>
        <w:t xml:space="preserve">          </w:t>
      </w:r>
      <w:r w:rsidRPr="00D04935">
        <w:rPr>
          <w:rFonts w:ascii="Times New Roman" w:hAnsi="Times New Roman" w:cs="Times New Roman"/>
          <w:sz w:val="26"/>
          <w:szCs w:val="26"/>
          <w:lang w:val="vi-VN"/>
        </w:rPr>
        <w:t>Trước tính chất rủi ro cao của ngành khai thác khoáng sản, việc thiết lập một khung kiểm soát rủi ro tài chính là hết sức cần thiết. Các doanh nghiệp cần nhận diện sớm các yếu tố rủi ro như biến động giá bán, chi phí sản xuất tăng, biến động tỷ giá, lãi suất... để có các biện pháp phòng ngừa phù hợp. Công cụ như hợp đồng tương lai, bảo hiểm rủi ro tài chính và quỹ dự phòng cần được vận dụng linh hoạt trong thực tiễn.</w:t>
      </w:r>
    </w:p>
    <w:p w14:paraId="6102F89A" w14:textId="555C6EE9" w:rsidR="00426BBE" w:rsidRPr="00D04935" w:rsidRDefault="00426BBE" w:rsidP="00426BBE">
      <w:pPr>
        <w:spacing w:line="312" w:lineRule="auto"/>
        <w:ind w:firstLine="720"/>
        <w:jc w:val="both"/>
        <w:rPr>
          <w:rFonts w:ascii="Times New Roman" w:hAnsi="Times New Roman" w:cs="Times New Roman"/>
          <w:sz w:val="26"/>
          <w:szCs w:val="26"/>
          <w:lang w:val="vi-VN" w:eastAsia="en-US"/>
        </w:rPr>
      </w:pPr>
      <w:r w:rsidRPr="00D04935">
        <w:rPr>
          <w:rFonts w:ascii="Times New Roman" w:hAnsi="Times New Roman" w:cs="Times New Roman"/>
          <w:sz w:val="26"/>
          <w:szCs w:val="26"/>
          <w:lang w:val="vi-VN" w:eastAsia="en-US"/>
        </w:rPr>
        <w:t xml:space="preserve">Tóm lại, với đặc thù hoạt động trong lĩnh vực có mức độ rủi ro cao, chu kỳ vốn dài và yêu cầu về trách nhiệm xã hội lớn, các công ty cổ phần niêm yết thuộc TKV cần xây dựng cho mình một hệ thống tài chính vững chắc và linh hoạt. Việc triển khai đồng bộ </w:t>
      </w:r>
      <w:r w:rsidR="004E6AFE" w:rsidRPr="00F22BA5">
        <w:rPr>
          <w:rFonts w:ascii="Times New Roman" w:hAnsi="Times New Roman" w:cs="Times New Roman"/>
          <w:sz w:val="26"/>
          <w:szCs w:val="26"/>
          <w:lang w:val="vi-VN" w:eastAsia="en-US"/>
        </w:rPr>
        <w:t>các</w:t>
      </w:r>
      <w:r w:rsidRPr="00D04935">
        <w:rPr>
          <w:rFonts w:ascii="Times New Roman" w:hAnsi="Times New Roman" w:cs="Times New Roman"/>
          <w:sz w:val="26"/>
          <w:szCs w:val="26"/>
          <w:lang w:val="vi-VN" w:eastAsia="en-US"/>
        </w:rPr>
        <w:t xml:space="preserve"> giải pháp nêu trên không chỉ giúp các doanh nghiệp nâng cao </w:t>
      </w:r>
      <w:r w:rsidRPr="00D04935">
        <w:rPr>
          <w:rFonts w:ascii="Times New Roman" w:hAnsi="Times New Roman" w:cs="Times New Roman"/>
          <w:sz w:val="26"/>
          <w:szCs w:val="26"/>
          <w:lang w:val="vi-VN" w:eastAsia="en-US"/>
        </w:rPr>
        <w:lastRenderedPageBreak/>
        <w:t>mức độ an toàn tài chính mà còn tạo nền tảng cho sự phát triển ổn định, thích ứng với biến động và hội nhập quốc tế. Thành công trong việc thực hiện các giải pháp này sẽ đóng vai trò then chốt giúp TKV tiếp tục giữ vững vai trò trụ cột trong đảm bảo an ninh năng lượng quốc gia và phát triển kinh tế bền vững.</w:t>
      </w:r>
    </w:p>
    <w:p w14:paraId="393AC696" w14:textId="77777777" w:rsidR="002F29F9" w:rsidRDefault="002F29F9" w:rsidP="002F29F9">
      <w:pPr>
        <w:pStyle w:val="P1"/>
        <w:rPr>
          <w:lang w:val="vi-VN"/>
        </w:rPr>
      </w:pPr>
      <w:bookmarkStart w:id="305" w:name="_Toc197781213"/>
      <w:bookmarkStart w:id="306" w:name="_Toc197781496"/>
    </w:p>
    <w:p w14:paraId="50C93C25" w14:textId="77777777" w:rsidR="002F29F9" w:rsidRPr="00E0214B" w:rsidRDefault="002F29F9" w:rsidP="00E0214B">
      <w:pPr>
        <w:pStyle w:val="P1"/>
        <w:jc w:val="left"/>
      </w:pPr>
    </w:p>
    <w:p w14:paraId="25795BBA" w14:textId="77777777" w:rsidR="003803F6" w:rsidRDefault="003803F6">
      <w:pPr>
        <w:spacing w:after="160" w:line="259" w:lineRule="auto"/>
        <w:rPr>
          <w:rFonts w:asciiTheme="majorHAnsi" w:eastAsiaTheme="majorEastAsia" w:hAnsiTheme="majorHAnsi" w:cstheme="majorBidi"/>
          <w:b/>
          <w:color w:val="000000" w:themeColor="text1"/>
          <w:sz w:val="36"/>
          <w:szCs w:val="40"/>
          <w:lang w:val="vi-VN"/>
        </w:rPr>
      </w:pPr>
      <w:bookmarkStart w:id="307" w:name="_Toc198281687"/>
      <w:bookmarkStart w:id="308" w:name="_Toc198284472"/>
      <w:bookmarkStart w:id="309" w:name="_Toc198710016"/>
      <w:r>
        <w:rPr>
          <w:lang w:val="vi-VN"/>
        </w:rPr>
        <w:br w:type="page"/>
      </w:r>
    </w:p>
    <w:p w14:paraId="5304B0CD" w14:textId="29D68357" w:rsidR="00426BBE" w:rsidRPr="00D04935" w:rsidRDefault="00426BBE" w:rsidP="005B0517">
      <w:pPr>
        <w:pStyle w:val="Heading1"/>
        <w:rPr>
          <w:lang w:val="vi-VN" w:eastAsia="en-US"/>
        </w:rPr>
      </w:pPr>
      <w:r w:rsidRPr="00D04935">
        <w:rPr>
          <w:lang w:val="vi-VN"/>
        </w:rPr>
        <w:lastRenderedPageBreak/>
        <w:t xml:space="preserve">KẾT LUẬN </w:t>
      </w:r>
      <w:r w:rsidR="0053521F" w:rsidRPr="00F22BA5">
        <w:rPr>
          <w:lang w:val="vi-VN"/>
        </w:rPr>
        <w:t>PHẦN</w:t>
      </w:r>
      <w:r w:rsidRPr="00D04935">
        <w:rPr>
          <w:lang w:val="vi-VN"/>
        </w:rPr>
        <w:t xml:space="preserve"> 3</w:t>
      </w:r>
      <w:bookmarkEnd w:id="305"/>
      <w:bookmarkEnd w:id="306"/>
      <w:bookmarkEnd w:id="307"/>
      <w:bookmarkEnd w:id="308"/>
      <w:bookmarkEnd w:id="309"/>
    </w:p>
    <w:p w14:paraId="75FF96C4" w14:textId="26C73ECC" w:rsidR="00426BBE" w:rsidRPr="00D04935" w:rsidRDefault="00426BBE" w:rsidP="00426BBE">
      <w:p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Trong nộ</w:t>
      </w:r>
      <w:r w:rsidR="0053521F">
        <w:rPr>
          <w:rFonts w:ascii="Times New Roman" w:hAnsi="Times New Roman" w:cs="Times New Roman"/>
          <w:sz w:val="26"/>
          <w:szCs w:val="26"/>
          <w:lang w:val="vi-VN"/>
        </w:rPr>
        <w:t xml:space="preserve">i dung </w:t>
      </w:r>
      <w:r w:rsidR="0053521F" w:rsidRPr="00F22BA5">
        <w:rPr>
          <w:rFonts w:ascii="Times New Roman" w:hAnsi="Times New Roman" w:cs="Times New Roman"/>
          <w:sz w:val="26"/>
          <w:szCs w:val="26"/>
          <w:lang w:val="vi-VN"/>
        </w:rPr>
        <w:t xml:space="preserve">Phần </w:t>
      </w:r>
      <w:r w:rsidRPr="00D04935">
        <w:rPr>
          <w:rFonts w:ascii="Times New Roman" w:hAnsi="Times New Roman" w:cs="Times New Roman"/>
          <w:sz w:val="26"/>
          <w:szCs w:val="26"/>
          <w:lang w:val="vi-VN"/>
        </w:rPr>
        <w:t>3, nghiên cứ</w:t>
      </w:r>
      <w:r w:rsidR="004E6AFE">
        <w:rPr>
          <w:rFonts w:ascii="Times New Roman" w:hAnsi="Times New Roman" w:cs="Times New Roman"/>
          <w:sz w:val="26"/>
          <w:szCs w:val="26"/>
          <w:lang w:val="vi-VN"/>
        </w:rPr>
        <w:t xml:space="preserve">u đã </w:t>
      </w:r>
      <w:r w:rsidR="004E6AFE" w:rsidRPr="00F22BA5">
        <w:rPr>
          <w:rFonts w:ascii="Times New Roman" w:hAnsi="Times New Roman" w:cs="Times New Roman"/>
          <w:sz w:val="26"/>
          <w:szCs w:val="26"/>
          <w:lang w:val="vi-VN"/>
        </w:rPr>
        <w:t xml:space="preserve">nêu ra </w:t>
      </w:r>
      <w:r w:rsidRPr="00D04935">
        <w:rPr>
          <w:rFonts w:ascii="Times New Roman" w:hAnsi="Times New Roman" w:cs="Times New Roman"/>
          <w:sz w:val="26"/>
          <w:szCs w:val="26"/>
          <w:lang w:val="vi-VN"/>
        </w:rPr>
        <w:t>các vấn đề sau:</w:t>
      </w:r>
    </w:p>
    <w:p w14:paraId="6947C56D" w14:textId="3C1E4956" w:rsidR="00426BBE" w:rsidRPr="00D04935" w:rsidRDefault="00426BBE" w:rsidP="00426BBE">
      <w:pPr>
        <w:spacing w:line="312" w:lineRule="auto"/>
        <w:jc w:val="both"/>
        <w:rPr>
          <w:rFonts w:ascii="Times New Roman" w:hAnsi="Times New Roman" w:cs="Times New Roman"/>
          <w:sz w:val="26"/>
          <w:szCs w:val="26"/>
          <w:lang w:val="vi-VN"/>
        </w:rPr>
      </w:pPr>
      <w:r w:rsidRPr="00D04935">
        <w:rPr>
          <w:rFonts w:ascii="Times New Roman" w:hAnsi="Times New Roman" w:cs="Times New Roman"/>
          <w:i/>
          <w:iCs/>
          <w:sz w:val="26"/>
          <w:szCs w:val="26"/>
          <w:lang w:val="vi-VN"/>
        </w:rPr>
        <w:t>Thứ nhất,</w:t>
      </w:r>
      <w:r w:rsidRPr="00D04935">
        <w:rPr>
          <w:rFonts w:ascii="Times New Roman" w:hAnsi="Times New Roman" w:cs="Times New Roman"/>
          <w:sz w:val="26"/>
          <w:szCs w:val="26"/>
          <w:lang w:val="vi-VN"/>
        </w:rPr>
        <w:t xml:space="preserve"> định hướng phát triển nhằm đảm bảo an toàn tài chính của các công ty cổ phần </w:t>
      </w:r>
      <w:r w:rsidR="004E6AFE" w:rsidRPr="00F22BA5">
        <w:rPr>
          <w:rFonts w:ascii="Times New Roman" w:hAnsi="Times New Roman" w:cs="Times New Roman"/>
          <w:sz w:val="26"/>
          <w:szCs w:val="26"/>
          <w:lang w:val="vi-VN"/>
        </w:rPr>
        <w:t xml:space="preserve">than </w:t>
      </w:r>
      <w:r w:rsidRPr="00D04935">
        <w:rPr>
          <w:rFonts w:ascii="Times New Roman" w:hAnsi="Times New Roman" w:cs="Times New Roman"/>
          <w:sz w:val="26"/>
          <w:szCs w:val="26"/>
          <w:lang w:val="vi-VN"/>
        </w:rPr>
        <w:t>niêm yết</w:t>
      </w:r>
      <w:r w:rsidR="004E6AFE" w:rsidRPr="00F22BA5">
        <w:rPr>
          <w:rFonts w:ascii="Times New Roman" w:hAnsi="Times New Roman" w:cs="Times New Roman"/>
          <w:sz w:val="26"/>
          <w:szCs w:val="26"/>
          <w:lang w:val="vi-VN"/>
        </w:rPr>
        <w:t xml:space="preserve"> thuộc TKV</w:t>
      </w:r>
      <w:r w:rsidRPr="00D04935">
        <w:rPr>
          <w:rFonts w:ascii="Times New Roman" w:hAnsi="Times New Roman" w:cs="Times New Roman"/>
          <w:sz w:val="26"/>
          <w:szCs w:val="26"/>
          <w:lang w:val="vi-VN"/>
        </w:rPr>
        <w:t xml:space="preserve">. </w:t>
      </w:r>
    </w:p>
    <w:p w14:paraId="016DD9EB" w14:textId="236AE128" w:rsidR="00426BBE" w:rsidRPr="00D04935" w:rsidRDefault="00426BBE" w:rsidP="00426BBE">
      <w:pPr>
        <w:spacing w:line="312" w:lineRule="auto"/>
        <w:jc w:val="both"/>
        <w:rPr>
          <w:rFonts w:ascii="Times New Roman" w:hAnsi="Times New Roman" w:cs="Times New Roman"/>
          <w:sz w:val="26"/>
          <w:szCs w:val="26"/>
          <w:lang w:val="vi-VN"/>
        </w:rPr>
      </w:pPr>
      <w:r w:rsidRPr="00D04935">
        <w:rPr>
          <w:rFonts w:ascii="Times New Roman" w:hAnsi="Times New Roman" w:cs="Times New Roman"/>
          <w:i/>
          <w:iCs/>
          <w:sz w:val="26"/>
          <w:szCs w:val="26"/>
          <w:lang w:val="vi-VN"/>
        </w:rPr>
        <w:t>Thứ hai</w:t>
      </w:r>
      <w:r w:rsidRPr="00D04935">
        <w:rPr>
          <w:rFonts w:ascii="Times New Roman" w:hAnsi="Times New Roman" w:cs="Times New Roman"/>
          <w:sz w:val="26"/>
          <w:szCs w:val="26"/>
          <w:lang w:val="vi-VN"/>
        </w:rPr>
        <w:t>, đề xuấ</w:t>
      </w:r>
      <w:r w:rsidR="004E6AFE">
        <w:rPr>
          <w:rFonts w:ascii="Times New Roman" w:hAnsi="Times New Roman" w:cs="Times New Roman"/>
          <w:sz w:val="26"/>
          <w:szCs w:val="26"/>
          <w:lang w:val="vi-VN"/>
        </w:rPr>
        <w:t xml:space="preserve">t </w:t>
      </w:r>
      <w:r w:rsidR="004E6AFE" w:rsidRPr="00F22BA5">
        <w:rPr>
          <w:rFonts w:ascii="Times New Roman" w:hAnsi="Times New Roman" w:cs="Times New Roman"/>
          <w:sz w:val="26"/>
          <w:szCs w:val="26"/>
          <w:lang w:val="vi-VN"/>
        </w:rPr>
        <w:t xml:space="preserve">6 </w:t>
      </w:r>
      <w:r w:rsidRPr="00D04935">
        <w:rPr>
          <w:rFonts w:ascii="Times New Roman" w:hAnsi="Times New Roman" w:cs="Times New Roman"/>
          <w:sz w:val="26"/>
          <w:szCs w:val="26"/>
          <w:lang w:val="vi-VN"/>
        </w:rPr>
        <w:t>nhóm giải pháp nhằm đảm bảo an toàn tài chính của các công ty cổ phần niêm yết thuộc TKV nói chung và năm công ty phân tích nói riêng.</w:t>
      </w:r>
    </w:p>
    <w:p w14:paraId="6E4DAE63" w14:textId="77777777" w:rsidR="00426BBE" w:rsidRPr="00D04935" w:rsidRDefault="00426BBE" w:rsidP="00426BBE">
      <w:pPr>
        <w:spacing w:line="312" w:lineRule="auto"/>
        <w:ind w:firstLine="720"/>
        <w:jc w:val="both"/>
        <w:rPr>
          <w:rFonts w:ascii="Times New Roman" w:hAnsi="Times New Roman" w:cs="Times New Roman"/>
          <w:b/>
          <w:bCs/>
          <w:sz w:val="26"/>
          <w:szCs w:val="26"/>
          <w:lang w:val="vi-VN"/>
        </w:rPr>
      </w:pPr>
    </w:p>
    <w:p w14:paraId="3527F7A4" w14:textId="77777777" w:rsidR="00426BBE" w:rsidRPr="00D04935" w:rsidRDefault="00426BBE" w:rsidP="00426BBE">
      <w:pPr>
        <w:spacing w:line="312" w:lineRule="auto"/>
        <w:jc w:val="both"/>
        <w:rPr>
          <w:rFonts w:ascii="Times New Roman" w:hAnsi="Times New Roman" w:cs="Times New Roman"/>
          <w:sz w:val="26"/>
          <w:szCs w:val="26"/>
          <w:lang w:val="vi-VN"/>
        </w:rPr>
      </w:pPr>
    </w:p>
    <w:p w14:paraId="59540E57" w14:textId="77777777" w:rsidR="00426BBE" w:rsidRPr="00EC6124" w:rsidRDefault="00426BBE" w:rsidP="00426BBE">
      <w:pPr>
        <w:spacing w:line="312" w:lineRule="auto"/>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br w:type="page"/>
      </w:r>
    </w:p>
    <w:p w14:paraId="08B70F8D" w14:textId="77777777" w:rsidR="00426BBE" w:rsidRPr="00D04935" w:rsidRDefault="00426BBE" w:rsidP="005B0517">
      <w:pPr>
        <w:pStyle w:val="Heading1"/>
        <w:rPr>
          <w:lang w:val="vi-VN"/>
        </w:rPr>
      </w:pPr>
      <w:bookmarkStart w:id="310" w:name="_Toc197781214"/>
      <w:bookmarkStart w:id="311" w:name="_Toc197781497"/>
      <w:bookmarkStart w:id="312" w:name="_Toc198281688"/>
      <w:bookmarkStart w:id="313" w:name="_Toc198284473"/>
      <w:bookmarkStart w:id="314" w:name="_Toc198710017"/>
      <w:r w:rsidRPr="00D04935">
        <w:rPr>
          <w:lang w:val="vi-VN"/>
        </w:rPr>
        <w:lastRenderedPageBreak/>
        <w:t>KẾT LUẬN</w:t>
      </w:r>
      <w:bookmarkEnd w:id="310"/>
      <w:bookmarkEnd w:id="311"/>
      <w:bookmarkEnd w:id="312"/>
      <w:bookmarkEnd w:id="313"/>
      <w:bookmarkEnd w:id="314"/>
    </w:p>
    <w:p w14:paraId="71DC55EF"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Trong điều kiện kinh tế thị trường đang ngày càng mở rộng và hội nhập, các doanh nghiệp nói chung và các công ty cổ phần niêm yết nói riêng không chỉ phải đối mặt với áp lực cạnh tranh gia tăng mà còn chịu ảnh hưởng mạnh mẽ từ các yếu tố kinh tế vĩ mô, biến động thị trường, giá cả đầu vào và thay đổi trong chính sách quản lý của Nhà nước. Trong bối cảnh đó, vấn đề đảm bảo an toàn tài chính được xem là một trong những yếu tố quan trọng hàng đầu để doanh nghiệp có thể duy trì sự ổn định, nâng cao năng lực cạnh tranh và phát triển bền vững trong dài hạn.</w:t>
      </w:r>
    </w:p>
    <w:p w14:paraId="2CD99721"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Đề tài </w:t>
      </w:r>
      <w:r w:rsidRPr="00D04935">
        <w:rPr>
          <w:rFonts w:ascii="Times New Roman" w:hAnsi="Times New Roman" w:cs="Times New Roman"/>
          <w:i/>
          <w:iCs/>
          <w:sz w:val="26"/>
          <w:szCs w:val="26"/>
          <w:lang w:val="vi-VN"/>
        </w:rPr>
        <w:t>“Nghiên cứu an toàn tài chính của các công ty cổ phần niêm yết thuộc Tập đoàn Công nghiệp Than - Khoáng sản Việt Nam (TKV)”</w:t>
      </w:r>
      <w:r w:rsidRPr="00D04935">
        <w:rPr>
          <w:rFonts w:ascii="Times New Roman" w:hAnsi="Times New Roman" w:cs="Times New Roman"/>
          <w:sz w:val="26"/>
          <w:szCs w:val="26"/>
          <w:lang w:val="vi-VN"/>
        </w:rPr>
        <w:t xml:space="preserve"> tập trung khảo sát 5 công ty bao gồm: Công ty Cổ phần Than Vàng Danh, Than Mông Dương, Than Hà Lầm, Than Hà Tu và Than Núi Béo trong giai đoạn 2019–2023. Bài nghiên cứu được triển khai theo ba nội dung chính: (1) Hệ thống hóa cơ sở lý luận về an toàn tài chính trong doanh nghiệp; (2) Phân tích, đánh giá thực trạng an toàn tài chính tại các công ty cổ phần niêm yết thuộc TKV; và (3) Đề xuất các giải pháp nhằm cải thiện tình hình tài chính, nâng cao mức độ an toàn tài chính trong thời gian tới.</w:t>
      </w:r>
    </w:p>
    <w:p w14:paraId="328796A5"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Về mặt lý luận, nghiên cứu đã làm rõ khái niệm, vai trò, các tiêu chí đánh giá cũng như các nhân tố ảnh hưởng đến an toàn tài chính của doanh nghiệp. Những nội dung này đóng vai trò là nền tảng lý thuyết quan trọng, giúp định hướng phân tích thực tiễn và đưa ra các đề xuất phù hợp. Theo đó, an toàn tài chính được hiểu là trạng thái mà doanh nghiệp có khả năng đảm bảo đầy đủ các nghĩa vụ tài chính ngắn hạn và dài hạn, đồng thời duy trì được sự cân bằng trong cơ cấu tài chính, đảm bảo hiệu quả sử dụng vốn và hạn chế tối đa các rủi ro tài chính có thể phát sinh.</w:t>
      </w:r>
    </w:p>
    <w:p w14:paraId="16AB00A0"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Trên cơ sở lý luận đã trình bày, nghiên cứu thực trạng tài chính tại 5 công ty cổ phần niêm yết thuộc TKV trong giai đoạn 2019–2023 cho thấy, nhìn chung các doanh nghiệp đều duy trì được khả năng thanh toán ngắn hạn và có những nỗ lực đáng ghi nhận trong việc kiểm soát chi phí, tái cơ cấu nguồn vốn và cải thiện hiệu quả hoạt động. Tuy nhiên, thực tế vẫn tồn tại những bất cập, chẳng hạn như tỷ lệ nợ phải trả còn cao ở một số doanh nghiệp, khả năng sinh lời còn thiếu ổn định, đặc biệt là trong giai đoạn chịu ảnh hưởng từ dịch COVID-19 và biến động giá cả nguyên nhiên vật liệu. Ngoài ra, hiệu quả sử dụng tài sản và vốn chưa tương xứng với quy mô tài sản đang nắm giữ, điều này thể hiện qua các chỉ tiêu như tổng tài sản quay vòng chậm, lợi nhuận trên vốn chủ sở hữu còn thấp hoặc biến động lớn giữa các năm.</w:t>
      </w:r>
    </w:p>
    <w:p w14:paraId="5298E24D" w14:textId="731D0DBC" w:rsidR="00426BBE" w:rsidRPr="00F22BA5" w:rsidRDefault="00426BBE" w:rsidP="004E6AF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lastRenderedPageBreak/>
        <w:t>Trước những tồn tại đó, nhóm nghiên cứu đã đề xuất một số kiến nghị nhằm nâng cao mức độ an toàn tài chính cho các công ty cổ phần niêm yết thuộc TKV</w:t>
      </w:r>
      <w:r w:rsidR="004E6AFE" w:rsidRPr="00F22BA5">
        <w:rPr>
          <w:rFonts w:ascii="Times New Roman" w:hAnsi="Times New Roman" w:cs="Times New Roman"/>
          <w:sz w:val="26"/>
          <w:szCs w:val="26"/>
          <w:lang w:val="vi-VN"/>
        </w:rPr>
        <w:t>.</w:t>
      </w:r>
    </w:p>
    <w:p w14:paraId="4E2E73EC" w14:textId="0E20D3C2" w:rsidR="00426BBE" w:rsidRPr="00F22BA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 xml:space="preserve">Tóm lại, nghiên cứu không chỉ cung cấp cái nhìn toàn diện về thực trạng an toàn tài chính của các công ty cổ phần niêm yết thuộc TKV mà còn đóng vai trò định hướng trong việc xây dựng các giải pháp thiết thực, khả thi giúp các doanh nghiệp nâng cao năng lực tài chính, từ đó tạo nền tảng cho sự phát triển ổn định và bền vững trong tương lai. Mặc dù còn những hạn chế nhất định về phạm vi nghiên cứu và khả năng tiếp cận dữ liệu chi tiết, đề tài hy vọng sẽ là tài liệu tham khảo hữu ích </w:t>
      </w:r>
      <w:r w:rsidR="004E6AFE" w:rsidRPr="00F22BA5">
        <w:rPr>
          <w:rFonts w:ascii="Times New Roman" w:hAnsi="Times New Roman" w:cs="Times New Roman"/>
          <w:sz w:val="26"/>
          <w:szCs w:val="26"/>
          <w:lang w:val="vi-VN"/>
        </w:rPr>
        <w:t>những người quan tâm.</w:t>
      </w:r>
    </w:p>
    <w:p w14:paraId="6721F74E"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Mặc dù đã có nhiều cố gắng nhưng thời gian, kinh nghiệm nghiên cứu còn nhiều hạn chế nên bài nghiên cứu không tránh khỏi thiếu sót. Rất mong nhận được ý kiến đánh giá của các thầy cô trong hội đồng để bài nghiên cứu hoàn thiện hơn.</w:t>
      </w:r>
    </w:p>
    <w:p w14:paraId="1D194B9F" w14:textId="77777777" w:rsidR="00426BBE" w:rsidRPr="00D04935" w:rsidRDefault="00426BBE" w:rsidP="00426BBE">
      <w:pPr>
        <w:spacing w:line="312" w:lineRule="auto"/>
        <w:ind w:firstLine="720"/>
        <w:jc w:val="both"/>
        <w:rPr>
          <w:rFonts w:ascii="Times New Roman" w:hAnsi="Times New Roman" w:cs="Times New Roman"/>
          <w:sz w:val="26"/>
          <w:szCs w:val="26"/>
          <w:lang w:val="vi-VN"/>
        </w:rPr>
      </w:pPr>
      <w:r w:rsidRPr="00D04935">
        <w:rPr>
          <w:rFonts w:ascii="Times New Roman" w:hAnsi="Times New Roman" w:cs="Times New Roman"/>
          <w:sz w:val="26"/>
          <w:szCs w:val="26"/>
          <w:lang w:val="vi-VN"/>
        </w:rPr>
        <w:t>Nhóm nghiên cứu chúng em trân trọng cảm ơn!</w:t>
      </w:r>
    </w:p>
    <w:p w14:paraId="6E76D5E5" w14:textId="73859D17" w:rsidR="00426BBE" w:rsidRDefault="00426BBE" w:rsidP="00426BBE">
      <w:pPr>
        <w:spacing w:line="312" w:lineRule="auto"/>
        <w:jc w:val="both"/>
        <w:rPr>
          <w:rFonts w:ascii="Times New Roman" w:hAnsi="Times New Roman" w:cs="Times New Roman"/>
          <w:sz w:val="26"/>
          <w:szCs w:val="26"/>
          <w:lang w:val="vi-VN"/>
        </w:rPr>
      </w:pPr>
    </w:p>
    <w:p w14:paraId="67E8678D" w14:textId="65CAF72D" w:rsidR="00897558" w:rsidRDefault="00897558" w:rsidP="00426BBE">
      <w:pPr>
        <w:spacing w:line="312" w:lineRule="auto"/>
        <w:jc w:val="both"/>
        <w:rPr>
          <w:rFonts w:ascii="Times New Roman" w:hAnsi="Times New Roman" w:cs="Times New Roman"/>
          <w:sz w:val="26"/>
          <w:szCs w:val="26"/>
          <w:lang w:val="vi-VN"/>
        </w:rPr>
      </w:pPr>
    </w:p>
    <w:p w14:paraId="3679604D" w14:textId="18F9E7DE" w:rsidR="00897558" w:rsidRDefault="00897558" w:rsidP="00426BBE">
      <w:pPr>
        <w:spacing w:line="312" w:lineRule="auto"/>
        <w:jc w:val="both"/>
        <w:rPr>
          <w:rFonts w:ascii="Times New Roman" w:hAnsi="Times New Roman" w:cs="Times New Roman"/>
          <w:sz w:val="26"/>
          <w:szCs w:val="26"/>
          <w:lang w:val="vi-VN"/>
        </w:rPr>
      </w:pPr>
    </w:p>
    <w:p w14:paraId="4640F69B" w14:textId="094E87DE" w:rsidR="00897558" w:rsidRDefault="00897558" w:rsidP="00426BBE">
      <w:pPr>
        <w:spacing w:line="312" w:lineRule="auto"/>
        <w:jc w:val="both"/>
        <w:rPr>
          <w:rFonts w:ascii="Times New Roman" w:hAnsi="Times New Roman" w:cs="Times New Roman"/>
          <w:sz w:val="26"/>
          <w:szCs w:val="26"/>
          <w:lang w:val="vi-VN"/>
        </w:rPr>
      </w:pPr>
    </w:p>
    <w:p w14:paraId="24BF181B" w14:textId="78942356" w:rsidR="00897558" w:rsidRDefault="00897558" w:rsidP="00426BBE">
      <w:pPr>
        <w:spacing w:line="312" w:lineRule="auto"/>
        <w:jc w:val="both"/>
        <w:rPr>
          <w:rFonts w:ascii="Times New Roman" w:hAnsi="Times New Roman" w:cs="Times New Roman"/>
          <w:sz w:val="26"/>
          <w:szCs w:val="26"/>
          <w:lang w:val="vi-VN"/>
        </w:rPr>
      </w:pPr>
    </w:p>
    <w:p w14:paraId="661C9546" w14:textId="25CEEA12" w:rsidR="00897558" w:rsidRDefault="00897558" w:rsidP="00426BBE">
      <w:pPr>
        <w:spacing w:line="312" w:lineRule="auto"/>
        <w:jc w:val="both"/>
        <w:rPr>
          <w:rFonts w:ascii="Times New Roman" w:hAnsi="Times New Roman" w:cs="Times New Roman"/>
          <w:sz w:val="26"/>
          <w:szCs w:val="26"/>
          <w:lang w:val="vi-VN"/>
        </w:rPr>
      </w:pPr>
    </w:p>
    <w:p w14:paraId="0DF67C66" w14:textId="1AE5809F" w:rsidR="00897558" w:rsidRDefault="00897558" w:rsidP="00426BBE">
      <w:pPr>
        <w:spacing w:line="312" w:lineRule="auto"/>
        <w:jc w:val="both"/>
        <w:rPr>
          <w:rFonts w:ascii="Times New Roman" w:hAnsi="Times New Roman" w:cs="Times New Roman"/>
          <w:sz w:val="26"/>
          <w:szCs w:val="26"/>
          <w:lang w:val="vi-VN"/>
        </w:rPr>
      </w:pPr>
    </w:p>
    <w:p w14:paraId="71840EA7" w14:textId="1213FAD9" w:rsidR="00897558" w:rsidRDefault="00897558" w:rsidP="00426BBE">
      <w:pPr>
        <w:spacing w:line="312" w:lineRule="auto"/>
        <w:jc w:val="both"/>
        <w:rPr>
          <w:rFonts w:ascii="Times New Roman" w:hAnsi="Times New Roman" w:cs="Times New Roman"/>
          <w:sz w:val="26"/>
          <w:szCs w:val="26"/>
          <w:lang w:val="vi-VN"/>
        </w:rPr>
      </w:pPr>
    </w:p>
    <w:p w14:paraId="238B0776" w14:textId="39F93512" w:rsidR="00897558" w:rsidRDefault="00897558" w:rsidP="00426BBE">
      <w:pPr>
        <w:spacing w:line="312" w:lineRule="auto"/>
        <w:jc w:val="both"/>
        <w:rPr>
          <w:rFonts w:ascii="Times New Roman" w:hAnsi="Times New Roman" w:cs="Times New Roman"/>
          <w:sz w:val="26"/>
          <w:szCs w:val="26"/>
          <w:lang w:val="vi-VN"/>
        </w:rPr>
      </w:pPr>
    </w:p>
    <w:p w14:paraId="2875C297" w14:textId="5F9691B3" w:rsidR="00897558" w:rsidRDefault="00897558" w:rsidP="00426BBE">
      <w:pPr>
        <w:spacing w:line="312" w:lineRule="auto"/>
        <w:jc w:val="both"/>
        <w:rPr>
          <w:rFonts w:ascii="Times New Roman" w:hAnsi="Times New Roman" w:cs="Times New Roman"/>
          <w:sz w:val="26"/>
          <w:szCs w:val="26"/>
          <w:lang w:val="vi-VN"/>
        </w:rPr>
      </w:pPr>
    </w:p>
    <w:p w14:paraId="2E6060D6" w14:textId="0EDB2938" w:rsidR="00897558" w:rsidRDefault="00897558" w:rsidP="00426BBE">
      <w:pPr>
        <w:spacing w:line="312" w:lineRule="auto"/>
        <w:jc w:val="both"/>
        <w:rPr>
          <w:rFonts w:ascii="Times New Roman" w:hAnsi="Times New Roman" w:cs="Times New Roman"/>
          <w:sz w:val="26"/>
          <w:szCs w:val="26"/>
          <w:lang w:val="vi-VN"/>
        </w:rPr>
      </w:pPr>
    </w:p>
    <w:p w14:paraId="08C8F721" w14:textId="03BAAF98" w:rsidR="00897558" w:rsidRDefault="00897558" w:rsidP="00426BBE">
      <w:pPr>
        <w:spacing w:line="312" w:lineRule="auto"/>
        <w:jc w:val="both"/>
        <w:rPr>
          <w:rFonts w:ascii="Times New Roman" w:hAnsi="Times New Roman" w:cs="Times New Roman"/>
          <w:sz w:val="26"/>
          <w:szCs w:val="26"/>
          <w:lang w:val="vi-VN"/>
        </w:rPr>
      </w:pPr>
    </w:p>
    <w:p w14:paraId="2BEF0DB2" w14:textId="16759F55" w:rsidR="00897558" w:rsidRDefault="00897558" w:rsidP="00426BBE">
      <w:pPr>
        <w:spacing w:line="312" w:lineRule="auto"/>
        <w:jc w:val="both"/>
        <w:rPr>
          <w:rFonts w:ascii="Times New Roman" w:hAnsi="Times New Roman" w:cs="Times New Roman"/>
          <w:sz w:val="26"/>
          <w:szCs w:val="26"/>
          <w:lang w:val="vi-VN"/>
        </w:rPr>
      </w:pPr>
    </w:p>
    <w:p w14:paraId="396E365A" w14:textId="3714CE50" w:rsidR="00897558" w:rsidRDefault="00897558" w:rsidP="00426BBE">
      <w:pPr>
        <w:spacing w:line="312" w:lineRule="auto"/>
        <w:jc w:val="both"/>
        <w:rPr>
          <w:rFonts w:ascii="Times New Roman" w:hAnsi="Times New Roman" w:cs="Times New Roman"/>
          <w:sz w:val="26"/>
          <w:szCs w:val="26"/>
          <w:lang w:val="vi-VN"/>
        </w:rPr>
      </w:pPr>
    </w:p>
    <w:p w14:paraId="343BB658" w14:textId="65C12CBD" w:rsidR="00897558" w:rsidRDefault="00897558" w:rsidP="00426BBE">
      <w:pPr>
        <w:spacing w:line="312" w:lineRule="auto"/>
        <w:jc w:val="both"/>
        <w:rPr>
          <w:rFonts w:ascii="Times New Roman" w:hAnsi="Times New Roman" w:cs="Times New Roman"/>
          <w:sz w:val="26"/>
          <w:szCs w:val="26"/>
          <w:lang w:val="vi-VN"/>
        </w:rPr>
      </w:pPr>
    </w:p>
    <w:p w14:paraId="3EDE29EC" w14:textId="6BE235FA" w:rsidR="00897558" w:rsidRDefault="00897558" w:rsidP="00426BBE">
      <w:pPr>
        <w:spacing w:line="312" w:lineRule="auto"/>
        <w:jc w:val="both"/>
        <w:rPr>
          <w:rFonts w:ascii="Times New Roman" w:hAnsi="Times New Roman" w:cs="Times New Roman"/>
          <w:sz w:val="26"/>
          <w:szCs w:val="26"/>
          <w:lang w:val="vi-VN"/>
        </w:rPr>
      </w:pPr>
    </w:p>
    <w:p w14:paraId="603D9FC8" w14:textId="46C2BDD9" w:rsidR="00897558" w:rsidRDefault="00897558" w:rsidP="00426BBE">
      <w:pPr>
        <w:spacing w:line="312" w:lineRule="auto"/>
        <w:jc w:val="both"/>
        <w:rPr>
          <w:rFonts w:ascii="Times New Roman" w:hAnsi="Times New Roman" w:cs="Times New Roman"/>
          <w:sz w:val="26"/>
          <w:szCs w:val="26"/>
          <w:lang w:val="vi-VN"/>
        </w:rPr>
      </w:pPr>
    </w:p>
    <w:p w14:paraId="37FA0353" w14:textId="4A2665E6" w:rsidR="00897558" w:rsidRDefault="00897558" w:rsidP="00426BBE">
      <w:pPr>
        <w:spacing w:line="312" w:lineRule="auto"/>
        <w:jc w:val="both"/>
        <w:rPr>
          <w:rFonts w:ascii="Times New Roman" w:hAnsi="Times New Roman" w:cs="Times New Roman"/>
          <w:sz w:val="26"/>
          <w:szCs w:val="26"/>
          <w:lang w:val="vi-VN"/>
        </w:rPr>
      </w:pPr>
    </w:p>
    <w:p w14:paraId="3E2015D7" w14:textId="08D3706B" w:rsidR="00897558" w:rsidRDefault="00897558" w:rsidP="00426BBE">
      <w:pPr>
        <w:spacing w:line="312" w:lineRule="auto"/>
        <w:jc w:val="both"/>
        <w:rPr>
          <w:rFonts w:ascii="Times New Roman" w:hAnsi="Times New Roman" w:cs="Times New Roman"/>
          <w:sz w:val="26"/>
          <w:szCs w:val="26"/>
          <w:lang w:val="vi-VN"/>
        </w:rPr>
      </w:pPr>
    </w:p>
    <w:p w14:paraId="328C7198" w14:textId="577D8339" w:rsidR="00897558" w:rsidRDefault="00897558" w:rsidP="00426BBE">
      <w:pPr>
        <w:spacing w:line="312" w:lineRule="auto"/>
        <w:jc w:val="both"/>
        <w:rPr>
          <w:rFonts w:ascii="Times New Roman" w:hAnsi="Times New Roman" w:cs="Times New Roman"/>
          <w:sz w:val="26"/>
          <w:szCs w:val="26"/>
          <w:lang w:val="vi-VN"/>
        </w:rPr>
      </w:pPr>
    </w:p>
    <w:p w14:paraId="05200D15" w14:textId="17042F5C" w:rsidR="00897558" w:rsidRDefault="00897558" w:rsidP="00426BBE">
      <w:pPr>
        <w:spacing w:line="312" w:lineRule="auto"/>
        <w:jc w:val="both"/>
        <w:rPr>
          <w:rFonts w:ascii="Times New Roman" w:hAnsi="Times New Roman" w:cs="Times New Roman"/>
          <w:sz w:val="26"/>
          <w:szCs w:val="26"/>
          <w:lang w:val="vi-VN"/>
        </w:rPr>
      </w:pPr>
    </w:p>
    <w:p w14:paraId="16999692" w14:textId="09E5F206" w:rsidR="00897558" w:rsidRDefault="00897558" w:rsidP="00426BBE">
      <w:pPr>
        <w:spacing w:line="312" w:lineRule="auto"/>
        <w:jc w:val="both"/>
        <w:rPr>
          <w:rFonts w:ascii="Times New Roman" w:hAnsi="Times New Roman" w:cs="Times New Roman"/>
          <w:sz w:val="26"/>
          <w:szCs w:val="26"/>
          <w:lang w:val="vi-VN"/>
        </w:rPr>
      </w:pPr>
    </w:p>
    <w:p w14:paraId="55827DE3" w14:textId="756C2D4D" w:rsidR="00897558" w:rsidRDefault="00897558" w:rsidP="00426BBE">
      <w:pPr>
        <w:spacing w:line="312" w:lineRule="auto"/>
        <w:jc w:val="both"/>
        <w:rPr>
          <w:rFonts w:ascii="Times New Roman" w:hAnsi="Times New Roman" w:cs="Times New Roman"/>
          <w:sz w:val="26"/>
          <w:szCs w:val="26"/>
          <w:lang w:val="vi-VN"/>
        </w:rPr>
      </w:pPr>
    </w:p>
    <w:p w14:paraId="062F4AE2" w14:textId="7D0891C6" w:rsidR="00897558" w:rsidRDefault="00897558" w:rsidP="005B0517">
      <w:pPr>
        <w:pStyle w:val="Heading1"/>
        <w:rPr>
          <w:lang w:val="vi-VN"/>
        </w:rPr>
      </w:pPr>
      <w:bookmarkStart w:id="315" w:name="_Toc198710018"/>
      <w:r w:rsidRPr="00B564BE">
        <w:rPr>
          <w:lang w:val="vi-VN"/>
        </w:rPr>
        <w:lastRenderedPageBreak/>
        <w:t>TÀI LIỆU THAM KHẢO</w:t>
      </w:r>
      <w:bookmarkEnd w:id="315"/>
    </w:p>
    <w:p w14:paraId="55A38FB1" w14:textId="2717C9A7" w:rsidR="00B50C69" w:rsidRPr="00B50C69" w:rsidRDefault="00B50C69" w:rsidP="00B50C69">
      <w:pPr>
        <w:spacing w:line="312" w:lineRule="auto"/>
        <w:rPr>
          <w:rFonts w:ascii="Times New Roman" w:hAnsi="Times New Roman" w:cs="Times New Roman"/>
          <w:sz w:val="26"/>
          <w:szCs w:val="26"/>
          <w:lang w:val="vi-VN"/>
        </w:rPr>
      </w:pPr>
      <w:r>
        <w:rPr>
          <w:rFonts w:ascii="Times New Roman" w:hAnsi="Times New Roman" w:cs="Times New Roman"/>
          <w:sz w:val="26"/>
          <w:szCs w:val="26"/>
          <w:lang w:val="vi-VN"/>
        </w:rPr>
        <w:t>1. Các báo cáo tài chính hàng năm của các công ty cổ phần niêm yết thuộc TKV giai đoạn 2019 – 2023.</w:t>
      </w:r>
    </w:p>
    <w:p w14:paraId="5D97536F" w14:textId="77777777" w:rsidR="00B50C69" w:rsidRDefault="00B50C69" w:rsidP="00776056">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2</w:t>
      </w:r>
      <w:r w:rsidR="00776056">
        <w:rPr>
          <w:rFonts w:ascii="Times New Roman" w:hAnsi="Times New Roman" w:cs="Times New Roman"/>
          <w:sz w:val="26"/>
          <w:szCs w:val="26"/>
          <w:lang w:val="vi-VN"/>
        </w:rPr>
        <w:t xml:space="preserve">. Nguyễn Quốc </w:t>
      </w:r>
      <w:r w:rsidR="00DE7CE1">
        <w:rPr>
          <w:rFonts w:ascii="Times New Roman" w:hAnsi="Times New Roman" w:cs="Times New Roman"/>
          <w:sz w:val="26"/>
          <w:szCs w:val="26"/>
          <w:lang w:val="vi-VN"/>
        </w:rPr>
        <w:t xml:space="preserve">Anh, </w:t>
      </w:r>
      <w:r w:rsidR="00776056">
        <w:rPr>
          <w:rFonts w:ascii="Times New Roman" w:hAnsi="Times New Roman" w:cs="Times New Roman"/>
          <w:sz w:val="26"/>
          <w:szCs w:val="26"/>
          <w:lang w:val="vi-VN"/>
        </w:rPr>
        <w:t>(2021), An toàn tài chính của các Ngân hàng thương mại cổ phần niêm yết tại Việt Nam, Luận án tiến sĩ, Học viện tài chính.</w:t>
      </w:r>
    </w:p>
    <w:p w14:paraId="6FDF1419" w14:textId="2C4CA999" w:rsidR="002F29F9" w:rsidRDefault="00B50C69" w:rsidP="00776056">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3</w:t>
      </w:r>
      <w:r w:rsidR="00DE7CE1">
        <w:rPr>
          <w:rFonts w:ascii="Times New Roman" w:hAnsi="Times New Roman" w:cs="Times New Roman"/>
          <w:sz w:val="26"/>
          <w:szCs w:val="26"/>
          <w:lang w:val="vi-VN"/>
        </w:rPr>
        <w:t xml:space="preserve">. PGS.TS. Bùi Văn Vần, </w:t>
      </w:r>
      <w:r w:rsidR="00130403">
        <w:rPr>
          <w:rFonts w:ascii="Times New Roman" w:hAnsi="Times New Roman" w:cs="Times New Roman"/>
          <w:sz w:val="26"/>
          <w:szCs w:val="26"/>
          <w:lang w:val="vi-VN"/>
        </w:rPr>
        <w:t>PGS.TS. Vũ Văn Ninh, (2023), Giáo trình Tài chính doanh nghiệp, NXB Tài chính.</w:t>
      </w:r>
    </w:p>
    <w:p w14:paraId="12F045F7" w14:textId="4E3B4DEC" w:rsidR="00130403" w:rsidRDefault="00B50C69" w:rsidP="00776056">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4</w:t>
      </w:r>
      <w:r w:rsidR="00130403">
        <w:rPr>
          <w:rFonts w:ascii="Times New Roman" w:hAnsi="Times New Roman" w:cs="Times New Roman"/>
          <w:sz w:val="26"/>
          <w:szCs w:val="26"/>
          <w:lang w:val="vi-VN"/>
        </w:rPr>
        <w:t>. Ths. Nguyễn Tiến Hưng, Ths. Phạm Thị Nguyệt, (2014), Một số vấn đề lý luận về an toàn tài chính doanh nghiệp, Quản lý Ngân quỹ Quốc gia.</w:t>
      </w:r>
    </w:p>
    <w:p w14:paraId="70ECF79D" w14:textId="2760080F" w:rsidR="00130403" w:rsidRPr="00776056" w:rsidRDefault="00B50C69" w:rsidP="00776056">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5</w:t>
      </w:r>
      <w:r w:rsidR="00130403">
        <w:rPr>
          <w:rFonts w:ascii="Times New Roman" w:hAnsi="Times New Roman" w:cs="Times New Roman"/>
          <w:sz w:val="26"/>
          <w:szCs w:val="26"/>
          <w:lang w:val="vi-VN"/>
        </w:rPr>
        <w:t xml:space="preserve">. </w:t>
      </w:r>
      <w:r w:rsidR="00E67018">
        <w:rPr>
          <w:rFonts w:ascii="Times New Roman" w:hAnsi="Times New Roman" w:cs="Times New Roman"/>
          <w:sz w:val="26"/>
          <w:szCs w:val="26"/>
          <w:lang w:val="vi-VN"/>
        </w:rPr>
        <w:t>Luật Doanh nghiệp, (2022), Khoản 1, Điều 111, Quy định về Công ty cổ phần.</w:t>
      </w:r>
    </w:p>
    <w:p w14:paraId="17C42698" w14:textId="509F3413" w:rsidR="00133F6A" w:rsidRDefault="00B50C69" w:rsidP="00426BBE">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6</w:t>
      </w:r>
      <w:r w:rsidR="00E67018">
        <w:rPr>
          <w:rFonts w:ascii="Times New Roman" w:hAnsi="Times New Roman" w:cs="Times New Roman"/>
          <w:sz w:val="26"/>
          <w:szCs w:val="26"/>
          <w:lang w:val="vi-VN"/>
        </w:rPr>
        <w:t xml:space="preserve">. </w:t>
      </w:r>
      <w:r w:rsidR="00810A24">
        <w:rPr>
          <w:rFonts w:ascii="Times New Roman" w:hAnsi="Times New Roman" w:cs="Times New Roman"/>
          <w:sz w:val="26"/>
          <w:szCs w:val="26"/>
          <w:lang w:val="vi-VN"/>
        </w:rPr>
        <w:t>Luật sư Lê Minh Trường, (2024), Đặc điểm, đặc trưng công ty cổ phần, Luật Minh Khuê.</w:t>
      </w:r>
    </w:p>
    <w:p w14:paraId="6466616E" w14:textId="1A044361" w:rsidR="00261175" w:rsidRPr="00261175" w:rsidRDefault="00B50C69" w:rsidP="00261175">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7</w:t>
      </w:r>
      <w:r w:rsidR="00261175">
        <w:rPr>
          <w:rFonts w:ascii="Times New Roman" w:hAnsi="Times New Roman" w:cs="Times New Roman"/>
          <w:sz w:val="26"/>
          <w:szCs w:val="26"/>
          <w:lang w:val="vi-VN"/>
        </w:rPr>
        <w:t xml:space="preserve">. </w:t>
      </w:r>
      <w:r w:rsidR="00261175" w:rsidRPr="00261175">
        <w:rPr>
          <w:rFonts w:ascii="Times New Roman" w:hAnsi="Times New Roman" w:cs="Times New Roman"/>
          <w:sz w:val="26"/>
          <w:szCs w:val="26"/>
          <w:lang w:val="vi-VN"/>
        </w:rPr>
        <w:t xml:space="preserve">Nguyễn Văn </w:t>
      </w:r>
      <w:r w:rsidR="00261175">
        <w:rPr>
          <w:rFonts w:ascii="Times New Roman" w:hAnsi="Times New Roman" w:cs="Times New Roman"/>
          <w:sz w:val="26"/>
          <w:szCs w:val="26"/>
          <w:lang w:val="vi-VN"/>
        </w:rPr>
        <w:t>A,</w:t>
      </w:r>
      <w:r w:rsidR="00261175" w:rsidRPr="00261175">
        <w:rPr>
          <w:rFonts w:ascii="Times New Roman" w:hAnsi="Times New Roman" w:cs="Times New Roman"/>
          <w:sz w:val="26"/>
          <w:szCs w:val="26"/>
          <w:lang w:val="vi-VN"/>
        </w:rPr>
        <w:t xml:space="preserve"> (2020)</w:t>
      </w:r>
      <w:r w:rsidR="00261175">
        <w:rPr>
          <w:rFonts w:ascii="Times New Roman" w:hAnsi="Times New Roman" w:cs="Times New Roman"/>
          <w:sz w:val="26"/>
          <w:szCs w:val="26"/>
          <w:lang w:val="vi-VN"/>
        </w:rPr>
        <w:t>,</w:t>
      </w:r>
      <w:r w:rsidR="00261175" w:rsidRPr="00261175">
        <w:rPr>
          <w:rFonts w:ascii="Times New Roman" w:hAnsi="Times New Roman" w:cs="Times New Roman"/>
          <w:sz w:val="26"/>
          <w:szCs w:val="26"/>
          <w:lang w:val="vi-VN"/>
        </w:rPr>
        <w:t xml:space="preserve"> Quản lý tài chính doanh nghiệp trong bối cảnh nền kinh tế thị </w:t>
      </w:r>
      <w:r w:rsidR="00261175">
        <w:rPr>
          <w:rFonts w:ascii="Times New Roman" w:hAnsi="Times New Roman" w:cs="Times New Roman"/>
          <w:sz w:val="26"/>
          <w:szCs w:val="26"/>
          <w:lang w:val="vi-VN"/>
        </w:rPr>
        <w:t xml:space="preserve">trường, </w:t>
      </w:r>
      <w:r w:rsidR="00261175" w:rsidRPr="00261175">
        <w:rPr>
          <w:rFonts w:ascii="Times New Roman" w:hAnsi="Times New Roman" w:cs="Times New Roman"/>
          <w:sz w:val="26"/>
          <w:szCs w:val="26"/>
          <w:lang w:val="vi-VN"/>
        </w:rPr>
        <w:t>NXB Kinh tế.</w:t>
      </w:r>
    </w:p>
    <w:p w14:paraId="46B4A6F5" w14:textId="78AE63F6" w:rsidR="00261175" w:rsidRDefault="00B50C69" w:rsidP="00261175">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8</w:t>
      </w:r>
      <w:r w:rsidR="00261175">
        <w:rPr>
          <w:rFonts w:ascii="Times New Roman" w:hAnsi="Times New Roman" w:cs="Times New Roman"/>
          <w:sz w:val="26"/>
          <w:szCs w:val="26"/>
          <w:lang w:val="vi-VN"/>
        </w:rPr>
        <w:t xml:space="preserve">. </w:t>
      </w:r>
      <w:r w:rsidR="00261175" w:rsidRPr="00261175">
        <w:rPr>
          <w:rFonts w:ascii="Times New Roman" w:hAnsi="Times New Roman" w:cs="Times New Roman"/>
          <w:sz w:val="26"/>
          <w:szCs w:val="26"/>
          <w:lang w:val="vi-VN"/>
        </w:rPr>
        <w:t xml:space="preserve">Phan Minh </w:t>
      </w:r>
      <w:r w:rsidR="00261175">
        <w:rPr>
          <w:rFonts w:ascii="Times New Roman" w:hAnsi="Times New Roman" w:cs="Times New Roman"/>
          <w:sz w:val="26"/>
          <w:szCs w:val="26"/>
          <w:lang w:val="vi-VN"/>
        </w:rPr>
        <w:t>Tâm,</w:t>
      </w:r>
      <w:r w:rsidR="00261175" w:rsidRPr="00261175">
        <w:rPr>
          <w:rFonts w:ascii="Times New Roman" w:hAnsi="Times New Roman" w:cs="Times New Roman"/>
          <w:sz w:val="26"/>
          <w:szCs w:val="26"/>
          <w:lang w:val="vi-VN"/>
        </w:rPr>
        <w:t xml:space="preserve"> (2018)</w:t>
      </w:r>
      <w:r w:rsidR="00261175">
        <w:rPr>
          <w:rFonts w:ascii="Times New Roman" w:hAnsi="Times New Roman" w:cs="Times New Roman"/>
          <w:sz w:val="26"/>
          <w:szCs w:val="26"/>
          <w:lang w:val="vi-VN"/>
        </w:rPr>
        <w:t>,</w:t>
      </w:r>
      <w:r w:rsidR="00261175" w:rsidRPr="00261175">
        <w:rPr>
          <w:rFonts w:ascii="Times New Roman" w:hAnsi="Times New Roman" w:cs="Times New Roman"/>
          <w:sz w:val="26"/>
          <w:szCs w:val="26"/>
          <w:lang w:val="vi-VN"/>
        </w:rPr>
        <w:t xml:space="preserve"> An toàn tài chính và các yếu tố quyết định trong công ty cổ </w:t>
      </w:r>
      <w:r w:rsidR="00261175">
        <w:rPr>
          <w:rFonts w:ascii="Times New Roman" w:hAnsi="Times New Roman" w:cs="Times New Roman"/>
          <w:sz w:val="26"/>
          <w:szCs w:val="26"/>
          <w:lang w:val="vi-VN"/>
        </w:rPr>
        <w:t xml:space="preserve">phần, </w:t>
      </w:r>
      <w:r w:rsidR="00261175" w:rsidRPr="00261175">
        <w:rPr>
          <w:rFonts w:ascii="Times New Roman" w:hAnsi="Times New Roman" w:cs="Times New Roman"/>
          <w:sz w:val="26"/>
          <w:szCs w:val="26"/>
          <w:lang w:val="vi-VN"/>
        </w:rPr>
        <w:t>Tạp chí Tài chính.</w:t>
      </w:r>
    </w:p>
    <w:p w14:paraId="69270B56" w14:textId="26E66EA1" w:rsidR="00737011" w:rsidRDefault="00737011" w:rsidP="00261175">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9. Ts. Lê Minh Thống, Phạm Thanh Phương, (2021), Thực trạng tình hình tài chính của các công ty cổ phần khai thác than trên thị trường chứng khoán Việt Nam, Báo Công thương.</w:t>
      </w:r>
    </w:p>
    <w:p w14:paraId="4C5ED357" w14:textId="4A7CE0B8" w:rsidR="00737011" w:rsidRDefault="00737011" w:rsidP="00261175">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10. Các chỉ tiêu tài chính của TKV được bảo đảm, duy trì tốt, (2023), Báo Năng lượng Việt Nam.</w:t>
      </w:r>
    </w:p>
    <w:p w14:paraId="71E6CEC2" w14:textId="33C5C44B" w:rsidR="00737011" w:rsidRPr="00261175" w:rsidRDefault="00737011" w:rsidP="00261175">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11. Các chỉ tiêu về tài chính của TKV được bảo đảm tốt (2023), Báo Điện tử Chính Phủ.</w:t>
      </w:r>
    </w:p>
    <w:p w14:paraId="23AF842B" w14:textId="62492409" w:rsidR="00737011" w:rsidRDefault="00737011" w:rsidP="00426BBE">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12</w:t>
      </w:r>
      <w:r w:rsidR="00F4354A">
        <w:rPr>
          <w:rFonts w:ascii="Times New Roman" w:hAnsi="Times New Roman" w:cs="Times New Roman"/>
          <w:sz w:val="26"/>
          <w:szCs w:val="26"/>
          <w:lang w:val="vi-VN"/>
        </w:rPr>
        <w:t xml:space="preserve">. Ts. Lưu Thị Thu Hà, (2019), Vốn cho đầu tư phát triển than của TKV: Thực </w:t>
      </w:r>
      <w:r>
        <w:rPr>
          <w:rFonts w:ascii="Times New Roman" w:hAnsi="Times New Roman" w:cs="Times New Roman"/>
          <w:sz w:val="26"/>
          <w:szCs w:val="26"/>
          <w:lang w:val="vi-VN"/>
        </w:rPr>
        <w:t>trạ</w:t>
      </w:r>
      <w:r w:rsidR="00F4354A">
        <w:rPr>
          <w:rFonts w:ascii="Times New Roman" w:hAnsi="Times New Roman" w:cs="Times New Roman"/>
          <w:sz w:val="26"/>
          <w:szCs w:val="26"/>
          <w:lang w:val="vi-VN"/>
        </w:rPr>
        <w:t>ng và giải pháp, Báo Năng lượng Việt Nam.</w:t>
      </w:r>
    </w:p>
    <w:p w14:paraId="1A980383" w14:textId="719C2AC1" w:rsidR="00737011" w:rsidRDefault="00737011" w:rsidP="00426BBE">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13. Nâng cao hiệu quả quản trị chi phí tại Tập đoàn Công nghiệp Than – Khoáng sản Việt Nam, (2027), Tạp chí Tài chính.</w:t>
      </w:r>
    </w:p>
    <w:p w14:paraId="6C46D49C" w14:textId="620509F7" w:rsidR="00B50C69" w:rsidRDefault="00737011" w:rsidP="00426BBE">
      <w:pPr>
        <w:spacing w:line="312" w:lineRule="auto"/>
        <w:jc w:val="both"/>
        <w:rPr>
          <w:rFonts w:ascii="Times New Roman" w:hAnsi="Times New Roman" w:cs="Times New Roman"/>
          <w:sz w:val="26"/>
          <w:szCs w:val="26"/>
          <w:lang w:val="vi-VN"/>
        </w:rPr>
      </w:pPr>
      <w:r>
        <w:rPr>
          <w:rFonts w:ascii="Times New Roman" w:hAnsi="Times New Roman" w:cs="Times New Roman"/>
          <w:sz w:val="26"/>
          <w:szCs w:val="26"/>
          <w:lang w:val="vi-VN"/>
        </w:rPr>
        <w:t>14</w:t>
      </w:r>
      <w:r w:rsidR="00F4354A">
        <w:rPr>
          <w:rFonts w:ascii="Times New Roman" w:hAnsi="Times New Roman" w:cs="Times New Roman"/>
          <w:sz w:val="26"/>
          <w:szCs w:val="26"/>
          <w:lang w:val="vi-VN"/>
        </w:rPr>
        <w:t>. 25 năm thành lập TKV: Hành trình không ngừng kiến tạo để bứt phá, (2019), Báo Năng lượng Việt Nam.</w:t>
      </w:r>
    </w:p>
    <w:p w14:paraId="72457E26" w14:textId="77777777" w:rsidR="00F4354A" w:rsidRDefault="00F4354A" w:rsidP="00426BBE">
      <w:pPr>
        <w:spacing w:line="312" w:lineRule="auto"/>
        <w:jc w:val="both"/>
        <w:rPr>
          <w:rFonts w:ascii="Times New Roman" w:hAnsi="Times New Roman" w:cs="Times New Roman"/>
          <w:sz w:val="26"/>
          <w:szCs w:val="26"/>
          <w:lang w:val="vi-VN"/>
        </w:rPr>
      </w:pPr>
    </w:p>
    <w:p w14:paraId="6A48F229" w14:textId="77777777" w:rsidR="00E25210" w:rsidRPr="00133F6A" w:rsidRDefault="00E25210" w:rsidP="00426BBE">
      <w:pPr>
        <w:spacing w:line="312" w:lineRule="auto"/>
        <w:jc w:val="both"/>
        <w:rPr>
          <w:rFonts w:ascii="Times New Roman" w:hAnsi="Times New Roman" w:cs="Times New Roman"/>
          <w:sz w:val="26"/>
          <w:szCs w:val="26"/>
          <w:lang w:val="vi-VN"/>
        </w:rPr>
      </w:pPr>
    </w:p>
    <w:p w14:paraId="5FF8A8CD" w14:textId="77777777" w:rsidR="00426BBE" w:rsidRPr="00D04935" w:rsidRDefault="00426BBE" w:rsidP="00426BBE">
      <w:pPr>
        <w:spacing w:line="312" w:lineRule="auto"/>
        <w:jc w:val="both"/>
        <w:rPr>
          <w:rFonts w:ascii="Times New Roman" w:hAnsi="Times New Roman" w:cs="Times New Roman"/>
          <w:sz w:val="26"/>
          <w:szCs w:val="26"/>
          <w:lang w:val="vi-VN"/>
        </w:rPr>
      </w:pPr>
    </w:p>
    <w:sectPr w:rsidR="00426BBE" w:rsidRPr="00D04935" w:rsidSect="003803F6">
      <w:footerReference w:type="default" r:id="rId43"/>
      <w:pgSz w:w="11906" w:h="16838" w:code="9"/>
      <w:pgMar w:top="1440" w:right="1440" w:bottom="1440"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728256" w14:textId="77777777" w:rsidR="00DE6A61" w:rsidRDefault="00DE6A61">
      <w:r>
        <w:separator/>
      </w:r>
    </w:p>
  </w:endnote>
  <w:endnote w:type="continuationSeparator" w:id="0">
    <w:p w14:paraId="0F743F2E" w14:textId="77777777" w:rsidR="00DE6A61" w:rsidRDefault="00DE6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443802685"/>
      <w:docPartObj>
        <w:docPartGallery w:val="Page Numbers (Bottom of Page)"/>
        <w:docPartUnique/>
      </w:docPartObj>
    </w:sdtPr>
    <w:sdtEndPr>
      <w:rPr>
        <w:rStyle w:val="PageNumber"/>
        <w:rFonts w:asciiTheme="majorHAnsi" w:hAnsiTheme="majorHAnsi" w:cstheme="majorHAnsi"/>
      </w:rPr>
    </w:sdtEndPr>
    <w:sdtContent>
      <w:p w14:paraId="5A299A7C" w14:textId="77777777" w:rsidR="003803F6" w:rsidRPr="003803F6" w:rsidRDefault="003803F6" w:rsidP="00897A44">
        <w:pPr>
          <w:pStyle w:val="Footer"/>
          <w:framePr w:wrap="none" w:vAnchor="text" w:hAnchor="margin" w:xAlign="center" w:y="1"/>
          <w:rPr>
            <w:rStyle w:val="PageNumber"/>
            <w:rFonts w:asciiTheme="majorHAnsi" w:hAnsiTheme="majorHAnsi" w:cstheme="majorHAnsi"/>
          </w:rPr>
        </w:pPr>
        <w:r w:rsidRPr="003803F6">
          <w:rPr>
            <w:rStyle w:val="PageNumber"/>
            <w:rFonts w:asciiTheme="majorHAnsi" w:hAnsiTheme="majorHAnsi" w:cstheme="majorHAnsi"/>
          </w:rPr>
          <w:fldChar w:fldCharType="begin"/>
        </w:r>
        <w:r w:rsidRPr="003803F6">
          <w:rPr>
            <w:rStyle w:val="PageNumber"/>
            <w:rFonts w:asciiTheme="majorHAnsi" w:hAnsiTheme="majorHAnsi" w:cstheme="majorHAnsi"/>
          </w:rPr>
          <w:instrText xml:space="preserve"> PAGE </w:instrText>
        </w:r>
        <w:r w:rsidRPr="003803F6">
          <w:rPr>
            <w:rStyle w:val="PageNumber"/>
            <w:rFonts w:asciiTheme="majorHAnsi" w:hAnsiTheme="majorHAnsi" w:cstheme="majorHAnsi"/>
          </w:rPr>
          <w:fldChar w:fldCharType="separate"/>
        </w:r>
        <w:r>
          <w:rPr>
            <w:rStyle w:val="PageNumber"/>
            <w:rFonts w:asciiTheme="majorHAnsi" w:hAnsiTheme="majorHAnsi" w:cstheme="majorHAnsi"/>
            <w:noProof/>
          </w:rPr>
          <w:t>iii</w:t>
        </w:r>
        <w:r w:rsidRPr="003803F6">
          <w:rPr>
            <w:rStyle w:val="PageNumber"/>
            <w:rFonts w:asciiTheme="majorHAnsi" w:hAnsiTheme="majorHAnsi" w:cstheme="majorHAnsi"/>
          </w:rPr>
          <w:fldChar w:fldCharType="end"/>
        </w:r>
      </w:p>
    </w:sdtContent>
  </w:sdt>
  <w:p w14:paraId="09187D70" w14:textId="77777777" w:rsidR="003803F6" w:rsidRPr="001909AC" w:rsidRDefault="003803F6">
    <w:pPr>
      <w:pStyle w:val="Footer"/>
      <w:rPr>
        <w:lang w:val="vi-V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544867169"/>
      <w:docPartObj>
        <w:docPartGallery w:val="Page Numbers (Bottom of Page)"/>
        <w:docPartUnique/>
      </w:docPartObj>
    </w:sdtPr>
    <w:sdtEndPr>
      <w:rPr>
        <w:rStyle w:val="PageNumber"/>
        <w:rFonts w:asciiTheme="majorHAnsi" w:hAnsiTheme="majorHAnsi" w:cstheme="majorHAnsi"/>
      </w:rPr>
    </w:sdtEndPr>
    <w:sdtContent>
      <w:p w14:paraId="3E3B8F90" w14:textId="77777777" w:rsidR="003803F6" w:rsidRPr="003803F6" w:rsidRDefault="003803F6" w:rsidP="00897A44">
        <w:pPr>
          <w:pStyle w:val="Footer"/>
          <w:framePr w:wrap="none" w:vAnchor="text" w:hAnchor="margin" w:xAlign="center" w:y="1"/>
          <w:rPr>
            <w:rStyle w:val="PageNumber"/>
            <w:rFonts w:asciiTheme="majorHAnsi" w:hAnsiTheme="majorHAnsi" w:cstheme="majorHAnsi"/>
          </w:rPr>
        </w:pPr>
        <w:r w:rsidRPr="003803F6">
          <w:rPr>
            <w:rStyle w:val="PageNumber"/>
            <w:rFonts w:asciiTheme="majorHAnsi" w:hAnsiTheme="majorHAnsi" w:cstheme="majorHAnsi"/>
          </w:rPr>
          <w:fldChar w:fldCharType="begin"/>
        </w:r>
        <w:r w:rsidRPr="003803F6">
          <w:rPr>
            <w:rStyle w:val="PageNumber"/>
            <w:rFonts w:asciiTheme="majorHAnsi" w:hAnsiTheme="majorHAnsi" w:cstheme="majorHAnsi"/>
          </w:rPr>
          <w:instrText xml:space="preserve"> PAGE </w:instrText>
        </w:r>
        <w:r w:rsidRPr="003803F6">
          <w:rPr>
            <w:rStyle w:val="PageNumber"/>
            <w:rFonts w:asciiTheme="majorHAnsi" w:hAnsiTheme="majorHAnsi" w:cstheme="majorHAnsi"/>
          </w:rPr>
          <w:fldChar w:fldCharType="separate"/>
        </w:r>
        <w:r>
          <w:rPr>
            <w:rStyle w:val="PageNumber"/>
            <w:rFonts w:asciiTheme="majorHAnsi" w:hAnsiTheme="majorHAnsi" w:cstheme="majorHAnsi"/>
            <w:noProof/>
          </w:rPr>
          <w:t>2</w:t>
        </w:r>
        <w:r w:rsidRPr="003803F6">
          <w:rPr>
            <w:rStyle w:val="PageNumber"/>
            <w:rFonts w:asciiTheme="majorHAnsi" w:hAnsiTheme="majorHAnsi" w:cstheme="majorHAnsi"/>
          </w:rPr>
          <w:fldChar w:fldCharType="end"/>
        </w:r>
      </w:p>
    </w:sdtContent>
  </w:sdt>
  <w:p w14:paraId="0DFF5431" w14:textId="77777777" w:rsidR="003803F6" w:rsidRPr="001909AC" w:rsidRDefault="003803F6">
    <w:pPr>
      <w:pStyle w:val="Footer"/>
      <w:rPr>
        <w:lang w:val="vi-V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B56882" w14:textId="77777777" w:rsidR="00DE6A61" w:rsidRDefault="00DE6A61">
      <w:r>
        <w:separator/>
      </w:r>
    </w:p>
  </w:footnote>
  <w:footnote w:type="continuationSeparator" w:id="0">
    <w:p w14:paraId="4C43B418" w14:textId="77777777" w:rsidR="00DE6A61" w:rsidRDefault="00DE6A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921D9"/>
    <w:multiLevelType w:val="hybridMultilevel"/>
    <w:tmpl w:val="0714F5EE"/>
    <w:lvl w:ilvl="0" w:tplc="E0B6446A">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A3C596E"/>
    <w:multiLevelType w:val="multilevel"/>
    <w:tmpl w:val="39B2C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7112D5"/>
    <w:multiLevelType w:val="hybridMultilevel"/>
    <w:tmpl w:val="91584EB4"/>
    <w:lvl w:ilvl="0" w:tplc="04090009">
      <w:start w:val="1"/>
      <w:numFmt w:val="bullet"/>
      <w:lvlText w:val=""/>
      <w:lvlJc w:val="left"/>
      <w:pPr>
        <w:ind w:left="2160" w:hanging="360"/>
      </w:pPr>
      <w:rPr>
        <w:rFonts w:ascii="Wingdings" w:hAnsi="Wingdings" w:hint="default"/>
        <w:b/>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3">
    <w:nsid w:val="0C8048DE"/>
    <w:multiLevelType w:val="multilevel"/>
    <w:tmpl w:val="7D3A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D8788E"/>
    <w:multiLevelType w:val="multilevel"/>
    <w:tmpl w:val="69FA2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A93861"/>
    <w:multiLevelType w:val="multilevel"/>
    <w:tmpl w:val="538454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5BA2D78"/>
    <w:multiLevelType w:val="multilevel"/>
    <w:tmpl w:val="08D8B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8052A53"/>
    <w:multiLevelType w:val="multilevel"/>
    <w:tmpl w:val="0030A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E805CE"/>
    <w:multiLevelType w:val="multilevel"/>
    <w:tmpl w:val="A6C2F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C67600"/>
    <w:multiLevelType w:val="multilevel"/>
    <w:tmpl w:val="F922116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644" w:hanging="360"/>
      </w:pPr>
      <w:rPr>
        <w:rFonts w:hint="default"/>
        <w:b/>
        <w:bCs w:val="0"/>
        <w:i/>
        <w:iCs/>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A276055"/>
    <w:multiLevelType w:val="multilevel"/>
    <w:tmpl w:val="B68A4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6050A3"/>
    <w:multiLevelType w:val="multilevel"/>
    <w:tmpl w:val="A32A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0E2B29"/>
    <w:multiLevelType w:val="hybridMultilevel"/>
    <w:tmpl w:val="EAC8C316"/>
    <w:lvl w:ilvl="0" w:tplc="B2EA605E">
      <w:start w:val="1"/>
      <w:numFmt w:val="lowerLetter"/>
      <w:lvlText w:val="%1."/>
      <w:lvlJc w:val="left"/>
      <w:pPr>
        <w:ind w:left="786" w:hanging="360"/>
      </w:pPr>
      <w:rPr>
        <w:rFonts w:hint="default"/>
        <w:b w:val="0"/>
        <w:bCs/>
      </w:rPr>
    </w:lvl>
    <w:lvl w:ilvl="1" w:tplc="E236EE76">
      <w:start w:val="1"/>
      <w:numFmt w:val="bullet"/>
      <w:lvlText w:val="-"/>
      <w:lvlJc w:val="left"/>
      <w:pPr>
        <w:ind w:left="1440" w:hanging="360"/>
      </w:pPr>
      <w:rPr>
        <w:rFonts w:ascii="Times New Roman" w:eastAsiaTheme="minorHAnsi" w:hAnsi="Times New Roman" w:cs="Times New Roman" w:hint="default"/>
        <w:b/>
      </w:r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3">
    <w:nsid w:val="3C815FEB"/>
    <w:multiLevelType w:val="multilevel"/>
    <w:tmpl w:val="F2BE2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244C40"/>
    <w:multiLevelType w:val="multilevel"/>
    <w:tmpl w:val="04F4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D2B5BB4"/>
    <w:multiLevelType w:val="multilevel"/>
    <w:tmpl w:val="8FBEE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9136D0"/>
    <w:multiLevelType w:val="hybridMultilevel"/>
    <w:tmpl w:val="F7F2BE8E"/>
    <w:lvl w:ilvl="0" w:tplc="042A0001">
      <w:start w:val="1"/>
      <w:numFmt w:val="bullet"/>
      <w:lvlText w:val=""/>
      <w:lvlJc w:val="left"/>
      <w:pPr>
        <w:ind w:left="720" w:hanging="360"/>
      </w:pPr>
      <w:rPr>
        <w:rFonts w:ascii="Symbol" w:hAnsi="Symbol" w:hint="default"/>
      </w:rPr>
    </w:lvl>
    <w:lvl w:ilvl="1" w:tplc="042A0001">
      <w:start w:val="1"/>
      <w:numFmt w:val="bullet"/>
      <w:lvlText w:val=""/>
      <w:lvlJc w:val="left"/>
      <w:pPr>
        <w:ind w:left="720" w:hanging="360"/>
      </w:pPr>
      <w:rPr>
        <w:rFonts w:ascii="Symbol" w:hAnsi="Symbol"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
    <w:nsid w:val="452C647A"/>
    <w:multiLevelType w:val="hybridMultilevel"/>
    <w:tmpl w:val="EF566578"/>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
    <w:nsid w:val="461D0140"/>
    <w:multiLevelType w:val="multilevel"/>
    <w:tmpl w:val="64B03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9C337A"/>
    <w:multiLevelType w:val="multilevel"/>
    <w:tmpl w:val="21D2C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E32B09"/>
    <w:multiLevelType w:val="multilevel"/>
    <w:tmpl w:val="44CE1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F35413"/>
    <w:multiLevelType w:val="multilevel"/>
    <w:tmpl w:val="28FA4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AD30D1"/>
    <w:multiLevelType w:val="hybridMultilevel"/>
    <w:tmpl w:val="0CE2A002"/>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
    <w:nsid w:val="54A15D24"/>
    <w:multiLevelType w:val="multilevel"/>
    <w:tmpl w:val="0D82B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413388"/>
    <w:multiLevelType w:val="hybridMultilevel"/>
    <w:tmpl w:val="497A5C0C"/>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
    <w:nsid w:val="627E5446"/>
    <w:multiLevelType w:val="multilevel"/>
    <w:tmpl w:val="9636F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BA015CA"/>
    <w:multiLevelType w:val="hybridMultilevel"/>
    <w:tmpl w:val="436ACD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6C0B2BFF"/>
    <w:multiLevelType w:val="multilevel"/>
    <w:tmpl w:val="12140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FE6240C"/>
    <w:multiLevelType w:val="multilevel"/>
    <w:tmpl w:val="3D600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1D371E5"/>
    <w:multiLevelType w:val="multilevel"/>
    <w:tmpl w:val="6BF05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2D34821"/>
    <w:multiLevelType w:val="multilevel"/>
    <w:tmpl w:val="30C6777E"/>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Times New Roman" w:eastAsiaTheme="minorEastAsia"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2"/>
  </w:num>
  <w:num w:numId="4">
    <w:abstractNumId w:val="29"/>
  </w:num>
  <w:num w:numId="5">
    <w:abstractNumId w:val="3"/>
  </w:num>
  <w:num w:numId="6">
    <w:abstractNumId w:val="14"/>
  </w:num>
  <w:num w:numId="7">
    <w:abstractNumId w:val="13"/>
  </w:num>
  <w:num w:numId="8">
    <w:abstractNumId w:val="1"/>
  </w:num>
  <w:num w:numId="9">
    <w:abstractNumId w:val="28"/>
  </w:num>
  <w:num w:numId="10">
    <w:abstractNumId w:val="10"/>
  </w:num>
  <w:num w:numId="11">
    <w:abstractNumId w:val="30"/>
  </w:num>
  <w:num w:numId="12">
    <w:abstractNumId w:val="6"/>
  </w:num>
  <w:num w:numId="13">
    <w:abstractNumId w:val="21"/>
  </w:num>
  <w:num w:numId="14">
    <w:abstractNumId w:val="4"/>
  </w:num>
  <w:num w:numId="15">
    <w:abstractNumId w:val="25"/>
  </w:num>
  <w:num w:numId="16">
    <w:abstractNumId w:val="20"/>
  </w:num>
  <w:num w:numId="17">
    <w:abstractNumId w:val="8"/>
  </w:num>
  <w:num w:numId="18">
    <w:abstractNumId w:val="11"/>
  </w:num>
  <w:num w:numId="19">
    <w:abstractNumId w:val="18"/>
  </w:num>
  <w:num w:numId="20">
    <w:abstractNumId w:val="15"/>
  </w:num>
  <w:num w:numId="21">
    <w:abstractNumId w:val="7"/>
  </w:num>
  <w:num w:numId="22">
    <w:abstractNumId w:val="27"/>
  </w:num>
  <w:num w:numId="23">
    <w:abstractNumId w:val="19"/>
  </w:num>
  <w:num w:numId="24">
    <w:abstractNumId w:val="16"/>
  </w:num>
  <w:num w:numId="25">
    <w:abstractNumId w:val="22"/>
  </w:num>
  <w:num w:numId="26">
    <w:abstractNumId w:val="23"/>
  </w:num>
  <w:num w:numId="27">
    <w:abstractNumId w:val="17"/>
  </w:num>
  <w:num w:numId="28">
    <w:abstractNumId w:val="24"/>
  </w:num>
  <w:num w:numId="29">
    <w:abstractNumId w:val="2"/>
  </w:num>
  <w:num w:numId="30">
    <w:abstractNumId w:val="0"/>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704"/>
    <w:rsid w:val="0002299B"/>
    <w:rsid w:val="000611A4"/>
    <w:rsid w:val="00072258"/>
    <w:rsid w:val="00077D9D"/>
    <w:rsid w:val="00093EB9"/>
    <w:rsid w:val="000A137F"/>
    <w:rsid w:val="000E6DD7"/>
    <w:rsid w:val="000F76F5"/>
    <w:rsid w:val="00111E4D"/>
    <w:rsid w:val="00123036"/>
    <w:rsid w:val="00125213"/>
    <w:rsid w:val="0012569A"/>
    <w:rsid w:val="00126E2E"/>
    <w:rsid w:val="00130403"/>
    <w:rsid w:val="00133F6A"/>
    <w:rsid w:val="0014204A"/>
    <w:rsid w:val="00142681"/>
    <w:rsid w:val="001A5CDF"/>
    <w:rsid w:val="001A609F"/>
    <w:rsid w:val="00222BA7"/>
    <w:rsid w:val="00222BEF"/>
    <w:rsid w:val="002234CB"/>
    <w:rsid w:val="00245C60"/>
    <w:rsid w:val="00261175"/>
    <w:rsid w:val="002868E3"/>
    <w:rsid w:val="002C2762"/>
    <w:rsid w:val="002C3015"/>
    <w:rsid w:val="002F29F9"/>
    <w:rsid w:val="0030059C"/>
    <w:rsid w:val="0031049D"/>
    <w:rsid w:val="00323194"/>
    <w:rsid w:val="003331B9"/>
    <w:rsid w:val="00344FD4"/>
    <w:rsid w:val="0035608A"/>
    <w:rsid w:val="00364B42"/>
    <w:rsid w:val="003803F6"/>
    <w:rsid w:val="00383389"/>
    <w:rsid w:val="00385AFA"/>
    <w:rsid w:val="00395B91"/>
    <w:rsid w:val="003A3D75"/>
    <w:rsid w:val="003F5AA7"/>
    <w:rsid w:val="00404429"/>
    <w:rsid w:val="00423C0C"/>
    <w:rsid w:val="00426BBE"/>
    <w:rsid w:val="00427A0C"/>
    <w:rsid w:val="00451383"/>
    <w:rsid w:val="00452F88"/>
    <w:rsid w:val="004642E6"/>
    <w:rsid w:val="0047156E"/>
    <w:rsid w:val="00475A01"/>
    <w:rsid w:val="004A1CD3"/>
    <w:rsid w:val="004B6704"/>
    <w:rsid w:val="004E1831"/>
    <w:rsid w:val="004E5208"/>
    <w:rsid w:val="004E6AFE"/>
    <w:rsid w:val="004E7AEE"/>
    <w:rsid w:val="005025B3"/>
    <w:rsid w:val="005101B6"/>
    <w:rsid w:val="00533E45"/>
    <w:rsid w:val="0053521F"/>
    <w:rsid w:val="005543F8"/>
    <w:rsid w:val="005B0517"/>
    <w:rsid w:val="005D058C"/>
    <w:rsid w:val="005D1700"/>
    <w:rsid w:val="005F4105"/>
    <w:rsid w:val="006216C0"/>
    <w:rsid w:val="00621F59"/>
    <w:rsid w:val="006510B3"/>
    <w:rsid w:val="00656441"/>
    <w:rsid w:val="006F14BD"/>
    <w:rsid w:val="006F423D"/>
    <w:rsid w:val="006F50D4"/>
    <w:rsid w:val="007064E6"/>
    <w:rsid w:val="007315EC"/>
    <w:rsid w:val="007320CF"/>
    <w:rsid w:val="00737011"/>
    <w:rsid w:val="00746D80"/>
    <w:rsid w:val="007541B0"/>
    <w:rsid w:val="00776056"/>
    <w:rsid w:val="00777F4F"/>
    <w:rsid w:val="00781A1C"/>
    <w:rsid w:val="00782CA7"/>
    <w:rsid w:val="007875A8"/>
    <w:rsid w:val="00790B60"/>
    <w:rsid w:val="007D42DA"/>
    <w:rsid w:val="007E0874"/>
    <w:rsid w:val="007E3CD8"/>
    <w:rsid w:val="007F3CCC"/>
    <w:rsid w:val="007F5150"/>
    <w:rsid w:val="00810A24"/>
    <w:rsid w:val="008344F6"/>
    <w:rsid w:val="00836D62"/>
    <w:rsid w:val="00850C5E"/>
    <w:rsid w:val="00874841"/>
    <w:rsid w:val="00897558"/>
    <w:rsid w:val="00897A44"/>
    <w:rsid w:val="008A5BBD"/>
    <w:rsid w:val="008A6405"/>
    <w:rsid w:val="008B5AD7"/>
    <w:rsid w:val="00913F0A"/>
    <w:rsid w:val="00934C37"/>
    <w:rsid w:val="00965C0C"/>
    <w:rsid w:val="00973841"/>
    <w:rsid w:val="00981FB0"/>
    <w:rsid w:val="009A55C2"/>
    <w:rsid w:val="009B6EBB"/>
    <w:rsid w:val="009C5163"/>
    <w:rsid w:val="009C63E9"/>
    <w:rsid w:val="009D3D34"/>
    <w:rsid w:val="00A20928"/>
    <w:rsid w:val="00A63445"/>
    <w:rsid w:val="00A9641B"/>
    <w:rsid w:val="00AA3F15"/>
    <w:rsid w:val="00AA4064"/>
    <w:rsid w:val="00AC0D52"/>
    <w:rsid w:val="00AC731E"/>
    <w:rsid w:val="00AE625B"/>
    <w:rsid w:val="00AF3D5D"/>
    <w:rsid w:val="00B07C20"/>
    <w:rsid w:val="00B1640A"/>
    <w:rsid w:val="00B167D1"/>
    <w:rsid w:val="00B233B7"/>
    <w:rsid w:val="00B269A5"/>
    <w:rsid w:val="00B26AA9"/>
    <w:rsid w:val="00B31327"/>
    <w:rsid w:val="00B322EC"/>
    <w:rsid w:val="00B50C69"/>
    <w:rsid w:val="00B564BE"/>
    <w:rsid w:val="00B647D3"/>
    <w:rsid w:val="00B77808"/>
    <w:rsid w:val="00B93611"/>
    <w:rsid w:val="00B94E0B"/>
    <w:rsid w:val="00C07A85"/>
    <w:rsid w:val="00C2547D"/>
    <w:rsid w:val="00C50F89"/>
    <w:rsid w:val="00C719D8"/>
    <w:rsid w:val="00C96C53"/>
    <w:rsid w:val="00CA6AC4"/>
    <w:rsid w:val="00D0499A"/>
    <w:rsid w:val="00D25297"/>
    <w:rsid w:val="00D40EE7"/>
    <w:rsid w:val="00D624BD"/>
    <w:rsid w:val="00D73EE0"/>
    <w:rsid w:val="00DA4446"/>
    <w:rsid w:val="00DC2FCF"/>
    <w:rsid w:val="00DD1665"/>
    <w:rsid w:val="00DD4FB5"/>
    <w:rsid w:val="00DE6A61"/>
    <w:rsid w:val="00DE7CE1"/>
    <w:rsid w:val="00E0214B"/>
    <w:rsid w:val="00E12B9E"/>
    <w:rsid w:val="00E12E90"/>
    <w:rsid w:val="00E25210"/>
    <w:rsid w:val="00E26A94"/>
    <w:rsid w:val="00E3242B"/>
    <w:rsid w:val="00E45D8D"/>
    <w:rsid w:val="00E502B8"/>
    <w:rsid w:val="00E54ABA"/>
    <w:rsid w:val="00E67018"/>
    <w:rsid w:val="00E73895"/>
    <w:rsid w:val="00E91BC5"/>
    <w:rsid w:val="00EA1777"/>
    <w:rsid w:val="00EB49DB"/>
    <w:rsid w:val="00EC7E73"/>
    <w:rsid w:val="00ED419E"/>
    <w:rsid w:val="00F0274E"/>
    <w:rsid w:val="00F04AF0"/>
    <w:rsid w:val="00F12D21"/>
    <w:rsid w:val="00F22BA5"/>
    <w:rsid w:val="00F2550C"/>
    <w:rsid w:val="00F4121D"/>
    <w:rsid w:val="00F41AD1"/>
    <w:rsid w:val="00F4354A"/>
    <w:rsid w:val="00F761EF"/>
    <w:rsid w:val="00F76309"/>
    <w:rsid w:val="00FB258A"/>
    <w:rsid w:val="00FB361A"/>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FA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vi-V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704"/>
    <w:pPr>
      <w:spacing w:after="0" w:line="240" w:lineRule="auto"/>
    </w:pPr>
    <w:rPr>
      <w:rFonts w:eastAsiaTheme="minorEastAsia"/>
      <w:sz w:val="24"/>
      <w:szCs w:val="24"/>
      <w:lang w:val="en-US" w:eastAsia="ja-JP"/>
    </w:rPr>
  </w:style>
  <w:style w:type="paragraph" w:styleId="Heading1">
    <w:name w:val="heading 1"/>
    <w:basedOn w:val="Normal"/>
    <w:next w:val="Normal"/>
    <w:link w:val="Heading1Char"/>
    <w:uiPriority w:val="9"/>
    <w:qFormat/>
    <w:rsid w:val="005B0517"/>
    <w:pPr>
      <w:keepNext/>
      <w:keepLines/>
      <w:spacing w:before="360" w:after="80"/>
      <w:jc w:val="center"/>
      <w:outlineLvl w:val="0"/>
    </w:pPr>
    <w:rPr>
      <w:rFonts w:asciiTheme="majorHAnsi" w:eastAsiaTheme="majorEastAsia" w:hAnsiTheme="majorHAnsi" w:cstheme="majorBidi"/>
      <w:b/>
      <w:color w:val="000000" w:themeColor="text1"/>
      <w:sz w:val="36"/>
      <w:szCs w:val="40"/>
    </w:rPr>
  </w:style>
  <w:style w:type="paragraph" w:styleId="Heading2">
    <w:name w:val="heading 2"/>
    <w:basedOn w:val="Normal"/>
    <w:next w:val="Normal"/>
    <w:link w:val="Heading2Char"/>
    <w:uiPriority w:val="9"/>
    <w:unhideWhenUsed/>
    <w:qFormat/>
    <w:rsid w:val="005B0517"/>
    <w:pPr>
      <w:keepNext/>
      <w:keepLines/>
      <w:spacing w:before="160" w:after="80"/>
      <w:jc w:val="both"/>
      <w:outlineLvl w:val="1"/>
    </w:pPr>
    <w:rPr>
      <w:rFonts w:asciiTheme="majorHAnsi" w:eastAsiaTheme="majorEastAsia" w:hAnsiTheme="majorHAnsi" w:cstheme="majorBidi"/>
      <w:b/>
      <w:color w:val="000000" w:themeColor="text1"/>
      <w:sz w:val="28"/>
      <w:szCs w:val="32"/>
    </w:rPr>
  </w:style>
  <w:style w:type="paragraph" w:styleId="Heading3">
    <w:name w:val="heading 3"/>
    <w:basedOn w:val="Normal"/>
    <w:next w:val="Normal"/>
    <w:link w:val="Heading3Char"/>
    <w:uiPriority w:val="9"/>
    <w:unhideWhenUsed/>
    <w:qFormat/>
    <w:rsid w:val="005B0517"/>
    <w:pPr>
      <w:keepNext/>
      <w:keepLines/>
      <w:spacing w:before="160" w:after="80"/>
      <w:outlineLvl w:val="2"/>
    </w:pPr>
    <w:rPr>
      <w:rFonts w:ascii="Times New Roman" w:eastAsiaTheme="majorEastAsia" w:hAnsi="Times New Roman" w:cstheme="majorBidi"/>
      <w:b/>
      <w:i/>
      <w:color w:val="000000" w:themeColor="text1"/>
      <w:sz w:val="28"/>
      <w:szCs w:val="28"/>
    </w:rPr>
  </w:style>
  <w:style w:type="paragraph" w:styleId="Heading4">
    <w:name w:val="heading 4"/>
    <w:basedOn w:val="Normal"/>
    <w:next w:val="Normal"/>
    <w:link w:val="Heading4Char"/>
    <w:uiPriority w:val="9"/>
    <w:semiHidden/>
    <w:unhideWhenUsed/>
    <w:qFormat/>
    <w:rsid w:val="004B67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67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67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7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7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7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517"/>
    <w:rPr>
      <w:rFonts w:asciiTheme="majorHAnsi" w:eastAsiaTheme="majorEastAsia" w:hAnsiTheme="majorHAnsi" w:cstheme="majorBidi"/>
      <w:b/>
      <w:color w:val="000000" w:themeColor="text1"/>
      <w:sz w:val="36"/>
      <w:szCs w:val="40"/>
      <w:lang w:val="en-US" w:eastAsia="ja-JP"/>
    </w:rPr>
  </w:style>
  <w:style w:type="character" w:customStyle="1" w:styleId="Heading2Char">
    <w:name w:val="Heading 2 Char"/>
    <w:basedOn w:val="DefaultParagraphFont"/>
    <w:link w:val="Heading2"/>
    <w:uiPriority w:val="9"/>
    <w:rsid w:val="005B0517"/>
    <w:rPr>
      <w:rFonts w:asciiTheme="majorHAnsi" w:eastAsiaTheme="majorEastAsia" w:hAnsiTheme="majorHAnsi" w:cstheme="majorBidi"/>
      <w:b/>
      <w:color w:val="000000" w:themeColor="text1"/>
      <w:sz w:val="28"/>
      <w:szCs w:val="32"/>
      <w:lang w:val="en-US" w:eastAsia="ja-JP"/>
    </w:rPr>
  </w:style>
  <w:style w:type="character" w:customStyle="1" w:styleId="Heading3Char">
    <w:name w:val="Heading 3 Char"/>
    <w:basedOn w:val="DefaultParagraphFont"/>
    <w:link w:val="Heading3"/>
    <w:uiPriority w:val="9"/>
    <w:rsid w:val="005B0517"/>
    <w:rPr>
      <w:rFonts w:ascii="Times New Roman" w:eastAsiaTheme="majorEastAsia" w:hAnsi="Times New Roman" w:cstheme="majorBidi"/>
      <w:b/>
      <w:i/>
      <w:color w:val="000000" w:themeColor="text1"/>
      <w:sz w:val="28"/>
      <w:szCs w:val="28"/>
      <w:lang w:val="en-US" w:eastAsia="ja-JP"/>
    </w:rPr>
  </w:style>
  <w:style w:type="character" w:customStyle="1" w:styleId="Heading4Char">
    <w:name w:val="Heading 4 Char"/>
    <w:basedOn w:val="DefaultParagraphFont"/>
    <w:link w:val="Heading4"/>
    <w:uiPriority w:val="9"/>
    <w:semiHidden/>
    <w:rsid w:val="004B67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67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67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7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7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704"/>
    <w:rPr>
      <w:rFonts w:eastAsiaTheme="majorEastAsia" w:cstheme="majorBidi"/>
      <w:color w:val="272727" w:themeColor="text1" w:themeTint="D8"/>
    </w:rPr>
  </w:style>
  <w:style w:type="paragraph" w:styleId="Title">
    <w:name w:val="Title"/>
    <w:basedOn w:val="Normal"/>
    <w:next w:val="Normal"/>
    <w:link w:val="TitleChar"/>
    <w:uiPriority w:val="10"/>
    <w:qFormat/>
    <w:rsid w:val="004B67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7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7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7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704"/>
    <w:pPr>
      <w:spacing w:before="160"/>
      <w:jc w:val="center"/>
    </w:pPr>
    <w:rPr>
      <w:i/>
      <w:iCs/>
      <w:color w:val="404040" w:themeColor="text1" w:themeTint="BF"/>
    </w:rPr>
  </w:style>
  <w:style w:type="character" w:customStyle="1" w:styleId="QuoteChar">
    <w:name w:val="Quote Char"/>
    <w:basedOn w:val="DefaultParagraphFont"/>
    <w:link w:val="Quote"/>
    <w:uiPriority w:val="29"/>
    <w:rsid w:val="004B6704"/>
    <w:rPr>
      <w:i/>
      <w:iCs/>
      <w:color w:val="404040" w:themeColor="text1" w:themeTint="BF"/>
    </w:rPr>
  </w:style>
  <w:style w:type="paragraph" w:styleId="ListParagraph">
    <w:name w:val="List Paragraph"/>
    <w:basedOn w:val="Normal"/>
    <w:uiPriority w:val="34"/>
    <w:qFormat/>
    <w:rsid w:val="004B6704"/>
    <w:pPr>
      <w:ind w:left="720"/>
      <w:contextualSpacing/>
    </w:pPr>
  </w:style>
  <w:style w:type="character" w:styleId="IntenseEmphasis">
    <w:name w:val="Intense Emphasis"/>
    <w:basedOn w:val="DefaultParagraphFont"/>
    <w:uiPriority w:val="21"/>
    <w:qFormat/>
    <w:rsid w:val="004B6704"/>
    <w:rPr>
      <w:i/>
      <w:iCs/>
      <w:color w:val="2F5496" w:themeColor="accent1" w:themeShade="BF"/>
    </w:rPr>
  </w:style>
  <w:style w:type="paragraph" w:styleId="IntenseQuote">
    <w:name w:val="Intense Quote"/>
    <w:basedOn w:val="Normal"/>
    <w:next w:val="Normal"/>
    <w:link w:val="IntenseQuoteChar"/>
    <w:uiPriority w:val="30"/>
    <w:qFormat/>
    <w:rsid w:val="004B67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6704"/>
    <w:rPr>
      <w:i/>
      <w:iCs/>
      <w:color w:val="2F5496" w:themeColor="accent1" w:themeShade="BF"/>
    </w:rPr>
  </w:style>
  <w:style w:type="character" w:styleId="IntenseReference">
    <w:name w:val="Intense Reference"/>
    <w:basedOn w:val="DefaultParagraphFont"/>
    <w:uiPriority w:val="32"/>
    <w:qFormat/>
    <w:rsid w:val="004B6704"/>
    <w:rPr>
      <w:b/>
      <w:bCs/>
      <w:smallCaps/>
      <w:color w:val="2F5496" w:themeColor="accent1" w:themeShade="BF"/>
      <w:spacing w:val="5"/>
    </w:rPr>
  </w:style>
  <w:style w:type="paragraph" w:styleId="Footer">
    <w:name w:val="footer"/>
    <w:basedOn w:val="Normal"/>
    <w:link w:val="FooterChar"/>
    <w:uiPriority w:val="99"/>
    <w:unhideWhenUsed/>
    <w:rsid w:val="004B6704"/>
    <w:pPr>
      <w:tabs>
        <w:tab w:val="center" w:pos="4680"/>
        <w:tab w:val="right" w:pos="9360"/>
      </w:tabs>
    </w:pPr>
  </w:style>
  <w:style w:type="character" w:customStyle="1" w:styleId="FooterChar">
    <w:name w:val="Footer Char"/>
    <w:basedOn w:val="DefaultParagraphFont"/>
    <w:link w:val="Footer"/>
    <w:uiPriority w:val="99"/>
    <w:rsid w:val="004B6704"/>
    <w:rPr>
      <w:rFonts w:eastAsiaTheme="minorEastAsia"/>
      <w:sz w:val="24"/>
      <w:szCs w:val="24"/>
      <w:lang w:val="en-US" w:eastAsia="ja-JP"/>
    </w:rPr>
  </w:style>
  <w:style w:type="character" w:styleId="PageNumber">
    <w:name w:val="page number"/>
    <w:basedOn w:val="DefaultParagraphFont"/>
    <w:uiPriority w:val="99"/>
    <w:semiHidden/>
    <w:unhideWhenUsed/>
    <w:rsid w:val="004B6704"/>
  </w:style>
  <w:style w:type="paragraph" w:styleId="Header">
    <w:name w:val="header"/>
    <w:basedOn w:val="Normal"/>
    <w:link w:val="HeaderChar"/>
    <w:uiPriority w:val="99"/>
    <w:unhideWhenUsed/>
    <w:rsid w:val="004B6704"/>
    <w:pPr>
      <w:tabs>
        <w:tab w:val="center" w:pos="4680"/>
        <w:tab w:val="right" w:pos="9360"/>
      </w:tabs>
    </w:pPr>
  </w:style>
  <w:style w:type="character" w:customStyle="1" w:styleId="HeaderChar">
    <w:name w:val="Header Char"/>
    <w:basedOn w:val="DefaultParagraphFont"/>
    <w:link w:val="Header"/>
    <w:uiPriority w:val="99"/>
    <w:rsid w:val="004B6704"/>
    <w:rPr>
      <w:rFonts w:eastAsiaTheme="minorEastAsia"/>
      <w:sz w:val="24"/>
      <w:szCs w:val="24"/>
      <w:lang w:val="en-US" w:eastAsia="ja-JP"/>
    </w:rPr>
  </w:style>
  <w:style w:type="character" w:styleId="PlaceholderText">
    <w:name w:val="Placeholder Text"/>
    <w:basedOn w:val="DefaultParagraphFont"/>
    <w:uiPriority w:val="99"/>
    <w:semiHidden/>
    <w:rsid w:val="004B6704"/>
    <w:rPr>
      <w:color w:val="666666"/>
    </w:rPr>
  </w:style>
  <w:style w:type="paragraph" w:styleId="NormalWeb">
    <w:name w:val="Normal (Web)"/>
    <w:basedOn w:val="Normal"/>
    <w:uiPriority w:val="99"/>
    <w:unhideWhenUsed/>
    <w:rsid w:val="004B6704"/>
    <w:rPr>
      <w:rFonts w:ascii="Times New Roman" w:hAnsi="Times New Roman" w:cs="Times New Roman"/>
    </w:rPr>
  </w:style>
  <w:style w:type="table" w:styleId="TableGrid">
    <w:name w:val="Table Grid"/>
    <w:basedOn w:val="TableNormal"/>
    <w:uiPriority w:val="39"/>
    <w:rsid w:val="004B6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4B6704"/>
    <w:rPr>
      <w:b/>
      <w:bCs/>
    </w:rPr>
  </w:style>
  <w:style w:type="paragraph" w:styleId="TOCHeading">
    <w:name w:val="TOC Heading"/>
    <w:basedOn w:val="Heading1"/>
    <w:next w:val="Normal"/>
    <w:uiPriority w:val="39"/>
    <w:unhideWhenUsed/>
    <w:qFormat/>
    <w:rsid w:val="004B6704"/>
    <w:pPr>
      <w:spacing w:before="480" w:after="0" w:line="276" w:lineRule="auto"/>
      <w:outlineLvl w:val="9"/>
    </w:pPr>
    <w:rPr>
      <w:b w:val="0"/>
      <w:bCs/>
      <w:kern w:val="0"/>
      <w:sz w:val="28"/>
      <w:szCs w:val="28"/>
      <w14:ligatures w14:val="none"/>
    </w:rPr>
  </w:style>
  <w:style w:type="paragraph" w:styleId="TOC1">
    <w:name w:val="toc 1"/>
    <w:basedOn w:val="Normal"/>
    <w:next w:val="Normal"/>
    <w:autoRedefine/>
    <w:uiPriority w:val="39"/>
    <w:unhideWhenUsed/>
    <w:rsid w:val="00B167D1"/>
    <w:pPr>
      <w:tabs>
        <w:tab w:val="right" w:leader="dot" w:pos="9056"/>
      </w:tabs>
      <w:spacing w:line="312" w:lineRule="auto"/>
      <w:jc w:val="both"/>
    </w:pPr>
    <w:rPr>
      <w:rFonts w:cstheme="minorHAnsi"/>
      <w:b/>
      <w:bCs/>
      <w:i/>
      <w:iCs/>
    </w:rPr>
  </w:style>
  <w:style w:type="paragraph" w:styleId="TOC2">
    <w:name w:val="toc 2"/>
    <w:basedOn w:val="Normal"/>
    <w:next w:val="Normal"/>
    <w:autoRedefine/>
    <w:uiPriority w:val="39"/>
    <w:unhideWhenUsed/>
    <w:rsid w:val="004B6704"/>
    <w:pPr>
      <w:spacing w:before="120"/>
      <w:ind w:left="240"/>
    </w:pPr>
    <w:rPr>
      <w:rFonts w:cstheme="minorHAnsi"/>
      <w:b/>
      <w:bCs/>
      <w:sz w:val="22"/>
      <w:szCs w:val="22"/>
    </w:rPr>
  </w:style>
  <w:style w:type="paragraph" w:styleId="TOC3">
    <w:name w:val="toc 3"/>
    <w:basedOn w:val="Normal"/>
    <w:next w:val="Normal"/>
    <w:autoRedefine/>
    <w:uiPriority w:val="39"/>
    <w:unhideWhenUsed/>
    <w:rsid w:val="004B6704"/>
    <w:pPr>
      <w:ind w:left="480"/>
    </w:pPr>
    <w:rPr>
      <w:rFonts w:cstheme="minorHAnsi"/>
      <w:sz w:val="20"/>
      <w:szCs w:val="20"/>
    </w:rPr>
  </w:style>
  <w:style w:type="paragraph" w:styleId="TOC4">
    <w:name w:val="toc 4"/>
    <w:basedOn w:val="Normal"/>
    <w:next w:val="Normal"/>
    <w:autoRedefine/>
    <w:uiPriority w:val="39"/>
    <w:unhideWhenUsed/>
    <w:rsid w:val="004B6704"/>
    <w:pPr>
      <w:ind w:left="720"/>
    </w:pPr>
    <w:rPr>
      <w:rFonts w:cstheme="minorHAnsi"/>
      <w:sz w:val="20"/>
      <w:szCs w:val="20"/>
    </w:rPr>
  </w:style>
  <w:style w:type="paragraph" w:styleId="TOC5">
    <w:name w:val="toc 5"/>
    <w:basedOn w:val="Normal"/>
    <w:next w:val="Normal"/>
    <w:autoRedefine/>
    <w:uiPriority w:val="39"/>
    <w:unhideWhenUsed/>
    <w:rsid w:val="004B6704"/>
    <w:pPr>
      <w:ind w:left="960"/>
    </w:pPr>
    <w:rPr>
      <w:rFonts w:cstheme="minorHAnsi"/>
      <w:sz w:val="20"/>
      <w:szCs w:val="20"/>
    </w:rPr>
  </w:style>
  <w:style w:type="paragraph" w:styleId="TOC6">
    <w:name w:val="toc 6"/>
    <w:basedOn w:val="Normal"/>
    <w:next w:val="Normal"/>
    <w:autoRedefine/>
    <w:uiPriority w:val="39"/>
    <w:unhideWhenUsed/>
    <w:rsid w:val="004B6704"/>
    <w:pPr>
      <w:ind w:left="1200"/>
    </w:pPr>
    <w:rPr>
      <w:rFonts w:cstheme="minorHAnsi"/>
      <w:sz w:val="20"/>
      <w:szCs w:val="20"/>
    </w:rPr>
  </w:style>
  <w:style w:type="paragraph" w:styleId="TOC7">
    <w:name w:val="toc 7"/>
    <w:basedOn w:val="Normal"/>
    <w:next w:val="Normal"/>
    <w:autoRedefine/>
    <w:uiPriority w:val="39"/>
    <w:unhideWhenUsed/>
    <w:rsid w:val="004B6704"/>
    <w:pPr>
      <w:ind w:left="1440"/>
    </w:pPr>
    <w:rPr>
      <w:rFonts w:cstheme="minorHAnsi"/>
      <w:sz w:val="20"/>
      <w:szCs w:val="20"/>
    </w:rPr>
  </w:style>
  <w:style w:type="paragraph" w:styleId="TOC8">
    <w:name w:val="toc 8"/>
    <w:basedOn w:val="Normal"/>
    <w:next w:val="Normal"/>
    <w:autoRedefine/>
    <w:uiPriority w:val="39"/>
    <w:unhideWhenUsed/>
    <w:rsid w:val="004B6704"/>
    <w:pPr>
      <w:ind w:left="1680"/>
    </w:pPr>
    <w:rPr>
      <w:rFonts w:cstheme="minorHAnsi"/>
      <w:sz w:val="20"/>
      <w:szCs w:val="20"/>
    </w:rPr>
  </w:style>
  <w:style w:type="paragraph" w:styleId="TOC9">
    <w:name w:val="toc 9"/>
    <w:basedOn w:val="Normal"/>
    <w:next w:val="Normal"/>
    <w:autoRedefine/>
    <w:uiPriority w:val="39"/>
    <w:unhideWhenUsed/>
    <w:rsid w:val="004B6704"/>
    <w:pPr>
      <w:ind w:left="1920"/>
    </w:pPr>
    <w:rPr>
      <w:rFonts w:cstheme="minorHAnsi"/>
      <w:sz w:val="20"/>
      <w:szCs w:val="20"/>
    </w:rPr>
  </w:style>
  <w:style w:type="paragraph" w:styleId="Revision">
    <w:name w:val="Revision"/>
    <w:hidden/>
    <w:uiPriority w:val="99"/>
    <w:semiHidden/>
    <w:rsid w:val="004B6704"/>
    <w:pPr>
      <w:spacing w:after="0" w:line="240" w:lineRule="auto"/>
    </w:pPr>
    <w:rPr>
      <w:rFonts w:eastAsiaTheme="minorEastAsia"/>
      <w:sz w:val="24"/>
      <w:szCs w:val="24"/>
      <w:lang w:val="en-US" w:eastAsia="ja-JP"/>
    </w:rPr>
  </w:style>
  <w:style w:type="paragraph" w:customStyle="1" w:styleId="P1">
    <w:name w:val="P1"/>
    <w:basedOn w:val="Normal"/>
    <w:autoRedefine/>
    <w:qFormat/>
    <w:rsid w:val="005B0517"/>
    <w:pPr>
      <w:spacing w:line="312" w:lineRule="auto"/>
      <w:jc w:val="center"/>
      <w:outlineLvl w:val="0"/>
    </w:pPr>
    <w:rPr>
      <w:rFonts w:ascii="Times New Roman" w:hAnsi="Times New Roman" w:cs="Times New Roman"/>
      <w:b/>
      <w:bCs/>
      <w:color w:val="000000" w:themeColor="text1"/>
      <w:sz w:val="28"/>
    </w:rPr>
  </w:style>
  <w:style w:type="paragraph" w:customStyle="1" w:styleId="p2">
    <w:name w:val="p2"/>
    <w:basedOn w:val="Normal"/>
    <w:autoRedefine/>
    <w:qFormat/>
    <w:rsid w:val="00ED419E"/>
    <w:pPr>
      <w:spacing w:line="312" w:lineRule="auto"/>
    </w:pPr>
    <w:rPr>
      <w:rFonts w:ascii="Times New Roman" w:hAnsi="Times New Roman" w:cs="Times New Roman"/>
      <w:b/>
      <w:sz w:val="26"/>
      <w:szCs w:val="26"/>
      <w:lang w:val="vi-VN"/>
    </w:rPr>
  </w:style>
  <w:style w:type="paragraph" w:customStyle="1" w:styleId="p3">
    <w:name w:val="p3"/>
    <w:basedOn w:val="Normal"/>
    <w:autoRedefine/>
    <w:qFormat/>
    <w:rsid w:val="008A5BBD"/>
    <w:pPr>
      <w:spacing w:line="312" w:lineRule="auto"/>
      <w:ind w:left="340"/>
      <w:outlineLvl w:val="2"/>
    </w:pPr>
    <w:rPr>
      <w:rFonts w:ascii="Times New Roman" w:hAnsi="Times New Roman" w:cs="Times New Roman"/>
      <w:i/>
      <w:iCs/>
      <w:sz w:val="26"/>
      <w:szCs w:val="26"/>
      <w:lang w:val="vi-VN"/>
    </w:rPr>
  </w:style>
  <w:style w:type="paragraph" w:customStyle="1" w:styleId="p4">
    <w:name w:val="p4"/>
    <w:basedOn w:val="Normal"/>
    <w:autoRedefine/>
    <w:qFormat/>
    <w:rsid w:val="004B6704"/>
    <w:pPr>
      <w:spacing w:before="40" w:after="40" w:line="312" w:lineRule="auto"/>
      <w:ind w:left="340"/>
      <w:jc w:val="both"/>
    </w:pPr>
    <w:rPr>
      <w:rFonts w:ascii="Times New Roman" w:hAnsi="Times New Roman" w:cs="Times New Roman"/>
      <w:b/>
      <w:bCs/>
      <w:i/>
      <w:iCs/>
      <w:sz w:val="28"/>
      <w:szCs w:val="28"/>
    </w:rPr>
  </w:style>
  <w:style w:type="character" w:styleId="Hyperlink">
    <w:name w:val="Hyperlink"/>
    <w:basedOn w:val="DefaultParagraphFont"/>
    <w:uiPriority w:val="99"/>
    <w:unhideWhenUsed/>
    <w:rsid w:val="004B6704"/>
    <w:rPr>
      <w:color w:val="0563C1" w:themeColor="hyperlink"/>
      <w:u w:val="single"/>
    </w:rPr>
  </w:style>
  <w:style w:type="character" w:customStyle="1" w:styleId="UnresolvedMention1">
    <w:name w:val="Unresolved Mention1"/>
    <w:basedOn w:val="DefaultParagraphFont"/>
    <w:uiPriority w:val="99"/>
    <w:semiHidden/>
    <w:unhideWhenUsed/>
    <w:rsid w:val="004B6704"/>
    <w:rPr>
      <w:color w:val="605E5C"/>
      <w:shd w:val="clear" w:color="auto" w:fill="E1DFDD"/>
    </w:rPr>
  </w:style>
  <w:style w:type="character" w:styleId="CommentReference">
    <w:name w:val="annotation reference"/>
    <w:basedOn w:val="DefaultParagraphFont"/>
    <w:uiPriority w:val="99"/>
    <w:semiHidden/>
    <w:unhideWhenUsed/>
    <w:rsid w:val="004B6704"/>
    <w:rPr>
      <w:sz w:val="16"/>
      <w:szCs w:val="16"/>
    </w:rPr>
  </w:style>
  <w:style w:type="paragraph" w:styleId="CommentText">
    <w:name w:val="annotation text"/>
    <w:basedOn w:val="Normal"/>
    <w:link w:val="CommentTextChar"/>
    <w:uiPriority w:val="99"/>
    <w:semiHidden/>
    <w:unhideWhenUsed/>
    <w:rsid w:val="004B6704"/>
    <w:rPr>
      <w:sz w:val="20"/>
      <w:szCs w:val="20"/>
    </w:rPr>
  </w:style>
  <w:style w:type="character" w:customStyle="1" w:styleId="CommentTextChar">
    <w:name w:val="Comment Text Char"/>
    <w:basedOn w:val="DefaultParagraphFont"/>
    <w:link w:val="CommentText"/>
    <w:uiPriority w:val="99"/>
    <w:semiHidden/>
    <w:rsid w:val="004B6704"/>
    <w:rPr>
      <w:rFonts w:eastAsiaTheme="minorEastAsia"/>
      <w:sz w:val="20"/>
      <w:szCs w:val="20"/>
      <w:lang w:val="en-US" w:eastAsia="ja-JP"/>
    </w:rPr>
  </w:style>
  <w:style w:type="paragraph" w:styleId="CommentSubject">
    <w:name w:val="annotation subject"/>
    <w:basedOn w:val="CommentText"/>
    <w:next w:val="CommentText"/>
    <w:link w:val="CommentSubjectChar"/>
    <w:uiPriority w:val="99"/>
    <w:semiHidden/>
    <w:unhideWhenUsed/>
    <w:rsid w:val="004B6704"/>
    <w:rPr>
      <w:b/>
      <w:bCs/>
    </w:rPr>
  </w:style>
  <w:style w:type="character" w:customStyle="1" w:styleId="CommentSubjectChar">
    <w:name w:val="Comment Subject Char"/>
    <w:basedOn w:val="CommentTextChar"/>
    <w:link w:val="CommentSubject"/>
    <w:uiPriority w:val="99"/>
    <w:semiHidden/>
    <w:rsid w:val="004B6704"/>
    <w:rPr>
      <w:rFonts w:eastAsiaTheme="minorEastAsia"/>
      <w:b/>
      <w:bCs/>
      <w:sz w:val="20"/>
      <w:szCs w:val="20"/>
      <w:lang w:val="en-US" w:eastAsia="ja-JP"/>
    </w:rPr>
  </w:style>
  <w:style w:type="paragraph" w:styleId="BalloonText">
    <w:name w:val="Balloon Text"/>
    <w:basedOn w:val="Normal"/>
    <w:link w:val="BalloonTextChar"/>
    <w:uiPriority w:val="99"/>
    <w:semiHidden/>
    <w:unhideWhenUsed/>
    <w:rsid w:val="004B67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6704"/>
    <w:rPr>
      <w:rFonts w:ascii="Segoe UI" w:eastAsiaTheme="minorEastAsia" w:hAnsi="Segoe UI" w:cs="Segoe UI"/>
      <w:sz w:val="18"/>
      <w:szCs w:val="18"/>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vi-V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704"/>
    <w:pPr>
      <w:spacing w:after="0" w:line="240" w:lineRule="auto"/>
    </w:pPr>
    <w:rPr>
      <w:rFonts w:eastAsiaTheme="minorEastAsia"/>
      <w:sz w:val="24"/>
      <w:szCs w:val="24"/>
      <w:lang w:val="en-US" w:eastAsia="ja-JP"/>
    </w:rPr>
  </w:style>
  <w:style w:type="paragraph" w:styleId="Heading1">
    <w:name w:val="heading 1"/>
    <w:basedOn w:val="Normal"/>
    <w:next w:val="Normal"/>
    <w:link w:val="Heading1Char"/>
    <w:uiPriority w:val="9"/>
    <w:qFormat/>
    <w:rsid w:val="005B0517"/>
    <w:pPr>
      <w:keepNext/>
      <w:keepLines/>
      <w:spacing w:before="360" w:after="80"/>
      <w:jc w:val="center"/>
      <w:outlineLvl w:val="0"/>
    </w:pPr>
    <w:rPr>
      <w:rFonts w:asciiTheme="majorHAnsi" w:eastAsiaTheme="majorEastAsia" w:hAnsiTheme="majorHAnsi" w:cstheme="majorBidi"/>
      <w:b/>
      <w:color w:val="000000" w:themeColor="text1"/>
      <w:sz w:val="36"/>
      <w:szCs w:val="40"/>
    </w:rPr>
  </w:style>
  <w:style w:type="paragraph" w:styleId="Heading2">
    <w:name w:val="heading 2"/>
    <w:basedOn w:val="Normal"/>
    <w:next w:val="Normal"/>
    <w:link w:val="Heading2Char"/>
    <w:uiPriority w:val="9"/>
    <w:unhideWhenUsed/>
    <w:qFormat/>
    <w:rsid w:val="005B0517"/>
    <w:pPr>
      <w:keepNext/>
      <w:keepLines/>
      <w:spacing w:before="160" w:after="80"/>
      <w:jc w:val="both"/>
      <w:outlineLvl w:val="1"/>
    </w:pPr>
    <w:rPr>
      <w:rFonts w:asciiTheme="majorHAnsi" w:eastAsiaTheme="majorEastAsia" w:hAnsiTheme="majorHAnsi" w:cstheme="majorBidi"/>
      <w:b/>
      <w:color w:val="000000" w:themeColor="text1"/>
      <w:sz w:val="28"/>
      <w:szCs w:val="32"/>
    </w:rPr>
  </w:style>
  <w:style w:type="paragraph" w:styleId="Heading3">
    <w:name w:val="heading 3"/>
    <w:basedOn w:val="Normal"/>
    <w:next w:val="Normal"/>
    <w:link w:val="Heading3Char"/>
    <w:uiPriority w:val="9"/>
    <w:unhideWhenUsed/>
    <w:qFormat/>
    <w:rsid w:val="005B0517"/>
    <w:pPr>
      <w:keepNext/>
      <w:keepLines/>
      <w:spacing w:before="160" w:after="80"/>
      <w:outlineLvl w:val="2"/>
    </w:pPr>
    <w:rPr>
      <w:rFonts w:ascii="Times New Roman" w:eastAsiaTheme="majorEastAsia" w:hAnsi="Times New Roman" w:cstheme="majorBidi"/>
      <w:b/>
      <w:i/>
      <w:color w:val="000000" w:themeColor="text1"/>
      <w:sz w:val="28"/>
      <w:szCs w:val="28"/>
    </w:rPr>
  </w:style>
  <w:style w:type="paragraph" w:styleId="Heading4">
    <w:name w:val="heading 4"/>
    <w:basedOn w:val="Normal"/>
    <w:next w:val="Normal"/>
    <w:link w:val="Heading4Char"/>
    <w:uiPriority w:val="9"/>
    <w:semiHidden/>
    <w:unhideWhenUsed/>
    <w:qFormat/>
    <w:rsid w:val="004B67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67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67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7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7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7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517"/>
    <w:rPr>
      <w:rFonts w:asciiTheme="majorHAnsi" w:eastAsiaTheme="majorEastAsia" w:hAnsiTheme="majorHAnsi" w:cstheme="majorBidi"/>
      <w:b/>
      <w:color w:val="000000" w:themeColor="text1"/>
      <w:sz w:val="36"/>
      <w:szCs w:val="40"/>
      <w:lang w:val="en-US" w:eastAsia="ja-JP"/>
    </w:rPr>
  </w:style>
  <w:style w:type="character" w:customStyle="1" w:styleId="Heading2Char">
    <w:name w:val="Heading 2 Char"/>
    <w:basedOn w:val="DefaultParagraphFont"/>
    <w:link w:val="Heading2"/>
    <w:uiPriority w:val="9"/>
    <w:rsid w:val="005B0517"/>
    <w:rPr>
      <w:rFonts w:asciiTheme="majorHAnsi" w:eastAsiaTheme="majorEastAsia" w:hAnsiTheme="majorHAnsi" w:cstheme="majorBidi"/>
      <w:b/>
      <w:color w:val="000000" w:themeColor="text1"/>
      <w:sz w:val="28"/>
      <w:szCs w:val="32"/>
      <w:lang w:val="en-US" w:eastAsia="ja-JP"/>
    </w:rPr>
  </w:style>
  <w:style w:type="character" w:customStyle="1" w:styleId="Heading3Char">
    <w:name w:val="Heading 3 Char"/>
    <w:basedOn w:val="DefaultParagraphFont"/>
    <w:link w:val="Heading3"/>
    <w:uiPriority w:val="9"/>
    <w:rsid w:val="005B0517"/>
    <w:rPr>
      <w:rFonts w:ascii="Times New Roman" w:eastAsiaTheme="majorEastAsia" w:hAnsi="Times New Roman" w:cstheme="majorBidi"/>
      <w:b/>
      <w:i/>
      <w:color w:val="000000" w:themeColor="text1"/>
      <w:sz w:val="28"/>
      <w:szCs w:val="28"/>
      <w:lang w:val="en-US" w:eastAsia="ja-JP"/>
    </w:rPr>
  </w:style>
  <w:style w:type="character" w:customStyle="1" w:styleId="Heading4Char">
    <w:name w:val="Heading 4 Char"/>
    <w:basedOn w:val="DefaultParagraphFont"/>
    <w:link w:val="Heading4"/>
    <w:uiPriority w:val="9"/>
    <w:semiHidden/>
    <w:rsid w:val="004B67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67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67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7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7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704"/>
    <w:rPr>
      <w:rFonts w:eastAsiaTheme="majorEastAsia" w:cstheme="majorBidi"/>
      <w:color w:val="272727" w:themeColor="text1" w:themeTint="D8"/>
    </w:rPr>
  </w:style>
  <w:style w:type="paragraph" w:styleId="Title">
    <w:name w:val="Title"/>
    <w:basedOn w:val="Normal"/>
    <w:next w:val="Normal"/>
    <w:link w:val="TitleChar"/>
    <w:uiPriority w:val="10"/>
    <w:qFormat/>
    <w:rsid w:val="004B67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7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7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7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704"/>
    <w:pPr>
      <w:spacing w:before="160"/>
      <w:jc w:val="center"/>
    </w:pPr>
    <w:rPr>
      <w:i/>
      <w:iCs/>
      <w:color w:val="404040" w:themeColor="text1" w:themeTint="BF"/>
    </w:rPr>
  </w:style>
  <w:style w:type="character" w:customStyle="1" w:styleId="QuoteChar">
    <w:name w:val="Quote Char"/>
    <w:basedOn w:val="DefaultParagraphFont"/>
    <w:link w:val="Quote"/>
    <w:uiPriority w:val="29"/>
    <w:rsid w:val="004B6704"/>
    <w:rPr>
      <w:i/>
      <w:iCs/>
      <w:color w:val="404040" w:themeColor="text1" w:themeTint="BF"/>
    </w:rPr>
  </w:style>
  <w:style w:type="paragraph" w:styleId="ListParagraph">
    <w:name w:val="List Paragraph"/>
    <w:basedOn w:val="Normal"/>
    <w:uiPriority w:val="34"/>
    <w:qFormat/>
    <w:rsid w:val="004B6704"/>
    <w:pPr>
      <w:ind w:left="720"/>
      <w:contextualSpacing/>
    </w:pPr>
  </w:style>
  <w:style w:type="character" w:styleId="IntenseEmphasis">
    <w:name w:val="Intense Emphasis"/>
    <w:basedOn w:val="DefaultParagraphFont"/>
    <w:uiPriority w:val="21"/>
    <w:qFormat/>
    <w:rsid w:val="004B6704"/>
    <w:rPr>
      <w:i/>
      <w:iCs/>
      <w:color w:val="2F5496" w:themeColor="accent1" w:themeShade="BF"/>
    </w:rPr>
  </w:style>
  <w:style w:type="paragraph" w:styleId="IntenseQuote">
    <w:name w:val="Intense Quote"/>
    <w:basedOn w:val="Normal"/>
    <w:next w:val="Normal"/>
    <w:link w:val="IntenseQuoteChar"/>
    <w:uiPriority w:val="30"/>
    <w:qFormat/>
    <w:rsid w:val="004B67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6704"/>
    <w:rPr>
      <w:i/>
      <w:iCs/>
      <w:color w:val="2F5496" w:themeColor="accent1" w:themeShade="BF"/>
    </w:rPr>
  </w:style>
  <w:style w:type="character" w:styleId="IntenseReference">
    <w:name w:val="Intense Reference"/>
    <w:basedOn w:val="DefaultParagraphFont"/>
    <w:uiPriority w:val="32"/>
    <w:qFormat/>
    <w:rsid w:val="004B6704"/>
    <w:rPr>
      <w:b/>
      <w:bCs/>
      <w:smallCaps/>
      <w:color w:val="2F5496" w:themeColor="accent1" w:themeShade="BF"/>
      <w:spacing w:val="5"/>
    </w:rPr>
  </w:style>
  <w:style w:type="paragraph" w:styleId="Footer">
    <w:name w:val="footer"/>
    <w:basedOn w:val="Normal"/>
    <w:link w:val="FooterChar"/>
    <w:uiPriority w:val="99"/>
    <w:unhideWhenUsed/>
    <w:rsid w:val="004B6704"/>
    <w:pPr>
      <w:tabs>
        <w:tab w:val="center" w:pos="4680"/>
        <w:tab w:val="right" w:pos="9360"/>
      </w:tabs>
    </w:pPr>
  </w:style>
  <w:style w:type="character" w:customStyle="1" w:styleId="FooterChar">
    <w:name w:val="Footer Char"/>
    <w:basedOn w:val="DefaultParagraphFont"/>
    <w:link w:val="Footer"/>
    <w:uiPriority w:val="99"/>
    <w:rsid w:val="004B6704"/>
    <w:rPr>
      <w:rFonts w:eastAsiaTheme="minorEastAsia"/>
      <w:sz w:val="24"/>
      <w:szCs w:val="24"/>
      <w:lang w:val="en-US" w:eastAsia="ja-JP"/>
    </w:rPr>
  </w:style>
  <w:style w:type="character" w:styleId="PageNumber">
    <w:name w:val="page number"/>
    <w:basedOn w:val="DefaultParagraphFont"/>
    <w:uiPriority w:val="99"/>
    <w:semiHidden/>
    <w:unhideWhenUsed/>
    <w:rsid w:val="004B6704"/>
  </w:style>
  <w:style w:type="paragraph" w:styleId="Header">
    <w:name w:val="header"/>
    <w:basedOn w:val="Normal"/>
    <w:link w:val="HeaderChar"/>
    <w:uiPriority w:val="99"/>
    <w:unhideWhenUsed/>
    <w:rsid w:val="004B6704"/>
    <w:pPr>
      <w:tabs>
        <w:tab w:val="center" w:pos="4680"/>
        <w:tab w:val="right" w:pos="9360"/>
      </w:tabs>
    </w:pPr>
  </w:style>
  <w:style w:type="character" w:customStyle="1" w:styleId="HeaderChar">
    <w:name w:val="Header Char"/>
    <w:basedOn w:val="DefaultParagraphFont"/>
    <w:link w:val="Header"/>
    <w:uiPriority w:val="99"/>
    <w:rsid w:val="004B6704"/>
    <w:rPr>
      <w:rFonts w:eastAsiaTheme="minorEastAsia"/>
      <w:sz w:val="24"/>
      <w:szCs w:val="24"/>
      <w:lang w:val="en-US" w:eastAsia="ja-JP"/>
    </w:rPr>
  </w:style>
  <w:style w:type="character" w:styleId="PlaceholderText">
    <w:name w:val="Placeholder Text"/>
    <w:basedOn w:val="DefaultParagraphFont"/>
    <w:uiPriority w:val="99"/>
    <w:semiHidden/>
    <w:rsid w:val="004B6704"/>
    <w:rPr>
      <w:color w:val="666666"/>
    </w:rPr>
  </w:style>
  <w:style w:type="paragraph" w:styleId="NormalWeb">
    <w:name w:val="Normal (Web)"/>
    <w:basedOn w:val="Normal"/>
    <w:uiPriority w:val="99"/>
    <w:unhideWhenUsed/>
    <w:rsid w:val="004B6704"/>
    <w:rPr>
      <w:rFonts w:ascii="Times New Roman" w:hAnsi="Times New Roman" w:cs="Times New Roman"/>
    </w:rPr>
  </w:style>
  <w:style w:type="table" w:styleId="TableGrid">
    <w:name w:val="Table Grid"/>
    <w:basedOn w:val="TableNormal"/>
    <w:uiPriority w:val="39"/>
    <w:rsid w:val="004B67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4B6704"/>
    <w:rPr>
      <w:b/>
      <w:bCs/>
    </w:rPr>
  </w:style>
  <w:style w:type="paragraph" w:styleId="TOCHeading">
    <w:name w:val="TOC Heading"/>
    <w:basedOn w:val="Heading1"/>
    <w:next w:val="Normal"/>
    <w:uiPriority w:val="39"/>
    <w:unhideWhenUsed/>
    <w:qFormat/>
    <w:rsid w:val="004B6704"/>
    <w:pPr>
      <w:spacing w:before="480" w:after="0" w:line="276" w:lineRule="auto"/>
      <w:outlineLvl w:val="9"/>
    </w:pPr>
    <w:rPr>
      <w:b w:val="0"/>
      <w:bCs/>
      <w:kern w:val="0"/>
      <w:sz w:val="28"/>
      <w:szCs w:val="28"/>
      <w14:ligatures w14:val="none"/>
    </w:rPr>
  </w:style>
  <w:style w:type="paragraph" w:styleId="TOC1">
    <w:name w:val="toc 1"/>
    <w:basedOn w:val="Normal"/>
    <w:next w:val="Normal"/>
    <w:autoRedefine/>
    <w:uiPriority w:val="39"/>
    <w:unhideWhenUsed/>
    <w:rsid w:val="00B167D1"/>
    <w:pPr>
      <w:tabs>
        <w:tab w:val="right" w:leader="dot" w:pos="9056"/>
      </w:tabs>
      <w:spacing w:line="312" w:lineRule="auto"/>
      <w:jc w:val="both"/>
    </w:pPr>
    <w:rPr>
      <w:rFonts w:cstheme="minorHAnsi"/>
      <w:b/>
      <w:bCs/>
      <w:i/>
      <w:iCs/>
    </w:rPr>
  </w:style>
  <w:style w:type="paragraph" w:styleId="TOC2">
    <w:name w:val="toc 2"/>
    <w:basedOn w:val="Normal"/>
    <w:next w:val="Normal"/>
    <w:autoRedefine/>
    <w:uiPriority w:val="39"/>
    <w:unhideWhenUsed/>
    <w:rsid w:val="004B6704"/>
    <w:pPr>
      <w:spacing w:before="120"/>
      <w:ind w:left="240"/>
    </w:pPr>
    <w:rPr>
      <w:rFonts w:cstheme="minorHAnsi"/>
      <w:b/>
      <w:bCs/>
      <w:sz w:val="22"/>
      <w:szCs w:val="22"/>
    </w:rPr>
  </w:style>
  <w:style w:type="paragraph" w:styleId="TOC3">
    <w:name w:val="toc 3"/>
    <w:basedOn w:val="Normal"/>
    <w:next w:val="Normal"/>
    <w:autoRedefine/>
    <w:uiPriority w:val="39"/>
    <w:unhideWhenUsed/>
    <w:rsid w:val="004B6704"/>
    <w:pPr>
      <w:ind w:left="480"/>
    </w:pPr>
    <w:rPr>
      <w:rFonts w:cstheme="minorHAnsi"/>
      <w:sz w:val="20"/>
      <w:szCs w:val="20"/>
    </w:rPr>
  </w:style>
  <w:style w:type="paragraph" w:styleId="TOC4">
    <w:name w:val="toc 4"/>
    <w:basedOn w:val="Normal"/>
    <w:next w:val="Normal"/>
    <w:autoRedefine/>
    <w:uiPriority w:val="39"/>
    <w:unhideWhenUsed/>
    <w:rsid w:val="004B6704"/>
    <w:pPr>
      <w:ind w:left="720"/>
    </w:pPr>
    <w:rPr>
      <w:rFonts w:cstheme="minorHAnsi"/>
      <w:sz w:val="20"/>
      <w:szCs w:val="20"/>
    </w:rPr>
  </w:style>
  <w:style w:type="paragraph" w:styleId="TOC5">
    <w:name w:val="toc 5"/>
    <w:basedOn w:val="Normal"/>
    <w:next w:val="Normal"/>
    <w:autoRedefine/>
    <w:uiPriority w:val="39"/>
    <w:unhideWhenUsed/>
    <w:rsid w:val="004B6704"/>
    <w:pPr>
      <w:ind w:left="960"/>
    </w:pPr>
    <w:rPr>
      <w:rFonts w:cstheme="minorHAnsi"/>
      <w:sz w:val="20"/>
      <w:szCs w:val="20"/>
    </w:rPr>
  </w:style>
  <w:style w:type="paragraph" w:styleId="TOC6">
    <w:name w:val="toc 6"/>
    <w:basedOn w:val="Normal"/>
    <w:next w:val="Normal"/>
    <w:autoRedefine/>
    <w:uiPriority w:val="39"/>
    <w:unhideWhenUsed/>
    <w:rsid w:val="004B6704"/>
    <w:pPr>
      <w:ind w:left="1200"/>
    </w:pPr>
    <w:rPr>
      <w:rFonts w:cstheme="minorHAnsi"/>
      <w:sz w:val="20"/>
      <w:szCs w:val="20"/>
    </w:rPr>
  </w:style>
  <w:style w:type="paragraph" w:styleId="TOC7">
    <w:name w:val="toc 7"/>
    <w:basedOn w:val="Normal"/>
    <w:next w:val="Normal"/>
    <w:autoRedefine/>
    <w:uiPriority w:val="39"/>
    <w:unhideWhenUsed/>
    <w:rsid w:val="004B6704"/>
    <w:pPr>
      <w:ind w:left="1440"/>
    </w:pPr>
    <w:rPr>
      <w:rFonts w:cstheme="minorHAnsi"/>
      <w:sz w:val="20"/>
      <w:szCs w:val="20"/>
    </w:rPr>
  </w:style>
  <w:style w:type="paragraph" w:styleId="TOC8">
    <w:name w:val="toc 8"/>
    <w:basedOn w:val="Normal"/>
    <w:next w:val="Normal"/>
    <w:autoRedefine/>
    <w:uiPriority w:val="39"/>
    <w:unhideWhenUsed/>
    <w:rsid w:val="004B6704"/>
    <w:pPr>
      <w:ind w:left="1680"/>
    </w:pPr>
    <w:rPr>
      <w:rFonts w:cstheme="minorHAnsi"/>
      <w:sz w:val="20"/>
      <w:szCs w:val="20"/>
    </w:rPr>
  </w:style>
  <w:style w:type="paragraph" w:styleId="TOC9">
    <w:name w:val="toc 9"/>
    <w:basedOn w:val="Normal"/>
    <w:next w:val="Normal"/>
    <w:autoRedefine/>
    <w:uiPriority w:val="39"/>
    <w:unhideWhenUsed/>
    <w:rsid w:val="004B6704"/>
    <w:pPr>
      <w:ind w:left="1920"/>
    </w:pPr>
    <w:rPr>
      <w:rFonts w:cstheme="minorHAnsi"/>
      <w:sz w:val="20"/>
      <w:szCs w:val="20"/>
    </w:rPr>
  </w:style>
  <w:style w:type="paragraph" w:styleId="Revision">
    <w:name w:val="Revision"/>
    <w:hidden/>
    <w:uiPriority w:val="99"/>
    <w:semiHidden/>
    <w:rsid w:val="004B6704"/>
    <w:pPr>
      <w:spacing w:after="0" w:line="240" w:lineRule="auto"/>
    </w:pPr>
    <w:rPr>
      <w:rFonts w:eastAsiaTheme="minorEastAsia"/>
      <w:sz w:val="24"/>
      <w:szCs w:val="24"/>
      <w:lang w:val="en-US" w:eastAsia="ja-JP"/>
    </w:rPr>
  </w:style>
  <w:style w:type="paragraph" w:customStyle="1" w:styleId="P1">
    <w:name w:val="P1"/>
    <w:basedOn w:val="Normal"/>
    <w:autoRedefine/>
    <w:qFormat/>
    <w:rsid w:val="005B0517"/>
    <w:pPr>
      <w:spacing w:line="312" w:lineRule="auto"/>
      <w:jc w:val="center"/>
      <w:outlineLvl w:val="0"/>
    </w:pPr>
    <w:rPr>
      <w:rFonts w:ascii="Times New Roman" w:hAnsi="Times New Roman" w:cs="Times New Roman"/>
      <w:b/>
      <w:bCs/>
      <w:color w:val="000000" w:themeColor="text1"/>
      <w:sz w:val="28"/>
    </w:rPr>
  </w:style>
  <w:style w:type="paragraph" w:customStyle="1" w:styleId="p2">
    <w:name w:val="p2"/>
    <w:basedOn w:val="Normal"/>
    <w:autoRedefine/>
    <w:qFormat/>
    <w:rsid w:val="00ED419E"/>
    <w:pPr>
      <w:spacing w:line="312" w:lineRule="auto"/>
    </w:pPr>
    <w:rPr>
      <w:rFonts w:ascii="Times New Roman" w:hAnsi="Times New Roman" w:cs="Times New Roman"/>
      <w:b/>
      <w:sz w:val="26"/>
      <w:szCs w:val="26"/>
      <w:lang w:val="vi-VN"/>
    </w:rPr>
  </w:style>
  <w:style w:type="paragraph" w:customStyle="1" w:styleId="p3">
    <w:name w:val="p3"/>
    <w:basedOn w:val="Normal"/>
    <w:autoRedefine/>
    <w:qFormat/>
    <w:rsid w:val="008A5BBD"/>
    <w:pPr>
      <w:spacing w:line="312" w:lineRule="auto"/>
      <w:ind w:left="340"/>
      <w:outlineLvl w:val="2"/>
    </w:pPr>
    <w:rPr>
      <w:rFonts w:ascii="Times New Roman" w:hAnsi="Times New Roman" w:cs="Times New Roman"/>
      <w:i/>
      <w:iCs/>
      <w:sz w:val="26"/>
      <w:szCs w:val="26"/>
      <w:lang w:val="vi-VN"/>
    </w:rPr>
  </w:style>
  <w:style w:type="paragraph" w:customStyle="1" w:styleId="p4">
    <w:name w:val="p4"/>
    <w:basedOn w:val="Normal"/>
    <w:autoRedefine/>
    <w:qFormat/>
    <w:rsid w:val="004B6704"/>
    <w:pPr>
      <w:spacing w:before="40" w:after="40" w:line="312" w:lineRule="auto"/>
      <w:ind w:left="340"/>
      <w:jc w:val="both"/>
    </w:pPr>
    <w:rPr>
      <w:rFonts w:ascii="Times New Roman" w:hAnsi="Times New Roman" w:cs="Times New Roman"/>
      <w:b/>
      <w:bCs/>
      <w:i/>
      <w:iCs/>
      <w:sz w:val="28"/>
      <w:szCs w:val="28"/>
    </w:rPr>
  </w:style>
  <w:style w:type="character" w:styleId="Hyperlink">
    <w:name w:val="Hyperlink"/>
    <w:basedOn w:val="DefaultParagraphFont"/>
    <w:uiPriority w:val="99"/>
    <w:unhideWhenUsed/>
    <w:rsid w:val="004B6704"/>
    <w:rPr>
      <w:color w:val="0563C1" w:themeColor="hyperlink"/>
      <w:u w:val="single"/>
    </w:rPr>
  </w:style>
  <w:style w:type="character" w:customStyle="1" w:styleId="UnresolvedMention1">
    <w:name w:val="Unresolved Mention1"/>
    <w:basedOn w:val="DefaultParagraphFont"/>
    <w:uiPriority w:val="99"/>
    <w:semiHidden/>
    <w:unhideWhenUsed/>
    <w:rsid w:val="004B6704"/>
    <w:rPr>
      <w:color w:val="605E5C"/>
      <w:shd w:val="clear" w:color="auto" w:fill="E1DFDD"/>
    </w:rPr>
  </w:style>
  <w:style w:type="character" w:styleId="CommentReference">
    <w:name w:val="annotation reference"/>
    <w:basedOn w:val="DefaultParagraphFont"/>
    <w:uiPriority w:val="99"/>
    <w:semiHidden/>
    <w:unhideWhenUsed/>
    <w:rsid w:val="004B6704"/>
    <w:rPr>
      <w:sz w:val="16"/>
      <w:szCs w:val="16"/>
    </w:rPr>
  </w:style>
  <w:style w:type="paragraph" w:styleId="CommentText">
    <w:name w:val="annotation text"/>
    <w:basedOn w:val="Normal"/>
    <w:link w:val="CommentTextChar"/>
    <w:uiPriority w:val="99"/>
    <w:semiHidden/>
    <w:unhideWhenUsed/>
    <w:rsid w:val="004B6704"/>
    <w:rPr>
      <w:sz w:val="20"/>
      <w:szCs w:val="20"/>
    </w:rPr>
  </w:style>
  <w:style w:type="character" w:customStyle="1" w:styleId="CommentTextChar">
    <w:name w:val="Comment Text Char"/>
    <w:basedOn w:val="DefaultParagraphFont"/>
    <w:link w:val="CommentText"/>
    <w:uiPriority w:val="99"/>
    <w:semiHidden/>
    <w:rsid w:val="004B6704"/>
    <w:rPr>
      <w:rFonts w:eastAsiaTheme="minorEastAsia"/>
      <w:sz w:val="20"/>
      <w:szCs w:val="20"/>
      <w:lang w:val="en-US" w:eastAsia="ja-JP"/>
    </w:rPr>
  </w:style>
  <w:style w:type="paragraph" w:styleId="CommentSubject">
    <w:name w:val="annotation subject"/>
    <w:basedOn w:val="CommentText"/>
    <w:next w:val="CommentText"/>
    <w:link w:val="CommentSubjectChar"/>
    <w:uiPriority w:val="99"/>
    <w:semiHidden/>
    <w:unhideWhenUsed/>
    <w:rsid w:val="004B6704"/>
    <w:rPr>
      <w:b/>
      <w:bCs/>
    </w:rPr>
  </w:style>
  <w:style w:type="character" w:customStyle="1" w:styleId="CommentSubjectChar">
    <w:name w:val="Comment Subject Char"/>
    <w:basedOn w:val="CommentTextChar"/>
    <w:link w:val="CommentSubject"/>
    <w:uiPriority w:val="99"/>
    <w:semiHidden/>
    <w:rsid w:val="004B6704"/>
    <w:rPr>
      <w:rFonts w:eastAsiaTheme="minorEastAsia"/>
      <w:b/>
      <w:bCs/>
      <w:sz w:val="20"/>
      <w:szCs w:val="20"/>
      <w:lang w:val="en-US" w:eastAsia="ja-JP"/>
    </w:rPr>
  </w:style>
  <w:style w:type="paragraph" w:styleId="BalloonText">
    <w:name w:val="Balloon Text"/>
    <w:basedOn w:val="Normal"/>
    <w:link w:val="BalloonTextChar"/>
    <w:uiPriority w:val="99"/>
    <w:semiHidden/>
    <w:unhideWhenUsed/>
    <w:rsid w:val="004B67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6704"/>
    <w:rPr>
      <w:rFonts w:ascii="Segoe UI" w:eastAsiaTheme="minorEastAsia" w:hAnsi="Segoe UI" w:cs="Segoe UI"/>
      <w:sz w:val="18"/>
      <w:szCs w:val="1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820919">
      <w:bodyDiv w:val="1"/>
      <w:marLeft w:val="0"/>
      <w:marRight w:val="0"/>
      <w:marTop w:val="0"/>
      <w:marBottom w:val="0"/>
      <w:divBdr>
        <w:top w:val="none" w:sz="0" w:space="0" w:color="auto"/>
        <w:left w:val="none" w:sz="0" w:space="0" w:color="auto"/>
        <w:bottom w:val="none" w:sz="0" w:space="0" w:color="auto"/>
        <w:right w:val="none" w:sz="0" w:space="0" w:color="auto"/>
      </w:divBdr>
    </w:div>
    <w:div w:id="446891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chart" Target="charts/chart12.xm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chart" Target="charts/chart7.xml"/><Relationship Id="rId42" Type="http://schemas.openxmlformats.org/officeDocument/2006/relationships/chart" Target="charts/chart15.xml"/><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chart" Target="charts/chart6.xml"/><Relationship Id="rId38" Type="http://schemas.openxmlformats.org/officeDocument/2006/relationships/chart" Target="charts/chart1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chart" Target="charts/chart2.xml"/><Relationship Id="rId41" Type="http://schemas.openxmlformats.org/officeDocument/2006/relationships/chart" Target="charts/chart1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12.png"/><Relationship Id="rId32" Type="http://schemas.openxmlformats.org/officeDocument/2006/relationships/chart" Target="charts/chart5.xml"/><Relationship Id="rId37" Type="http://schemas.openxmlformats.org/officeDocument/2006/relationships/chart" Target="charts/chart10.xml"/><Relationship Id="rId40" Type="http://schemas.openxmlformats.org/officeDocument/2006/relationships/chart" Target="charts/chart13.xm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chart" Target="charts/chart1.xml"/><Relationship Id="rId36" Type="http://schemas.openxmlformats.org/officeDocument/2006/relationships/chart" Target="charts/chart9.xml"/><Relationship Id="rId10" Type="http://schemas.openxmlformats.org/officeDocument/2006/relationships/footnotes" Target="footnotes.xml"/><Relationship Id="rId19" Type="http://schemas.openxmlformats.org/officeDocument/2006/relationships/image" Target="media/image7.png"/><Relationship Id="rId31" Type="http://schemas.openxmlformats.org/officeDocument/2006/relationships/chart" Target="charts/chart4.xm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chart" Target="charts/chart3.xml"/><Relationship Id="rId35" Type="http://schemas.openxmlformats.org/officeDocument/2006/relationships/chart" Target="charts/chart8.xml"/><Relationship Id="rId43"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2.1. Biểu đồ thể hiện h</a:t>
            </a:r>
            <a:r>
              <a:rPr lang="en-US" sz="1300" b="1">
                <a:latin typeface="Times New Roman" panose="02020603050405020304" pitchFamily="18" charset="0"/>
                <a:cs typeface="Times New Roman" panose="02020603050405020304" pitchFamily="18" charset="0"/>
              </a:rPr>
              <a:t>ệ số khả năng thanh toán hiện thời của các CTCP niêm yết thuộc TKV </a:t>
            </a:r>
            <a:r>
              <a:rPr lang="vi-VN" sz="1300" b="1">
                <a:latin typeface="Times New Roman" panose="02020603050405020304" pitchFamily="18" charset="0"/>
                <a:cs typeface="Times New Roman" panose="02020603050405020304" pitchFamily="18" charset="0"/>
              </a:rPr>
              <a:t>giai đoạn 2019 - 2023</a:t>
            </a:r>
            <a:endParaRPr lang="en-US" sz="1300" b="1">
              <a:latin typeface="Times New Roman" panose="02020603050405020304" pitchFamily="18" charset="0"/>
              <a:cs typeface="Times New Roman" panose="02020603050405020304" pitchFamily="18" charset="0"/>
            </a:endParaRPr>
          </a:p>
        </c:rich>
      </c:tx>
      <c:layout>
        <c:manualLayout>
          <c:xMode val="edge"/>
          <c:yMode val="edge"/>
          <c:x val="0.13083217538984099"/>
          <c:y val="0.83771929824561409"/>
        </c:manualLayout>
      </c:layout>
      <c:overlay val="0"/>
      <c:spPr>
        <a:noFill/>
        <a:ln>
          <a:noFill/>
        </a:ln>
        <a:effectLst/>
      </c:spPr>
    </c:title>
    <c:autoTitleDeleted val="0"/>
    <c:plotArea>
      <c:layout>
        <c:manualLayout>
          <c:layoutTarget val="inner"/>
          <c:xMode val="edge"/>
          <c:yMode val="edge"/>
          <c:x val="6.318897637795276E-2"/>
          <c:y val="4.9035087719298244E-2"/>
          <c:w val="0.91452938369334846"/>
          <c:h val="0.49695814338997096"/>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Sheet1!$A$2:$A$6</c:f>
              <c:numCache>
                <c:formatCode>General</c:formatCode>
                <c:ptCount val="5"/>
                <c:pt idx="0">
                  <c:v>2019</c:v>
                </c:pt>
                <c:pt idx="1">
                  <c:v>2020</c:v>
                </c:pt>
                <c:pt idx="2">
                  <c:v>2021</c:v>
                </c:pt>
                <c:pt idx="3">
                  <c:v>2022</c:v>
                </c:pt>
                <c:pt idx="4">
                  <c:v>2023</c:v>
                </c:pt>
              </c:numCache>
            </c:numRef>
          </c:cat>
          <c:val>
            <c:numRef>
              <c:f>Sheet1!$B$2:$B$6</c:f>
              <c:numCache>
                <c:formatCode>General</c:formatCode>
                <c:ptCount val="5"/>
                <c:pt idx="0">
                  <c:v>0.63</c:v>
                </c:pt>
                <c:pt idx="1">
                  <c:v>0.75</c:v>
                </c:pt>
                <c:pt idx="2">
                  <c:v>0.72</c:v>
                </c:pt>
                <c:pt idx="3">
                  <c:v>1.17</c:v>
                </c:pt>
                <c:pt idx="4">
                  <c:v>1.26</c:v>
                </c:pt>
              </c:numCache>
            </c:numRef>
          </c:val>
          <c:smooth val="0"/>
          <c:extLst xmlns:c16r2="http://schemas.microsoft.com/office/drawing/2015/06/chart">
            <c:ext xmlns:c16="http://schemas.microsoft.com/office/drawing/2014/chart" uri="{C3380CC4-5D6E-409C-BE32-E72D297353CC}">
              <c16:uniqueId val="{00000000-88FE-467F-A4B2-6D1A8E8886DB}"/>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Sheet1!$A$2:$A$6</c:f>
              <c:numCache>
                <c:formatCode>General</c:formatCode>
                <c:ptCount val="5"/>
                <c:pt idx="0">
                  <c:v>2019</c:v>
                </c:pt>
                <c:pt idx="1">
                  <c:v>2020</c:v>
                </c:pt>
                <c:pt idx="2">
                  <c:v>2021</c:v>
                </c:pt>
                <c:pt idx="3">
                  <c:v>2022</c:v>
                </c:pt>
                <c:pt idx="4">
                  <c:v>2023</c:v>
                </c:pt>
              </c:numCache>
            </c:numRef>
          </c:cat>
          <c:val>
            <c:numRef>
              <c:f>Sheet1!$C$2:$C$6</c:f>
              <c:numCache>
                <c:formatCode>General</c:formatCode>
                <c:ptCount val="5"/>
                <c:pt idx="0">
                  <c:v>0.53</c:v>
                </c:pt>
                <c:pt idx="1">
                  <c:v>0.55000000000000004</c:v>
                </c:pt>
                <c:pt idx="2">
                  <c:v>0.51</c:v>
                </c:pt>
                <c:pt idx="3">
                  <c:v>0.88</c:v>
                </c:pt>
                <c:pt idx="4">
                  <c:v>0.68</c:v>
                </c:pt>
              </c:numCache>
            </c:numRef>
          </c:val>
          <c:smooth val="0"/>
          <c:extLst xmlns:c16r2="http://schemas.microsoft.com/office/drawing/2015/06/chart">
            <c:ext xmlns:c16="http://schemas.microsoft.com/office/drawing/2014/chart" uri="{C3380CC4-5D6E-409C-BE32-E72D297353CC}">
              <c16:uniqueId val="{00000001-88FE-467F-A4B2-6D1A8E8886DB}"/>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Sheet1!$A$2:$A$6</c:f>
              <c:numCache>
                <c:formatCode>General</c:formatCode>
                <c:ptCount val="5"/>
                <c:pt idx="0">
                  <c:v>2019</c:v>
                </c:pt>
                <c:pt idx="1">
                  <c:v>2020</c:v>
                </c:pt>
                <c:pt idx="2">
                  <c:v>2021</c:v>
                </c:pt>
                <c:pt idx="3">
                  <c:v>2022</c:v>
                </c:pt>
                <c:pt idx="4">
                  <c:v>2023</c:v>
                </c:pt>
              </c:numCache>
            </c:numRef>
          </c:cat>
          <c:val>
            <c:numRef>
              <c:f>Sheet1!$D$2:$D$6</c:f>
              <c:numCache>
                <c:formatCode>General</c:formatCode>
                <c:ptCount val="5"/>
                <c:pt idx="0">
                  <c:v>0.25</c:v>
                </c:pt>
                <c:pt idx="1">
                  <c:v>0.91</c:v>
                </c:pt>
                <c:pt idx="2">
                  <c:v>0.7</c:v>
                </c:pt>
                <c:pt idx="3">
                  <c:v>0.65</c:v>
                </c:pt>
                <c:pt idx="4">
                  <c:v>0.96</c:v>
                </c:pt>
              </c:numCache>
            </c:numRef>
          </c:val>
          <c:smooth val="0"/>
          <c:extLst xmlns:c16r2="http://schemas.microsoft.com/office/drawing/2015/06/chart">
            <c:ext xmlns:c16="http://schemas.microsoft.com/office/drawing/2014/chart" uri="{C3380CC4-5D6E-409C-BE32-E72D297353CC}">
              <c16:uniqueId val="{00000002-88FE-467F-A4B2-6D1A8E8886DB}"/>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Sheet1!$A$2:$A$6</c:f>
              <c:numCache>
                <c:formatCode>General</c:formatCode>
                <c:ptCount val="5"/>
                <c:pt idx="0">
                  <c:v>2019</c:v>
                </c:pt>
                <c:pt idx="1">
                  <c:v>2020</c:v>
                </c:pt>
                <c:pt idx="2">
                  <c:v>2021</c:v>
                </c:pt>
                <c:pt idx="3">
                  <c:v>2022</c:v>
                </c:pt>
                <c:pt idx="4">
                  <c:v>2023</c:v>
                </c:pt>
              </c:numCache>
            </c:numRef>
          </c:cat>
          <c:val>
            <c:numRef>
              <c:f>Sheet1!$E$2:$E$6</c:f>
              <c:numCache>
                <c:formatCode>General</c:formatCode>
                <c:ptCount val="5"/>
                <c:pt idx="0">
                  <c:v>0.89</c:v>
                </c:pt>
                <c:pt idx="1">
                  <c:v>1.24</c:v>
                </c:pt>
                <c:pt idx="2">
                  <c:v>0.81</c:v>
                </c:pt>
                <c:pt idx="3">
                  <c:v>0.83</c:v>
                </c:pt>
                <c:pt idx="4">
                  <c:v>0.72</c:v>
                </c:pt>
              </c:numCache>
            </c:numRef>
          </c:val>
          <c:smooth val="0"/>
          <c:extLst xmlns:c16r2="http://schemas.microsoft.com/office/drawing/2015/06/chart">
            <c:ext xmlns:c16="http://schemas.microsoft.com/office/drawing/2014/chart" uri="{C3380CC4-5D6E-409C-BE32-E72D297353CC}">
              <c16:uniqueId val="{00000003-88FE-467F-A4B2-6D1A8E8886DB}"/>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Sheet1!$A$2:$A$6</c:f>
              <c:numCache>
                <c:formatCode>General</c:formatCode>
                <c:ptCount val="5"/>
                <c:pt idx="0">
                  <c:v>2019</c:v>
                </c:pt>
                <c:pt idx="1">
                  <c:v>2020</c:v>
                </c:pt>
                <c:pt idx="2">
                  <c:v>2021</c:v>
                </c:pt>
                <c:pt idx="3">
                  <c:v>2022</c:v>
                </c:pt>
                <c:pt idx="4">
                  <c:v>2023</c:v>
                </c:pt>
              </c:numCache>
            </c:numRef>
          </c:cat>
          <c:val>
            <c:numRef>
              <c:f>Sheet1!$F$2:$F$6</c:f>
              <c:numCache>
                <c:formatCode>General</c:formatCode>
                <c:ptCount val="5"/>
                <c:pt idx="0">
                  <c:v>0.62</c:v>
                </c:pt>
                <c:pt idx="1">
                  <c:v>0.64</c:v>
                </c:pt>
                <c:pt idx="2">
                  <c:v>0.52</c:v>
                </c:pt>
                <c:pt idx="3">
                  <c:v>0.6</c:v>
                </c:pt>
                <c:pt idx="4">
                  <c:v>0.51</c:v>
                </c:pt>
              </c:numCache>
            </c:numRef>
          </c:val>
          <c:smooth val="0"/>
          <c:extLst xmlns:c16r2="http://schemas.microsoft.com/office/drawing/2015/06/chart">
            <c:ext xmlns:c16="http://schemas.microsoft.com/office/drawing/2014/chart" uri="{C3380CC4-5D6E-409C-BE32-E72D297353CC}">
              <c16:uniqueId val="{00000004-88FE-467F-A4B2-6D1A8E8886DB}"/>
            </c:ext>
          </c:extLst>
        </c:ser>
        <c:dLbls>
          <c:showLegendKey val="0"/>
          <c:showVal val="0"/>
          <c:showCatName val="0"/>
          <c:showSerName val="0"/>
          <c:showPercent val="0"/>
          <c:showBubbleSize val="0"/>
        </c:dLbls>
        <c:marker val="1"/>
        <c:smooth val="0"/>
        <c:axId val="361485824"/>
        <c:axId val="373065984"/>
      </c:lineChart>
      <c:catAx>
        <c:axId val="361485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3065984"/>
        <c:crosses val="autoZero"/>
        <c:auto val="1"/>
        <c:lblAlgn val="ctr"/>
        <c:lblOffset val="100"/>
        <c:noMultiLvlLbl val="0"/>
      </c:catAx>
      <c:valAx>
        <c:axId val="373065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61485824"/>
        <c:crosses val="autoZero"/>
        <c:crossBetween val="between"/>
      </c:valAx>
      <c:spPr>
        <a:noFill/>
        <a:ln>
          <a:noFill/>
        </a:ln>
        <a:effectLst/>
      </c:spPr>
    </c:plotArea>
    <c:legend>
      <c:legendPos val="b"/>
      <c:layout>
        <c:manualLayout>
          <c:xMode val="edge"/>
          <c:yMode val="edge"/>
          <c:x val="9.1805795331733261E-2"/>
          <c:y val="0.6524112446470508"/>
          <c:w val="0.84302274715660541"/>
          <c:h val="0.138175819282229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2.2. Biểu đồ thể hiện hệ số khả năng thanh toán nhanh của các CTCP niêm yết thuộc TKV giai đoạn 2019 - 2023</a:t>
            </a:r>
          </a:p>
        </c:rich>
      </c:tx>
      <c:layout>
        <c:manualLayout>
          <c:xMode val="edge"/>
          <c:yMode val="edge"/>
          <c:x val="9.910471535885601E-2"/>
          <c:y val="0.86736238449645853"/>
        </c:manualLayout>
      </c:layout>
      <c:overlay val="0"/>
      <c:spPr>
        <a:noFill/>
        <a:ln>
          <a:noFill/>
        </a:ln>
        <a:effectLst/>
      </c:spPr>
    </c:title>
    <c:autoTitleDeleted val="0"/>
    <c:plotArea>
      <c:layout>
        <c:manualLayout>
          <c:layoutTarget val="inner"/>
          <c:xMode val="edge"/>
          <c:yMode val="edge"/>
          <c:x val="5.840419947506563E-2"/>
          <c:y val="2.9774925394599618E-2"/>
          <c:w val="0.91630844420309532"/>
          <c:h val="0.5329112285621832"/>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Sheet1!$A$2:$A$6</c:f>
              <c:numCache>
                <c:formatCode>General</c:formatCode>
                <c:ptCount val="5"/>
                <c:pt idx="0">
                  <c:v>2019</c:v>
                </c:pt>
                <c:pt idx="1">
                  <c:v>2020</c:v>
                </c:pt>
                <c:pt idx="2">
                  <c:v>2021</c:v>
                </c:pt>
                <c:pt idx="3">
                  <c:v>2022</c:v>
                </c:pt>
                <c:pt idx="4">
                  <c:v>2023</c:v>
                </c:pt>
              </c:numCache>
            </c:numRef>
          </c:cat>
          <c:val>
            <c:numRef>
              <c:f>Sheet1!$B$2:$B$6</c:f>
              <c:numCache>
                <c:formatCode>General</c:formatCode>
                <c:ptCount val="5"/>
                <c:pt idx="0">
                  <c:v>0.45</c:v>
                </c:pt>
                <c:pt idx="1">
                  <c:v>0.42</c:v>
                </c:pt>
                <c:pt idx="2">
                  <c:v>0.35</c:v>
                </c:pt>
                <c:pt idx="3">
                  <c:v>0.91</c:v>
                </c:pt>
                <c:pt idx="4">
                  <c:v>0</c:v>
                </c:pt>
              </c:numCache>
            </c:numRef>
          </c:val>
          <c:smooth val="0"/>
          <c:extLst xmlns:c16r2="http://schemas.microsoft.com/office/drawing/2015/06/chart">
            <c:ext xmlns:c16="http://schemas.microsoft.com/office/drawing/2014/chart" uri="{C3380CC4-5D6E-409C-BE32-E72D297353CC}">
              <c16:uniqueId val="{00000000-10E4-4BB8-A73A-A92EB4DB7ED9}"/>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Sheet1!$A$2:$A$6</c:f>
              <c:numCache>
                <c:formatCode>General</c:formatCode>
                <c:ptCount val="5"/>
                <c:pt idx="0">
                  <c:v>2019</c:v>
                </c:pt>
                <c:pt idx="1">
                  <c:v>2020</c:v>
                </c:pt>
                <c:pt idx="2">
                  <c:v>2021</c:v>
                </c:pt>
                <c:pt idx="3">
                  <c:v>2022</c:v>
                </c:pt>
                <c:pt idx="4">
                  <c:v>2023</c:v>
                </c:pt>
              </c:numCache>
            </c:numRef>
          </c:cat>
          <c:val>
            <c:numRef>
              <c:f>Sheet1!$C$2:$C$6</c:f>
              <c:numCache>
                <c:formatCode>General</c:formatCode>
                <c:ptCount val="5"/>
                <c:pt idx="0">
                  <c:v>0.45</c:v>
                </c:pt>
                <c:pt idx="1">
                  <c:v>0.51</c:v>
                </c:pt>
                <c:pt idx="2">
                  <c:v>0.46</c:v>
                </c:pt>
                <c:pt idx="3">
                  <c:v>0.8</c:v>
                </c:pt>
                <c:pt idx="4">
                  <c:v>0.6</c:v>
                </c:pt>
              </c:numCache>
            </c:numRef>
          </c:val>
          <c:smooth val="0"/>
          <c:extLst xmlns:c16r2="http://schemas.microsoft.com/office/drawing/2015/06/chart">
            <c:ext xmlns:c16="http://schemas.microsoft.com/office/drawing/2014/chart" uri="{C3380CC4-5D6E-409C-BE32-E72D297353CC}">
              <c16:uniqueId val="{00000001-10E4-4BB8-A73A-A92EB4DB7ED9}"/>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Sheet1!$A$2:$A$6</c:f>
              <c:numCache>
                <c:formatCode>General</c:formatCode>
                <c:ptCount val="5"/>
                <c:pt idx="0">
                  <c:v>2019</c:v>
                </c:pt>
                <c:pt idx="1">
                  <c:v>2020</c:v>
                </c:pt>
                <c:pt idx="2">
                  <c:v>2021</c:v>
                </c:pt>
                <c:pt idx="3">
                  <c:v>2022</c:v>
                </c:pt>
                <c:pt idx="4">
                  <c:v>2023</c:v>
                </c:pt>
              </c:numCache>
            </c:numRef>
          </c:cat>
          <c:val>
            <c:numRef>
              <c:f>Sheet1!$D$2:$D$6</c:f>
              <c:numCache>
                <c:formatCode>General</c:formatCode>
                <c:ptCount val="5"/>
                <c:pt idx="0">
                  <c:v>0.06</c:v>
                </c:pt>
                <c:pt idx="1">
                  <c:v>0.5</c:v>
                </c:pt>
                <c:pt idx="2">
                  <c:v>0.38</c:v>
                </c:pt>
                <c:pt idx="3">
                  <c:v>0.6</c:v>
                </c:pt>
                <c:pt idx="4">
                  <c:v>0.82</c:v>
                </c:pt>
              </c:numCache>
            </c:numRef>
          </c:val>
          <c:smooth val="0"/>
          <c:extLst xmlns:c16r2="http://schemas.microsoft.com/office/drawing/2015/06/chart">
            <c:ext xmlns:c16="http://schemas.microsoft.com/office/drawing/2014/chart" uri="{C3380CC4-5D6E-409C-BE32-E72D297353CC}">
              <c16:uniqueId val="{00000002-10E4-4BB8-A73A-A92EB4DB7ED9}"/>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Sheet1!$A$2:$A$6</c:f>
              <c:numCache>
                <c:formatCode>General</c:formatCode>
                <c:ptCount val="5"/>
                <c:pt idx="0">
                  <c:v>2019</c:v>
                </c:pt>
                <c:pt idx="1">
                  <c:v>2020</c:v>
                </c:pt>
                <c:pt idx="2">
                  <c:v>2021</c:v>
                </c:pt>
                <c:pt idx="3">
                  <c:v>2022</c:v>
                </c:pt>
                <c:pt idx="4">
                  <c:v>2023</c:v>
                </c:pt>
              </c:numCache>
            </c:numRef>
          </c:cat>
          <c:val>
            <c:numRef>
              <c:f>Sheet1!$E$2:$E$6</c:f>
              <c:numCache>
                <c:formatCode>General</c:formatCode>
                <c:ptCount val="5"/>
                <c:pt idx="0">
                  <c:v>0.43</c:v>
                </c:pt>
                <c:pt idx="1">
                  <c:v>0.75</c:v>
                </c:pt>
                <c:pt idx="2">
                  <c:v>0.32</c:v>
                </c:pt>
                <c:pt idx="3">
                  <c:v>0.46</c:v>
                </c:pt>
                <c:pt idx="4">
                  <c:v>0.38</c:v>
                </c:pt>
              </c:numCache>
            </c:numRef>
          </c:val>
          <c:smooth val="0"/>
          <c:extLst xmlns:c16r2="http://schemas.microsoft.com/office/drawing/2015/06/chart">
            <c:ext xmlns:c16="http://schemas.microsoft.com/office/drawing/2014/chart" uri="{C3380CC4-5D6E-409C-BE32-E72D297353CC}">
              <c16:uniqueId val="{00000003-10E4-4BB8-A73A-A92EB4DB7ED9}"/>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Sheet1!$A$2:$A$6</c:f>
              <c:numCache>
                <c:formatCode>General</c:formatCode>
                <c:ptCount val="5"/>
                <c:pt idx="0">
                  <c:v>2019</c:v>
                </c:pt>
                <c:pt idx="1">
                  <c:v>2020</c:v>
                </c:pt>
                <c:pt idx="2">
                  <c:v>2021</c:v>
                </c:pt>
                <c:pt idx="3">
                  <c:v>2022</c:v>
                </c:pt>
                <c:pt idx="4">
                  <c:v>2023</c:v>
                </c:pt>
              </c:numCache>
            </c:numRef>
          </c:cat>
          <c:val>
            <c:numRef>
              <c:f>Sheet1!$F$2:$F$6</c:f>
              <c:numCache>
                <c:formatCode>General</c:formatCode>
                <c:ptCount val="5"/>
                <c:pt idx="0">
                  <c:v>0.05</c:v>
                </c:pt>
                <c:pt idx="1">
                  <c:v>0.11</c:v>
                </c:pt>
                <c:pt idx="2">
                  <c:v>0.13</c:v>
                </c:pt>
                <c:pt idx="3">
                  <c:v>0.5</c:v>
                </c:pt>
                <c:pt idx="4">
                  <c:v>0.47</c:v>
                </c:pt>
              </c:numCache>
            </c:numRef>
          </c:val>
          <c:smooth val="0"/>
          <c:extLst xmlns:c16r2="http://schemas.microsoft.com/office/drawing/2015/06/chart">
            <c:ext xmlns:c16="http://schemas.microsoft.com/office/drawing/2014/chart" uri="{C3380CC4-5D6E-409C-BE32-E72D297353CC}">
              <c16:uniqueId val="{00000004-10E4-4BB8-A73A-A92EB4DB7ED9}"/>
            </c:ext>
          </c:extLst>
        </c:ser>
        <c:dLbls>
          <c:showLegendKey val="0"/>
          <c:showVal val="0"/>
          <c:showCatName val="0"/>
          <c:showSerName val="0"/>
          <c:showPercent val="0"/>
          <c:showBubbleSize val="0"/>
        </c:dLbls>
        <c:marker val="1"/>
        <c:smooth val="0"/>
        <c:axId val="344472960"/>
        <c:axId val="344512000"/>
      </c:lineChart>
      <c:catAx>
        <c:axId val="344472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4512000"/>
        <c:crosses val="autoZero"/>
        <c:auto val="1"/>
        <c:lblAlgn val="ctr"/>
        <c:lblOffset val="100"/>
        <c:noMultiLvlLbl val="0"/>
      </c:catAx>
      <c:valAx>
        <c:axId val="3445120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4472960"/>
        <c:crosses val="autoZero"/>
        <c:crossBetween val="between"/>
      </c:valAx>
      <c:spPr>
        <a:noFill/>
        <a:ln>
          <a:noFill/>
        </a:ln>
        <a:effectLst/>
      </c:spPr>
    </c:plotArea>
    <c:legend>
      <c:legendPos val="b"/>
      <c:layout>
        <c:manualLayout>
          <c:xMode val="edge"/>
          <c:yMode val="edge"/>
          <c:x val="6.2764232057199748E-2"/>
          <c:y val="0.67922266565994327"/>
          <c:w val="0.86008798495329786"/>
          <c:h val="0.1367694496203241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2.3 Biểu đồ thể hiện h</a:t>
            </a:r>
            <a:r>
              <a:rPr lang="en-US" sz="1300" b="1">
                <a:latin typeface="Times New Roman" panose="02020603050405020304" pitchFamily="18" charset="0"/>
                <a:cs typeface="Times New Roman" panose="02020603050405020304" pitchFamily="18" charset="0"/>
              </a:rPr>
              <a:t>ệ số khả năng thanh toán tức thời của các CTCP niêm yết thuộc TKV</a:t>
            </a:r>
            <a:r>
              <a:rPr lang="vi-VN" sz="1300" b="1">
                <a:latin typeface="Times New Roman" panose="02020603050405020304" pitchFamily="18" charset="0"/>
                <a:cs typeface="Times New Roman" panose="02020603050405020304" pitchFamily="18" charset="0"/>
              </a:rPr>
              <a:t> giai đoạn 2019 - 2023</a:t>
            </a:r>
          </a:p>
        </c:rich>
      </c:tx>
      <c:layout>
        <c:manualLayout>
          <c:xMode val="edge"/>
          <c:yMode val="edge"/>
          <c:x val="0.11489361702127662"/>
          <c:y val="0.85972850678733037"/>
        </c:manualLayout>
      </c:layout>
      <c:overlay val="0"/>
      <c:spPr>
        <a:noFill/>
        <a:ln>
          <a:noFill/>
        </a:ln>
        <a:effectLst/>
      </c:spPr>
    </c:title>
    <c:autoTitleDeleted val="0"/>
    <c:plotArea>
      <c:layout>
        <c:manualLayout>
          <c:layoutTarget val="inner"/>
          <c:xMode val="edge"/>
          <c:yMode val="edge"/>
          <c:x val="6.7296657731613335E-2"/>
          <c:y val="3.0844645550527905E-2"/>
          <c:w val="0.90389128553079801"/>
          <c:h val="0.56752057576513348"/>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Sheet1!$A$2:$A$6</c:f>
              <c:numCache>
                <c:formatCode>General</c:formatCode>
                <c:ptCount val="5"/>
                <c:pt idx="0">
                  <c:v>2019</c:v>
                </c:pt>
                <c:pt idx="1">
                  <c:v>2020</c:v>
                </c:pt>
                <c:pt idx="2">
                  <c:v>2021</c:v>
                </c:pt>
                <c:pt idx="3">
                  <c:v>2022</c:v>
                </c:pt>
                <c:pt idx="4">
                  <c:v>2023</c:v>
                </c:pt>
              </c:numCache>
            </c:numRef>
          </c:cat>
          <c:val>
            <c:numRef>
              <c:f>Sheet1!$B$2:$B$6</c:f>
              <c:numCache>
                <c:formatCode>General</c:formatCode>
                <c:ptCount val="5"/>
                <c:pt idx="0">
                  <c:v>1.0999999999999999E-2</c:v>
                </c:pt>
                <c:pt idx="1">
                  <c:v>0.01</c:v>
                </c:pt>
                <c:pt idx="2">
                  <c:v>1.2E-2</c:v>
                </c:pt>
                <c:pt idx="3">
                  <c:v>8.9999999999999993E-3</c:v>
                </c:pt>
                <c:pt idx="4">
                  <c:v>5.5E-2</c:v>
                </c:pt>
              </c:numCache>
            </c:numRef>
          </c:val>
          <c:smooth val="0"/>
          <c:extLst xmlns:c16r2="http://schemas.microsoft.com/office/drawing/2015/06/chart">
            <c:ext xmlns:c16="http://schemas.microsoft.com/office/drawing/2014/chart" uri="{C3380CC4-5D6E-409C-BE32-E72D297353CC}">
              <c16:uniqueId val="{00000000-68C1-4209-A2E6-C35139FB6B48}"/>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Sheet1!$A$2:$A$6</c:f>
              <c:numCache>
                <c:formatCode>General</c:formatCode>
                <c:ptCount val="5"/>
                <c:pt idx="0">
                  <c:v>2019</c:v>
                </c:pt>
                <c:pt idx="1">
                  <c:v>2020</c:v>
                </c:pt>
                <c:pt idx="2">
                  <c:v>2021</c:v>
                </c:pt>
                <c:pt idx="3">
                  <c:v>2022</c:v>
                </c:pt>
                <c:pt idx="4">
                  <c:v>2023</c:v>
                </c:pt>
              </c:numCache>
            </c:numRef>
          </c:cat>
          <c:val>
            <c:numRef>
              <c:f>Sheet1!$C$2:$C$6</c:f>
              <c:numCache>
                <c:formatCode>General</c:formatCode>
                <c:ptCount val="5"/>
                <c:pt idx="0">
                  <c:v>7.0000000000000001E-3</c:v>
                </c:pt>
                <c:pt idx="1">
                  <c:v>4.0000000000000001E-3</c:v>
                </c:pt>
                <c:pt idx="2">
                  <c:v>7.0000000000000001E-3</c:v>
                </c:pt>
                <c:pt idx="3">
                  <c:v>5.0000000000000001E-3</c:v>
                </c:pt>
                <c:pt idx="4">
                  <c:v>5.0000000000000001E-3</c:v>
                </c:pt>
              </c:numCache>
            </c:numRef>
          </c:val>
          <c:smooth val="0"/>
          <c:extLst xmlns:c16r2="http://schemas.microsoft.com/office/drawing/2015/06/chart">
            <c:ext xmlns:c16="http://schemas.microsoft.com/office/drawing/2014/chart" uri="{C3380CC4-5D6E-409C-BE32-E72D297353CC}">
              <c16:uniqueId val="{00000001-68C1-4209-A2E6-C35139FB6B48}"/>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Sheet1!$A$2:$A$6</c:f>
              <c:numCache>
                <c:formatCode>General</c:formatCode>
                <c:ptCount val="5"/>
                <c:pt idx="0">
                  <c:v>2019</c:v>
                </c:pt>
                <c:pt idx="1">
                  <c:v>2020</c:v>
                </c:pt>
                <c:pt idx="2">
                  <c:v>2021</c:v>
                </c:pt>
                <c:pt idx="3">
                  <c:v>2022</c:v>
                </c:pt>
                <c:pt idx="4">
                  <c:v>2023</c:v>
                </c:pt>
              </c:numCache>
            </c:numRef>
          </c:cat>
          <c:val>
            <c:numRef>
              <c:f>Sheet1!$D$2:$D$6</c:f>
              <c:numCache>
                <c:formatCode>General</c:formatCode>
                <c:ptCount val="5"/>
                <c:pt idx="0">
                  <c:v>3.0000000000000001E-3</c:v>
                </c:pt>
                <c:pt idx="1">
                  <c:v>3.0000000000000001E-3</c:v>
                </c:pt>
                <c:pt idx="2">
                  <c:v>4.0000000000000001E-3</c:v>
                </c:pt>
                <c:pt idx="3">
                  <c:v>3.0000000000000001E-3</c:v>
                </c:pt>
                <c:pt idx="4">
                  <c:v>5.0000000000000001E-3</c:v>
                </c:pt>
              </c:numCache>
            </c:numRef>
          </c:val>
          <c:smooth val="0"/>
          <c:extLst xmlns:c16r2="http://schemas.microsoft.com/office/drawing/2015/06/chart">
            <c:ext xmlns:c16="http://schemas.microsoft.com/office/drawing/2014/chart" uri="{C3380CC4-5D6E-409C-BE32-E72D297353CC}">
              <c16:uniqueId val="{00000002-68C1-4209-A2E6-C35139FB6B48}"/>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Sheet1!$A$2:$A$6</c:f>
              <c:numCache>
                <c:formatCode>General</c:formatCode>
                <c:ptCount val="5"/>
                <c:pt idx="0">
                  <c:v>2019</c:v>
                </c:pt>
                <c:pt idx="1">
                  <c:v>2020</c:v>
                </c:pt>
                <c:pt idx="2">
                  <c:v>2021</c:v>
                </c:pt>
                <c:pt idx="3">
                  <c:v>2022</c:v>
                </c:pt>
                <c:pt idx="4">
                  <c:v>2023</c:v>
                </c:pt>
              </c:numCache>
            </c:numRef>
          </c:cat>
          <c:val>
            <c:numRef>
              <c:f>Sheet1!$E$2:$E$6</c:f>
              <c:numCache>
                <c:formatCode>General</c:formatCode>
                <c:ptCount val="5"/>
                <c:pt idx="0">
                  <c:v>7.0000000000000001E-3</c:v>
                </c:pt>
                <c:pt idx="1">
                  <c:v>0.01</c:v>
                </c:pt>
                <c:pt idx="2">
                  <c:v>8.0000000000000002E-3</c:v>
                </c:pt>
                <c:pt idx="3">
                  <c:v>6.0000000000000001E-3</c:v>
                </c:pt>
                <c:pt idx="4">
                  <c:v>5.0000000000000001E-3</c:v>
                </c:pt>
              </c:numCache>
            </c:numRef>
          </c:val>
          <c:smooth val="0"/>
          <c:extLst xmlns:c16r2="http://schemas.microsoft.com/office/drawing/2015/06/chart">
            <c:ext xmlns:c16="http://schemas.microsoft.com/office/drawing/2014/chart" uri="{C3380CC4-5D6E-409C-BE32-E72D297353CC}">
              <c16:uniqueId val="{00000003-68C1-4209-A2E6-C35139FB6B48}"/>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Sheet1!$A$2:$A$6</c:f>
              <c:numCache>
                <c:formatCode>General</c:formatCode>
                <c:ptCount val="5"/>
                <c:pt idx="0">
                  <c:v>2019</c:v>
                </c:pt>
                <c:pt idx="1">
                  <c:v>2020</c:v>
                </c:pt>
                <c:pt idx="2">
                  <c:v>2021</c:v>
                </c:pt>
                <c:pt idx="3">
                  <c:v>2022</c:v>
                </c:pt>
                <c:pt idx="4">
                  <c:v>2023</c:v>
                </c:pt>
              </c:numCache>
            </c:numRef>
          </c:cat>
          <c:val>
            <c:numRef>
              <c:f>Sheet1!$F$2:$F$6</c:f>
              <c:numCache>
                <c:formatCode>General</c:formatCode>
                <c:ptCount val="5"/>
                <c:pt idx="0">
                  <c:v>3.0000000000000001E-3</c:v>
                </c:pt>
                <c:pt idx="1">
                  <c:v>3.0000000000000001E-3</c:v>
                </c:pt>
                <c:pt idx="2">
                  <c:v>2E-3</c:v>
                </c:pt>
                <c:pt idx="3">
                  <c:v>1E-3</c:v>
                </c:pt>
                <c:pt idx="4">
                  <c:v>2E-3</c:v>
                </c:pt>
              </c:numCache>
            </c:numRef>
          </c:val>
          <c:smooth val="0"/>
          <c:extLst xmlns:c16r2="http://schemas.microsoft.com/office/drawing/2015/06/chart">
            <c:ext xmlns:c16="http://schemas.microsoft.com/office/drawing/2014/chart" uri="{C3380CC4-5D6E-409C-BE32-E72D297353CC}">
              <c16:uniqueId val="{00000004-68C1-4209-A2E6-C35139FB6B48}"/>
            </c:ext>
          </c:extLst>
        </c:ser>
        <c:dLbls>
          <c:showLegendKey val="0"/>
          <c:showVal val="0"/>
          <c:showCatName val="0"/>
          <c:showSerName val="0"/>
          <c:showPercent val="0"/>
          <c:showBubbleSize val="0"/>
        </c:dLbls>
        <c:marker val="1"/>
        <c:smooth val="0"/>
        <c:axId val="345143936"/>
        <c:axId val="345240320"/>
      </c:lineChart>
      <c:catAx>
        <c:axId val="345143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5240320"/>
        <c:crosses val="autoZero"/>
        <c:auto val="1"/>
        <c:lblAlgn val="ctr"/>
        <c:lblOffset val="100"/>
        <c:noMultiLvlLbl val="0"/>
      </c:catAx>
      <c:valAx>
        <c:axId val="3452403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5143936"/>
        <c:crosses val="autoZero"/>
        <c:crossBetween val="between"/>
      </c:valAx>
      <c:spPr>
        <a:noFill/>
        <a:ln>
          <a:noFill/>
        </a:ln>
        <a:effectLst/>
      </c:spPr>
    </c:plotArea>
    <c:legend>
      <c:legendPos val="b"/>
      <c:layout>
        <c:manualLayout>
          <c:xMode val="edge"/>
          <c:yMode val="edge"/>
          <c:x val="9.176072904450773E-2"/>
          <c:y val="0.70493877744919897"/>
          <c:w val="0.84750691070531081"/>
          <c:h val="0.121607225567392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2.4. Biểu đồ thể hiện hệ số khả năng thanh toán lãi vay của các CTCP niêm yết thuộc TKV</a:t>
            </a:r>
            <a:r>
              <a:rPr lang="en-US" sz="1300" b="1">
                <a:latin typeface="Times New Roman" panose="02020603050405020304" pitchFamily="18" charset="0"/>
                <a:cs typeface="Times New Roman" panose="02020603050405020304" pitchFamily="18" charset="0"/>
              </a:rPr>
              <a:t> </a:t>
            </a:r>
            <a:r>
              <a:rPr lang="vi-VN" sz="1300" b="1">
                <a:latin typeface="Times New Roman" panose="02020603050405020304" pitchFamily="18" charset="0"/>
                <a:cs typeface="Times New Roman" panose="02020603050405020304" pitchFamily="18" charset="0"/>
              </a:rPr>
              <a:t>giai đoạn 2019 - 2023</a:t>
            </a:r>
          </a:p>
        </c:rich>
      </c:tx>
      <c:layout>
        <c:manualLayout>
          <c:xMode val="edge"/>
          <c:yMode val="edge"/>
          <c:x val="0.13208933722642099"/>
          <c:y val="0.81612586037364798"/>
        </c:manualLayout>
      </c:layout>
      <c:overlay val="0"/>
      <c:spPr>
        <a:noFill/>
        <a:ln>
          <a:noFill/>
        </a:ln>
        <a:effectLst/>
      </c:spPr>
    </c:title>
    <c:autoTitleDeleted val="0"/>
    <c:plotArea>
      <c:layout>
        <c:manualLayout>
          <c:layoutTarget val="inner"/>
          <c:xMode val="edge"/>
          <c:yMode val="edge"/>
          <c:x val="5.5464552874665764E-2"/>
          <c:y val="6.4847590953785658E-2"/>
          <c:w val="0.91999283222127359"/>
          <c:h val="0.4409855294636843"/>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2019</c:v>
                </c:pt>
                <c:pt idx="1">
                  <c:v>2020</c:v>
                </c:pt>
                <c:pt idx="2">
                  <c:v>2021</c:v>
                </c:pt>
                <c:pt idx="3">
                  <c:v>2022</c:v>
                </c:pt>
                <c:pt idx="4">
                  <c:v>2023 </c:v>
                </c:pt>
              </c:strCache>
            </c:strRef>
          </c:cat>
          <c:val>
            <c:numRef>
              <c:f>Sheet1!$B$2:$B$6</c:f>
              <c:numCache>
                <c:formatCode>General</c:formatCode>
                <c:ptCount val="5"/>
                <c:pt idx="0">
                  <c:v>1.66</c:v>
                </c:pt>
                <c:pt idx="1">
                  <c:v>1.74</c:v>
                </c:pt>
                <c:pt idx="2">
                  <c:v>2.5499999999999998</c:v>
                </c:pt>
                <c:pt idx="3">
                  <c:v>4.66</c:v>
                </c:pt>
                <c:pt idx="4">
                  <c:v>3.82</c:v>
                </c:pt>
              </c:numCache>
            </c:numRef>
          </c:val>
          <c:smooth val="0"/>
          <c:extLst xmlns:c16r2="http://schemas.microsoft.com/office/drawing/2015/06/chart">
            <c:ext xmlns:c16="http://schemas.microsoft.com/office/drawing/2014/chart" uri="{C3380CC4-5D6E-409C-BE32-E72D297353CC}">
              <c16:uniqueId val="{00000000-4E6B-45A2-9513-377788A575CC}"/>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2019</c:v>
                </c:pt>
                <c:pt idx="1">
                  <c:v>2020</c:v>
                </c:pt>
                <c:pt idx="2">
                  <c:v>2021</c:v>
                </c:pt>
                <c:pt idx="3">
                  <c:v>2022</c:v>
                </c:pt>
                <c:pt idx="4">
                  <c:v>2023 </c:v>
                </c:pt>
              </c:strCache>
            </c:strRef>
          </c:cat>
          <c:val>
            <c:numRef>
              <c:f>Sheet1!$C$2:$C$6</c:f>
              <c:numCache>
                <c:formatCode>General</c:formatCode>
                <c:ptCount val="5"/>
                <c:pt idx="0">
                  <c:v>1.65</c:v>
                </c:pt>
                <c:pt idx="1">
                  <c:v>1.54</c:v>
                </c:pt>
                <c:pt idx="2">
                  <c:v>1.92</c:v>
                </c:pt>
                <c:pt idx="3">
                  <c:v>4.37</c:v>
                </c:pt>
                <c:pt idx="4">
                  <c:v>3.33</c:v>
                </c:pt>
              </c:numCache>
            </c:numRef>
          </c:val>
          <c:smooth val="0"/>
          <c:extLst xmlns:c16r2="http://schemas.microsoft.com/office/drawing/2015/06/chart">
            <c:ext xmlns:c16="http://schemas.microsoft.com/office/drawing/2014/chart" uri="{C3380CC4-5D6E-409C-BE32-E72D297353CC}">
              <c16:uniqueId val="{00000001-4E6B-45A2-9513-377788A575CC}"/>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2019</c:v>
                </c:pt>
                <c:pt idx="1">
                  <c:v>2020</c:v>
                </c:pt>
                <c:pt idx="2">
                  <c:v>2021</c:v>
                </c:pt>
                <c:pt idx="3">
                  <c:v>2022</c:v>
                </c:pt>
                <c:pt idx="4">
                  <c:v>2023 </c:v>
                </c:pt>
              </c:strCache>
            </c:strRef>
          </c:cat>
          <c:val>
            <c:numRef>
              <c:f>Sheet1!$D$2:$D$6</c:f>
              <c:numCache>
                <c:formatCode>General</c:formatCode>
                <c:ptCount val="5"/>
                <c:pt idx="0">
                  <c:v>0.54</c:v>
                </c:pt>
                <c:pt idx="1">
                  <c:v>0.2</c:v>
                </c:pt>
                <c:pt idx="2">
                  <c:v>0.54</c:v>
                </c:pt>
                <c:pt idx="3">
                  <c:v>0.82</c:v>
                </c:pt>
                <c:pt idx="4">
                  <c:v>2.42</c:v>
                </c:pt>
              </c:numCache>
            </c:numRef>
          </c:val>
          <c:smooth val="0"/>
          <c:extLst xmlns:c16r2="http://schemas.microsoft.com/office/drawing/2015/06/chart">
            <c:ext xmlns:c16="http://schemas.microsoft.com/office/drawing/2014/chart" uri="{C3380CC4-5D6E-409C-BE32-E72D297353CC}">
              <c16:uniqueId val="{00000002-4E6B-45A2-9513-377788A575CC}"/>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2019</c:v>
                </c:pt>
                <c:pt idx="1">
                  <c:v>2020</c:v>
                </c:pt>
                <c:pt idx="2">
                  <c:v>2021</c:v>
                </c:pt>
                <c:pt idx="3">
                  <c:v>2022</c:v>
                </c:pt>
                <c:pt idx="4">
                  <c:v>2023 </c:v>
                </c:pt>
              </c:strCache>
            </c:strRef>
          </c:cat>
          <c:val>
            <c:numRef>
              <c:f>Sheet1!$E$2:$E$6</c:f>
              <c:numCache>
                <c:formatCode>General</c:formatCode>
                <c:ptCount val="5"/>
                <c:pt idx="0">
                  <c:v>5.48</c:v>
                </c:pt>
                <c:pt idx="1">
                  <c:v>1.74</c:v>
                </c:pt>
                <c:pt idx="2">
                  <c:v>1.75</c:v>
                </c:pt>
                <c:pt idx="3">
                  <c:v>3.65</c:v>
                </c:pt>
                <c:pt idx="4">
                  <c:v>8.75</c:v>
                </c:pt>
              </c:numCache>
            </c:numRef>
          </c:val>
          <c:smooth val="0"/>
          <c:extLst xmlns:c16r2="http://schemas.microsoft.com/office/drawing/2015/06/chart">
            <c:ext xmlns:c16="http://schemas.microsoft.com/office/drawing/2014/chart" uri="{C3380CC4-5D6E-409C-BE32-E72D297353CC}">
              <c16:uniqueId val="{00000003-4E6B-45A2-9513-377788A575CC}"/>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2019</c:v>
                </c:pt>
                <c:pt idx="1">
                  <c:v>2020</c:v>
                </c:pt>
                <c:pt idx="2">
                  <c:v>2021</c:v>
                </c:pt>
                <c:pt idx="3">
                  <c:v>2022</c:v>
                </c:pt>
                <c:pt idx="4">
                  <c:v>2023 </c:v>
                </c:pt>
              </c:strCache>
            </c:strRef>
          </c:cat>
          <c:val>
            <c:numRef>
              <c:f>Sheet1!$F$2:$F$6</c:f>
              <c:numCache>
                <c:formatCode>General</c:formatCode>
                <c:ptCount val="5"/>
                <c:pt idx="0">
                  <c:v>1.39</c:v>
                </c:pt>
                <c:pt idx="1">
                  <c:v>1.25</c:v>
                </c:pt>
                <c:pt idx="2">
                  <c:v>1.28</c:v>
                </c:pt>
                <c:pt idx="3">
                  <c:v>1.38</c:v>
                </c:pt>
                <c:pt idx="4">
                  <c:v>1.99</c:v>
                </c:pt>
              </c:numCache>
            </c:numRef>
          </c:val>
          <c:smooth val="0"/>
          <c:extLst xmlns:c16r2="http://schemas.microsoft.com/office/drawing/2015/06/chart">
            <c:ext xmlns:c16="http://schemas.microsoft.com/office/drawing/2014/chart" uri="{C3380CC4-5D6E-409C-BE32-E72D297353CC}">
              <c16:uniqueId val="{00000004-4E6B-45A2-9513-377788A575CC}"/>
            </c:ext>
          </c:extLst>
        </c:ser>
        <c:dLbls>
          <c:showLegendKey val="0"/>
          <c:showVal val="0"/>
          <c:showCatName val="0"/>
          <c:showSerName val="0"/>
          <c:showPercent val="0"/>
          <c:showBubbleSize val="0"/>
        </c:dLbls>
        <c:marker val="1"/>
        <c:smooth val="0"/>
        <c:axId val="347211648"/>
        <c:axId val="347213824"/>
      </c:lineChart>
      <c:catAx>
        <c:axId val="347211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213824"/>
        <c:crosses val="autoZero"/>
        <c:auto val="1"/>
        <c:lblAlgn val="ctr"/>
        <c:lblOffset val="100"/>
        <c:noMultiLvlLbl val="0"/>
      </c:catAx>
      <c:valAx>
        <c:axId val="347213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211648"/>
        <c:crosses val="autoZero"/>
        <c:crossBetween val="between"/>
      </c:valAx>
      <c:spPr>
        <a:noFill/>
        <a:ln>
          <a:noFill/>
        </a:ln>
        <a:effectLst/>
      </c:spPr>
    </c:plotArea>
    <c:legend>
      <c:legendPos val="b"/>
      <c:layout>
        <c:manualLayout>
          <c:xMode val="edge"/>
          <c:yMode val="edge"/>
          <c:x val="7.564132294708141E-2"/>
          <c:y val="0.63987101169875882"/>
          <c:w val="0.84413933357668036"/>
          <c:h val="0.1549002700310875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2.5. Biểu đồ thể hiện hệ số nợ các CTCP niêm yết thuộc TKV giai đoạn 2019 - 2023</a:t>
            </a:r>
          </a:p>
        </c:rich>
      </c:tx>
      <c:layout>
        <c:manualLayout>
          <c:xMode val="edge"/>
          <c:yMode val="edge"/>
          <c:x val="0.15742718319008406"/>
          <c:y val="0.72796934865900387"/>
        </c:manualLayout>
      </c:layout>
      <c:overlay val="0"/>
      <c:spPr>
        <a:noFill/>
        <a:ln>
          <a:noFill/>
        </a:ln>
        <a:effectLst/>
      </c:spPr>
    </c:title>
    <c:autoTitleDeleted val="0"/>
    <c:plotArea>
      <c:layout>
        <c:manualLayout>
          <c:layoutTarget val="inner"/>
          <c:xMode val="edge"/>
          <c:yMode val="edge"/>
          <c:x val="6.9657065399013965E-2"/>
          <c:y val="7.8017241379310334E-2"/>
          <c:w val="0.9112680657407094"/>
          <c:h val="0.29751598938063778"/>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2019</c:v>
                </c:pt>
                <c:pt idx="1">
                  <c:v>2020</c:v>
                </c:pt>
                <c:pt idx="2">
                  <c:v>2021</c:v>
                </c:pt>
                <c:pt idx="3">
                  <c:v>2022</c:v>
                </c:pt>
                <c:pt idx="4">
                  <c:v>2023 </c:v>
                </c:pt>
              </c:strCache>
            </c:strRef>
          </c:cat>
          <c:val>
            <c:numRef>
              <c:f>Sheet1!$B$2:$B$6</c:f>
              <c:numCache>
                <c:formatCode>General</c:formatCode>
                <c:ptCount val="5"/>
                <c:pt idx="0">
                  <c:v>0.8</c:v>
                </c:pt>
                <c:pt idx="1">
                  <c:v>0.81</c:v>
                </c:pt>
                <c:pt idx="2">
                  <c:v>0.77</c:v>
                </c:pt>
                <c:pt idx="3">
                  <c:v>0.75</c:v>
                </c:pt>
                <c:pt idx="4">
                  <c:v>0.67</c:v>
                </c:pt>
              </c:numCache>
            </c:numRef>
          </c:val>
          <c:smooth val="0"/>
          <c:extLst xmlns:c16r2="http://schemas.microsoft.com/office/drawing/2015/06/chart">
            <c:ext xmlns:c16="http://schemas.microsoft.com/office/drawing/2014/chart" uri="{C3380CC4-5D6E-409C-BE32-E72D297353CC}">
              <c16:uniqueId val="{00000000-3AF8-47D3-A7AD-1C7C032C800C}"/>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2019</c:v>
                </c:pt>
                <c:pt idx="1">
                  <c:v>2020</c:v>
                </c:pt>
                <c:pt idx="2">
                  <c:v>2021</c:v>
                </c:pt>
                <c:pt idx="3">
                  <c:v>2022</c:v>
                </c:pt>
                <c:pt idx="4">
                  <c:v>2023 </c:v>
                </c:pt>
              </c:strCache>
            </c:strRef>
          </c:cat>
          <c:val>
            <c:numRef>
              <c:f>Sheet1!$C$2:$C$6</c:f>
              <c:numCache>
                <c:formatCode>General</c:formatCode>
                <c:ptCount val="5"/>
                <c:pt idx="0">
                  <c:v>0.77</c:v>
                </c:pt>
                <c:pt idx="1">
                  <c:v>0.83</c:v>
                </c:pt>
                <c:pt idx="2">
                  <c:v>0.78</c:v>
                </c:pt>
                <c:pt idx="3">
                  <c:v>0.78</c:v>
                </c:pt>
                <c:pt idx="4">
                  <c:v>0.69</c:v>
                </c:pt>
              </c:numCache>
            </c:numRef>
          </c:val>
          <c:smooth val="0"/>
          <c:extLst xmlns:c16r2="http://schemas.microsoft.com/office/drawing/2015/06/chart">
            <c:ext xmlns:c16="http://schemas.microsoft.com/office/drawing/2014/chart" uri="{C3380CC4-5D6E-409C-BE32-E72D297353CC}">
              <c16:uniqueId val="{00000001-3AF8-47D3-A7AD-1C7C032C800C}"/>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2019</c:v>
                </c:pt>
                <c:pt idx="1">
                  <c:v>2020</c:v>
                </c:pt>
                <c:pt idx="2">
                  <c:v>2021</c:v>
                </c:pt>
                <c:pt idx="3">
                  <c:v>2022</c:v>
                </c:pt>
                <c:pt idx="4">
                  <c:v>2023 </c:v>
                </c:pt>
              </c:strCache>
            </c:strRef>
          </c:cat>
          <c:val>
            <c:numRef>
              <c:f>Sheet1!$D$2:$D$6</c:f>
              <c:numCache>
                <c:formatCode>General</c:formatCode>
                <c:ptCount val="5"/>
                <c:pt idx="0">
                  <c:v>0.9</c:v>
                </c:pt>
                <c:pt idx="1">
                  <c:v>0.91</c:v>
                </c:pt>
                <c:pt idx="2">
                  <c:v>0.89</c:v>
                </c:pt>
                <c:pt idx="3">
                  <c:v>0.87</c:v>
                </c:pt>
                <c:pt idx="4">
                  <c:v>0.81</c:v>
                </c:pt>
              </c:numCache>
            </c:numRef>
          </c:val>
          <c:smooth val="0"/>
          <c:extLst xmlns:c16r2="http://schemas.microsoft.com/office/drawing/2015/06/chart">
            <c:ext xmlns:c16="http://schemas.microsoft.com/office/drawing/2014/chart" uri="{C3380CC4-5D6E-409C-BE32-E72D297353CC}">
              <c16:uniqueId val="{00000002-3AF8-47D3-A7AD-1C7C032C800C}"/>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2019</c:v>
                </c:pt>
                <c:pt idx="1">
                  <c:v>2020</c:v>
                </c:pt>
                <c:pt idx="2">
                  <c:v>2021</c:v>
                </c:pt>
                <c:pt idx="3">
                  <c:v>2022</c:v>
                </c:pt>
                <c:pt idx="4">
                  <c:v>2023 </c:v>
                </c:pt>
              </c:strCache>
            </c:strRef>
          </c:cat>
          <c:val>
            <c:numRef>
              <c:f>Sheet1!$E$2:$E$6</c:f>
              <c:numCache>
                <c:formatCode>General</c:formatCode>
                <c:ptCount val="5"/>
                <c:pt idx="0">
                  <c:v>0.75</c:v>
                </c:pt>
                <c:pt idx="1">
                  <c:v>0.8</c:v>
                </c:pt>
                <c:pt idx="2">
                  <c:v>0.79</c:v>
                </c:pt>
                <c:pt idx="3">
                  <c:v>0.78</c:v>
                </c:pt>
                <c:pt idx="4">
                  <c:v>0.75</c:v>
                </c:pt>
              </c:numCache>
            </c:numRef>
          </c:val>
          <c:smooth val="0"/>
          <c:extLst xmlns:c16r2="http://schemas.microsoft.com/office/drawing/2015/06/chart">
            <c:ext xmlns:c16="http://schemas.microsoft.com/office/drawing/2014/chart" uri="{C3380CC4-5D6E-409C-BE32-E72D297353CC}">
              <c16:uniqueId val="{00000003-3AF8-47D3-A7AD-1C7C032C800C}"/>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2019</c:v>
                </c:pt>
                <c:pt idx="1">
                  <c:v>2020</c:v>
                </c:pt>
                <c:pt idx="2">
                  <c:v>2021</c:v>
                </c:pt>
                <c:pt idx="3">
                  <c:v>2022</c:v>
                </c:pt>
                <c:pt idx="4">
                  <c:v>2023 </c:v>
                </c:pt>
              </c:strCache>
            </c:strRef>
          </c:cat>
          <c:val>
            <c:numRef>
              <c:f>Sheet1!$F$2:$F$6</c:f>
              <c:numCache>
                <c:formatCode>General</c:formatCode>
                <c:ptCount val="5"/>
                <c:pt idx="0">
                  <c:v>0.87</c:v>
                </c:pt>
                <c:pt idx="1">
                  <c:v>0.87</c:v>
                </c:pt>
                <c:pt idx="2">
                  <c:v>0.86</c:v>
                </c:pt>
                <c:pt idx="3">
                  <c:v>0.86</c:v>
                </c:pt>
                <c:pt idx="4">
                  <c:v>0.78</c:v>
                </c:pt>
              </c:numCache>
            </c:numRef>
          </c:val>
          <c:smooth val="0"/>
          <c:extLst xmlns:c16r2="http://schemas.microsoft.com/office/drawing/2015/06/chart">
            <c:ext xmlns:c16="http://schemas.microsoft.com/office/drawing/2014/chart" uri="{C3380CC4-5D6E-409C-BE32-E72D297353CC}">
              <c16:uniqueId val="{00000004-3AF8-47D3-A7AD-1C7C032C800C}"/>
            </c:ext>
          </c:extLst>
        </c:ser>
        <c:dLbls>
          <c:showLegendKey val="0"/>
          <c:showVal val="0"/>
          <c:showCatName val="0"/>
          <c:showSerName val="0"/>
          <c:showPercent val="0"/>
          <c:showBubbleSize val="0"/>
        </c:dLbls>
        <c:marker val="1"/>
        <c:smooth val="0"/>
        <c:axId val="347268224"/>
        <c:axId val="347270144"/>
      </c:lineChart>
      <c:catAx>
        <c:axId val="347268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270144"/>
        <c:crosses val="autoZero"/>
        <c:auto val="1"/>
        <c:lblAlgn val="ctr"/>
        <c:lblOffset val="100"/>
        <c:noMultiLvlLbl val="0"/>
      </c:catAx>
      <c:valAx>
        <c:axId val="3472701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268224"/>
        <c:crosses val="autoZero"/>
        <c:crossBetween val="between"/>
      </c:valAx>
      <c:spPr>
        <a:noFill/>
        <a:ln>
          <a:noFill/>
        </a:ln>
        <a:effectLst/>
      </c:spPr>
    </c:plotArea>
    <c:legend>
      <c:legendPos val="b"/>
      <c:layout>
        <c:manualLayout>
          <c:xMode val="edge"/>
          <c:yMode val="edge"/>
          <c:x val="0.17461840875040838"/>
          <c:y val="0.55399734515944132"/>
          <c:w val="0.67222240996699434"/>
          <c:h val="0.1921712372160376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2.6. Biểu đồ thể hiện hệ số nợ trên vốn chủ sở hữu của CTCP niêm yết thuộc TKV giai đoạn 2019 - 2023</a:t>
            </a:r>
          </a:p>
        </c:rich>
      </c:tx>
      <c:layout>
        <c:manualLayout>
          <c:xMode val="edge"/>
          <c:yMode val="edge"/>
          <c:x val="0.12807156069279643"/>
          <c:y val="0.80299757984797338"/>
        </c:manualLayout>
      </c:layout>
      <c:overlay val="0"/>
      <c:spPr>
        <a:noFill/>
        <a:ln>
          <a:noFill/>
        </a:ln>
        <a:effectLst/>
      </c:spPr>
    </c:title>
    <c:autoTitleDeleted val="0"/>
    <c:plotArea>
      <c:layout>
        <c:manualLayout>
          <c:layoutTarget val="inner"/>
          <c:xMode val="edge"/>
          <c:yMode val="edge"/>
          <c:x val="6.602559635797739E-2"/>
          <c:y val="6.9788797061524341E-2"/>
          <c:w val="0.9118505098367129"/>
          <c:h val="0.40501073729420184"/>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2019</c:v>
                </c:pt>
                <c:pt idx="1">
                  <c:v>2020</c:v>
                </c:pt>
                <c:pt idx="2">
                  <c:v>2021</c:v>
                </c:pt>
                <c:pt idx="3">
                  <c:v>2022</c:v>
                </c:pt>
                <c:pt idx="4">
                  <c:v>2023 </c:v>
                </c:pt>
              </c:strCache>
            </c:strRef>
          </c:cat>
          <c:val>
            <c:numRef>
              <c:f>Sheet1!$B$2:$B$6</c:f>
              <c:numCache>
                <c:formatCode>General</c:formatCode>
                <c:ptCount val="5"/>
                <c:pt idx="0">
                  <c:v>1.66</c:v>
                </c:pt>
                <c:pt idx="1">
                  <c:v>1.74</c:v>
                </c:pt>
                <c:pt idx="2">
                  <c:v>2.5499999999999998</c:v>
                </c:pt>
                <c:pt idx="3">
                  <c:v>4.66</c:v>
                </c:pt>
                <c:pt idx="4">
                  <c:v>3.82</c:v>
                </c:pt>
              </c:numCache>
            </c:numRef>
          </c:val>
          <c:smooth val="0"/>
          <c:extLst xmlns:c16r2="http://schemas.microsoft.com/office/drawing/2015/06/chart">
            <c:ext xmlns:c16="http://schemas.microsoft.com/office/drawing/2014/chart" uri="{C3380CC4-5D6E-409C-BE32-E72D297353CC}">
              <c16:uniqueId val="{00000000-8E6A-4292-A8D4-7707C5CF6F9D}"/>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2019</c:v>
                </c:pt>
                <c:pt idx="1">
                  <c:v>2020</c:v>
                </c:pt>
                <c:pt idx="2">
                  <c:v>2021</c:v>
                </c:pt>
                <c:pt idx="3">
                  <c:v>2022</c:v>
                </c:pt>
                <c:pt idx="4">
                  <c:v>2023 </c:v>
                </c:pt>
              </c:strCache>
            </c:strRef>
          </c:cat>
          <c:val>
            <c:numRef>
              <c:f>Sheet1!$C$2:$C$6</c:f>
              <c:numCache>
                <c:formatCode>General</c:formatCode>
                <c:ptCount val="5"/>
                <c:pt idx="0">
                  <c:v>1.65</c:v>
                </c:pt>
                <c:pt idx="1">
                  <c:v>1.54</c:v>
                </c:pt>
                <c:pt idx="2">
                  <c:v>1.92</c:v>
                </c:pt>
                <c:pt idx="3">
                  <c:v>4.37</c:v>
                </c:pt>
                <c:pt idx="4">
                  <c:v>3.33</c:v>
                </c:pt>
              </c:numCache>
            </c:numRef>
          </c:val>
          <c:smooth val="0"/>
          <c:extLst xmlns:c16r2="http://schemas.microsoft.com/office/drawing/2015/06/chart">
            <c:ext xmlns:c16="http://schemas.microsoft.com/office/drawing/2014/chart" uri="{C3380CC4-5D6E-409C-BE32-E72D297353CC}">
              <c16:uniqueId val="{00000001-8E6A-4292-A8D4-7707C5CF6F9D}"/>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2019</c:v>
                </c:pt>
                <c:pt idx="1">
                  <c:v>2020</c:v>
                </c:pt>
                <c:pt idx="2">
                  <c:v>2021</c:v>
                </c:pt>
                <c:pt idx="3">
                  <c:v>2022</c:v>
                </c:pt>
                <c:pt idx="4">
                  <c:v>2023 </c:v>
                </c:pt>
              </c:strCache>
            </c:strRef>
          </c:cat>
          <c:val>
            <c:numRef>
              <c:f>Sheet1!$D$2:$D$6</c:f>
              <c:numCache>
                <c:formatCode>General</c:formatCode>
                <c:ptCount val="5"/>
                <c:pt idx="0">
                  <c:v>0.54</c:v>
                </c:pt>
                <c:pt idx="1">
                  <c:v>0.2</c:v>
                </c:pt>
                <c:pt idx="2">
                  <c:v>0.54</c:v>
                </c:pt>
                <c:pt idx="3">
                  <c:v>0.82</c:v>
                </c:pt>
                <c:pt idx="4">
                  <c:v>2.42</c:v>
                </c:pt>
              </c:numCache>
            </c:numRef>
          </c:val>
          <c:smooth val="0"/>
          <c:extLst xmlns:c16r2="http://schemas.microsoft.com/office/drawing/2015/06/chart">
            <c:ext xmlns:c16="http://schemas.microsoft.com/office/drawing/2014/chart" uri="{C3380CC4-5D6E-409C-BE32-E72D297353CC}">
              <c16:uniqueId val="{00000002-8E6A-4292-A8D4-7707C5CF6F9D}"/>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2019</c:v>
                </c:pt>
                <c:pt idx="1">
                  <c:v>2020</c:v>
                </c:pt>
                <c:pt idx="2">
                  <c:v>2021</c:v>
                </c:pt>
                <c:pt idx="3">
                  <c:v>2022</c:v>
                </c:pt>
                <c:pt idx="4">
                  <c:v>2023 </c:v>
                </c:pt>
              </c:strCache>
            </c:strRef>
          </c:cat>
          <c:val>
            <c:numRef>
              <c:f>Sheet1!$E$2:$E$6</c:f>
              <c:numCache>
                <c:formatCode>General</c:formatCode>
                <c:ptCount val="5"/>
                <c:pt idx="0">
                  <c:v>5.48</c:v>
                </c:pt>
                <c:pt idx="1">
                  <c:v>1.74</c:v>
                </c:pt>
                <c:pt idx="2">
                  <c:v>1.75</c:v>
                </c:pt>
                <c:pt idx="3">
                  <c:v>3.65</c:v>
                </c:pt>
                <c:pt idx="4">
                  <c:v>8.75</c:v>
                </c:pt>
              </c:numCache>
            </c:numRef>
          </c:val>
          <c:smooth val="0"/>
          <c:extLst xmlns:c16r2="http://schemas.microsoft.com/office/drawing/2015/06/chart">
            <c:ext xmlns:c16="http://schemas.microsoft.com/office/drawing/2014/chart" uri="{C3380CC4-5D6E-409C-BE32-E72D297353CC}">
              <c16:uniqueId val="{00000003-8E6A-4292-A8D4-7707C5CF6F9D}"/>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2019</c:v>
                </c:pt>
                <c:pt idx="1">
                  <c:v>2020</c:v>
                </c:pt>
                <c:pt idx="2">
                  <c:v>2021</c:v>
                </c:pt>
                <c:pt idx="3">
                  <c:v>2022</c:v>
                </c:pt>
                <c:pt idx="4">
                  <c:v>2023 </c:v>
                </c:pt>
              </c:strCache>
            </c:strRef>
          </c:cat>
          <c:val>
            <c:numRef>
              <c:f>Sheet1!$F$2:$F$6</c:f>
              <c:numCache>
                <c:formatCode>General</c:formatCode>
                <c:ptCount val="5"/>
                <c:pt idx="0">
                  <c:v>1.39</c:v>
                </c:pt>
                <c:pt idx="1">
                  <c:v>1.25</c:v>
                </c:pt>
                <c:pt idx="2">
                  <c:v>1.28</c:v>
                </c:pt>
                <c:pt idx="3">
                  <c:v>1.38</c:v>
                </c:pt>
                <c:pt idx="4">
                  <c:v>1.99</c:v>
                </c:pt>
              </c:numCache>
            </c:numRef>
          </c:val>
          <c:smooth val="0"/>
          <c:extLst xmlns:c16r2="http://schemas.microsoft.com/office/drawing/2015/06/chart">
            <c:ext xmlns:c16="http://schemas.microsoft.com/office/drawing/2014/chart" uri="{C3380CC4-5D6E-409C-BE32-E72D297353CC}">
              <c16:uniqueId val="{00000004-8E6A-4292-A8D4-7707C5CF6F9D}"/>
            </c:ext>
          </c:extLst>
        </c:ser>
        <c:dLbls>
          <c:showLegendKey val="0"/>
          <c:showVal val="0"/>
          <c:showCatName val="0"/>
          <c:showSerName val="0"/>
          <c:showPercent val="0"/>
          <c:showBubbleSize val="0"/>
        </c:dLbls>
        <c:marker val="1"/>
        <c:smooth val="0"/>
        <c:axId val="347459968"/>
        <c:axId val="347461888"/>
      </c:lineChart>
      <c:catAx>
        <c:axId val="347459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461888"/>
        <c:crosses val="autoZero"/>
        <c:auto val="1"/>
        <c:lblAlgn val="ctr"/>
        <c:lblOffset val="100"/>
        <c:noMultiLvlLbl val="0"/>
      </c:catAx>
      <c:valAx>
        <c:axId val="3474618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459968"/>
        <c:crosses val="autoZero"/>
        <c:crossBetween val="between"/>
      </c:valAx>
      <c:spPr>
        <a:noFill/>
        <a:ln>
          <a:noFill/>
        </a:ln>
        <a:effectLst/>
      </c:spPr>
    </c:plotArea>
    <c:legend>
      <c:legendPos val="b"/>
      <c:layout>
        <c:manualLayout>
          <c:xMode val="edge"/>
          <c:yMode val="edge"/>
          <c:x val="0.18420590125349376"/>
          <c:y val="0.58160994338517602"/>
          <c:w val="0.81579409119821023"/>
          <c:h val="0.1396114122098373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2.7. Biểu đồ thể hiện tỷ suất đầu tư vào tài sản ngắn hạn của các CTCP niêm yết thuộc TKV giai đoạn 2019 - 2023</a:t>
            </a:r>
          </a:p>
        </c:rich>
      </c:tx>
      <c:layout>
        <c:manualLayout>
          <c:xMode val="edge"/>
          <c:yMode val="edge"/>
          <c:x val="0.14472181931205969"/>
          <c:y val="0.83305025353506224"/>
        </c:manualLayout>
      </c:layout>
      <c:overlay val="0"/>
      <c:spPr>
        <a:noFill/>
        <a:ln>
          <a:noFill/>
        </a:ln>
        <a:effectLst/>
      </c:spPr>
    </c:title>
    <c:autoTitleDeleted val="0"/>
    <c:plotArea>
      <c:layout>
        <c:manualLayout>
          <c:layoutTarget val="inner"/>
          <c:xMode val="edge"/>
          <c:yMode val="edge"/>
          <c:x val="0.11029779119433127"/>
          <c:y val="5.945945945945947E-2"/>
          <c:w val="0.87406324544552572"/>
          <c:h val="0.49228133645456479"/>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2019</c:v>
                </c:pt>
                <c:pt idx="1">
                  <c:v>2020</c:v>
                </c:pt>
                <c:pt idx="2">
                  <c:v>2021</c:v>
                </c:pt>
                <c:pt idx="3">
                  <c:v>2022</c:v>
                </c:pt>
                <c:pt idx="4">
                  <c:v>2023 </c:v>
                </c:pt>
              </c:strCache>
            </c:strRef>
          </c:cat>
          <c:val>
            <c:numRef>
              <c:f>Sheet1!$B$2:$B$6</c:f>
              <c:numCache>
                <c:formatCode>0.00%</c:formatCode>
                <c:ptCount val="5"/>
                <c:pt idx="0">
                  <c:v>0.19819999999999999</c:v>
                </c:pt>
                <c:pt idx="1">
                  <c:v>0.30869999999999997</c:v>
                </c:pt>
                <c:pt idx="2">
                  <c:v>0.3256</c:v>
                </c:pt>
                <c:pt idx="3">
                  <c:v>0.59619999999999995</c:v>
                </c:pt>
                <c:pt idx="4">
                  <c:v>0.54349999999999998</c:v>
                </c:pt>
              </c:numCache>
            </c:numRef>
          </c:val>
          <c:smooth val="0"/>
          <c:extLst xmlns:c16r2="http://schemas.microsoft.com/office/drawing/2015/06/chart">
            <c:ext xmlns:c16="http://schemas.microsoft.com/office/drawing/2014/chart" uri="{C3380CC4-5D6E-409C-BE32-E72D297353CC}">
              <c16:uniqueId val="{00000000-3C1C-427A-B92C-D233BBC12FDC}"/>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2019</c:v>
                </c:pt>
                <c:pt idx="1">
                  <c:v>2020</c:v>
                </c:pt>
                <c:pt idx="2">
                  <c:v>2021</c:v>
                </c:pt>
                <c:pt idx="3">
                  <c:v>2022</c:v>
                </c:pt>
                <c:pt idx="4">
                  <c:v>2023 </c:v>
                </c:pt>
              </c:strCache>
            </c:strRef>
          </c:cat>
          <c:val>
            <c:numRef>
              <c:f>Sheet1!$C$2:$C$6</c:f>
              <c:numCache>
                <c:formatCode>0.00%</c:formatCode>
                <c:ptCount val="5"/>
                <c:pt idx="0">
                  <c:v>0.23330000000000001</c:v>
                </c:pt>
                <c:pt idx="1">
                  <c:v>0.29530000000000001</c:v>
                </c:pt>
                <c:pt idx="2">
                  <c:v>0.26269999999999999</c:v>
                </c:pt>
                <c:pt idx="3">
                  <c:v>0.52470000000000006</c:v>
                </c:pt>
                <c:pt idx="4">
                  <c:v>0.39090000000000003</c:v>
                </c:pt>
              </c:numCache>
            </c:numRef>
          </c:val>
          <c:smooth val="0"/>
          <c:extLst xmlns:c16r2="http://schemas.microsoft.com/office/drawing/2015/06/chart">
            <c:ext xmlns:c16="http://schemas.microsoft.com/office/drawing/2014/chart" uri="{C3380CC4-5D6E-409C-BE32-E72D297353CC}">
              <c16:uniqueId val="{00000001-3C1C-427A-B92C-D233BBC12FDC}"/>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2019</c:v>
                </c:pt>
                <c:pt idx="1">
                  <c:v>2020</c:v>
                </c:pt>
                <c:pt idx="2">
                  <c:v>2021</c:v>
                </c:pt>
                <c:pt idx="3">
                  <c:v>2022</c:v>
                </c:pt>
                <c:pt idx="4">
                  <c:v>2023 </c:v>
                </c:pt>
              </c:strCache>
            </c:strRef>
          </c:cat>
          <c:val>
            <c:numRef>
              <c:f>Sheet1!$D$2:$D$6</c:f>
              <c:numCache>
                <c:formatCode>0.00%</c:formatCode>
                <c:ptCount val="5"/>
                <c:pt idx="0">
                  <c:v>6.4299999999999996E-2</c:v>
                </c:pt>
                <c:pt idx="1">
                  <c:v>0.25419999999999998</c:v>
                </c:pt>
                <c:pt idx="2">
                  <c:v>0.30330000000000001</c:v>
                </c:pt>
                <c:pt idx="3">
                  <c:v>0.3745</c:v>
                </c:pt>
                <c:pt idx="4">
                  <c:v>0.42980000000000002</c:v>
                </c:pt>
              </c:numCache>
            </c:numRef>
          </c:val>
          <c:smooth val="0"/>
          <c:extLst xmlns:c16r2="http://schemas.microsoft.com/office/drawing/2015/06/chart">
            <c:ext xmlns:c16="http://schemas.microsoft.com/office/drawing/2014/chart" uri="{C3380CC4-5D6E-409C-BE32-E72D297353CC}">
              <c16:uniqueId val="{00000002-3C1C-427A-B92C-D233BBC12FDC}"/>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2019</c:v>
                </c:pt>
                <c:pt idx="1">
                  <c:v>2020</c:v>
                </c:pt>
                <c:pt idx="2">
                  <c:v>2021</c:v>
                </c:pt>
                <c:pt idx="3">
                  <c:v>2022</c:v>
                </c:pt>
                <c:pt idx="4">
                  <c:v>2023 </c:v>
                </c:pt>
              </c:strCache>
            </c:strRef>
          </c:cat>
          <c:val>
            <c:numRef>
              <c:f>Sheet1!$E$2:$E$6</c:f>
              <c:numCache>
                <c:formatCode>0.00%</c:formatCode>
                <c:ptCount val="5"/>
                <c:pt idx="0">
                  <c:v>0.43209999999999998</c:v>
                </c:pt>
                <c:pt idx="1">
                  <c:v>0.45929999999999999</c:v>
                </c:pt>
                <c:pt idx="2">
                  <c:v>0.35389999999999999</c:v>
                </c:pt>
                <c:pt idx="3">
                  <c:v>0.49209999999999998</c:v>
                </c:pt>
                <c:pt idx="4">
                  <c:v>0.43109999999999998</c:v>
                </c:pt>
              </c:numCache>
            </c:numRef>
          </c:val>
          <c:smooth val="0"/>
          <c:extLst xmlns:c16r2="http://schemas.microsoft.com/office/drawing/2015/06/chart">
            <c:ext xmlns:c16="http://schemas.microsoft.com/office/drawing/2014/chart" uri="{C3380CC4-5D6E-409C-BE32-E72D297353CC}">
              <c16:uniqueId val="{00000003-3C1C-427A-B92C-D233BBC12FDC}"/>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2019</c:v>
                </c:pt>
                <c:pt idx="1">
                  <c:v>2020</c:v>
                </c:pt>
                <c:pt idx="2">
                  <c:v>2021</c:v>
                </c:pt>
                <c:pt idx="3">
                  <c:v>2022</c:v>
                </c:pt>
                <c:pt idx="4">
                  <c:v>2023 </c:v>
                </c:pt>
              </c:strCache>
            </c:strRef>
          </c:cat>
          <c:val>
            <c:numRef>
              <c:f>Sheet1!$F$2:$F$6</c:f>
              <c:numCache>
                <c:formatCode>0.00%</c:formatCode>
                <c:ptCount val="5"/>
                <c:pt idx="0">
                  <c:v>0.2215</c:v>
                </c:pt>
                <c:pt idx="1">
                  <c:v>0.24740000000000001</c:v>
                </c:pt>
                <c:pt idx="2">
                  <c:v>0.2351</c:v>
                </c:pt>
                <c:pt idx="3">
                  <c:v>0.3604</c:v>
                </c:pt>
                <c:pt idx="4">
                  <c:v>0.32269999999999999</c:v>
                </c:pt>
              </c:numCache>
            </c:numRef>
          </c:val>
          <c:smooth val="0"/>
          <c:extLst xmlns:c16r2="http://schemas.microsoft.com/office/drawing/2015/06/chart">
            <c:ext xmlns:c16="http://schemas.microsoft.com/office/drawing/2014/chart" uri="{C3380CC4-5D6E-409C-BE32-E72D297353CC}">
              <c16:uniqueId val="{00000004-3C1C-427A-B92C-D233BBC12FDC}"/>
            </c:ext>
          </c:extLst>
        </c:ser>
        <c:dLbls>
          <c:showLegendKey val="0"/>
          <c:showVal val="0"/>
          <c:showCatName val="0"/>
          <c:showSerName val="0"/>
          <c:showPercent val="0"/>
          <c:showBubbleSize val="0"/>
        </c:dLbls>
        <c:marker val="1"/>
        <c:smooth val="0"/>
        <c:axId val="348167552"/>
        <c:axId val="348173824"/>
      </c:lineChart>
      <c:catAx>
        <c:axId val="3481675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8173824"/>
        <c:crosses val="autoZero"/>
        <c:auto val="1"/>
        <c:lblAlgn val="ctr"/>
        <c:lblOffset val="100"/>
        <c:noMultiLvlLbl val="0"/>
      </c:catAx>
      <c:valAx>
        <c:axId val="34817382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8167552"/>
        <c:crosses val="autoZero"/>
        <c:crossBetween val="between"/>
      </c:valAx>
      <c:spPr>
        <a:noFill/>
        <a:ln>
          <a:noFill/>
        </a:ln>
        <a:effectLst/>
      </c:spPr>
    </c:plotArea>
    <c:legend>
      <c:legendPos val="b"/>
      <c:layout>
        <c:manualLayout>
          <c:xMode val="edge"/>
          <c:yMode val="edge"/>
          <c:x val="9.294557851850288E-2"/>
          <c:y val="0.66553947648435841"/>
          <c:w val="0.83858578532946537"/>
          <c:h val="0.1407078369130559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2.8. Biểu đồ thể hiện t</a:t>
            </a:r>
            <a:r>
              <a:rPr lang="en-US" sz="1300" b="1">
                <a:latin typeface="Times New Roman" panose="02020603050405020304" pitchFamily="18" charset="0"/>
                <a:cs typeface="Times New Roman" panose="02020603050405020304" pitchFamily="18" charset="0"/>
              </a:rPr>
              <a:t>ỷ suất đầu tư vào tài sản dài hạn</a:t>
            </a:r>
            <a:r>
              <a:rPr lang="vi-VN" sz="1300" b="1">
                <a:latin typeface="Times New Roman" panose="02020603050405020304" pitchFamily="18" charset="0"/>
                <a:cs typeface="Times New Roman" panose="02020603050405020304" pitchFamily="18" charset="0"/>
              </a:rPr>
              <a:t> </a:t>
            </a:r>
            <a:r>
              <a:rPr lang="en-US" sz="1300" b="1">
                <a:latin typeface="Times New Roman" panose="02020603050405020304" pitchFamily="18" charset="0"/>
                <a:cs typeface="Times New Roman" panose="02020603050405020304" pitchFamily="18" charset="0"/>
              </a:rPr>
              <a:t>của các CTCP niêm yết thuộc TKV giai đoạn 2019-2023</a:t>
            </a:r>
          </a:p>
        </c:rich>
      </c:tx>
      <c:layout>
        <c:manualLayout>
          <c:xMode val="edge"/>
          <c:yMode val="edge"/>
          <c:x val="0.14766930566148534"/>
          <c:y val="0.80823293172690758"/>
        </c:manualLayout>
      </c:layout>
      <c:overlay val="0"/>
      <c:spPr>
        <a:noFill/>
        <a:ln>
          <a:noFill/>
        </a:ln>
        <a:effectLst/>
      </c:spPr>
    </c:title>
    <c:autoTitleDeleted val="0"/>
    <c:plotArea>
      <c:layout>
        <c:manualLayout>
          <c:layoutTarget val="inner"/>
          <c:xMode val="edge"/>
          <c:yMode val="edge"/>
          <c:x val="0.11453917850991682"/>
          <c:y val="6.1144578313253012E-2"/>
          <c:w val="0.86044945268608131"/>
          <c:h val="0.42422920026562944"/>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 2023</c:v>
                </c:pt>
              </c:strCache>
            </c:strRef>
          </c:cat>
          <c:val>
            <c:numRef>
              <c:f>Sheet1!$B$2:$B$6</c:f>
              <c:numCache>
                <c:formatCode>0.00%</c:formatCode>
                <c:ptCount val="5"/>
                <c:pt idx="0">
                  <c:v>0.80179999999999996</c:v>
                </c:pt>
                <c:pt idx="1">
                  <c:v>0.69130000000000003</c:v>
                </c:pt>
                <c:pt idx="2">
                  <c:v>0.6744</c:v>
                </c:pt>
                <c:pt idx="3">
                  <c:v>0.40379999999999999</c:v>
                </c:pt>
                <c:pt idx="4">
                  <c:v>0.45650000000000002</c:v>
                </c:pt>
              </c:numCache>
            </c:numRef>
          </c:val>
          <c:smooth val="0"/>
          <c:extLst xmlns:c16r2="http://schemas.microsoft.com/office/drawing/2015/06/chart">
            <c:ext xmlns:c16="http://schemas.microsoft.com/office/drawing/2014/chart" uri="{C3380CC4-5D6E-409C-BE32-E72D297353CC}">
              <c16:uniqueId val="{00000000-922B-42EE-AB8A-B2F7BA268061}"/>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 2023</c:v>
                </c:pt>
              </c:strCache>
            </c:strRef>
          </c:cat>
          <c:val>
            <c:numRef>
              <c:f>Sheet1!$C$2:$C$6</c:f>
              <c:numCache>
                <c:formatCode>0.00%</c:formatCode>
                <c:ptCount val="5"/>
                <c:pt idx="0">
                  <c:v>0.76670000000000005</c:v>
                </c:pt>
                <c:pt idx="1">
                  <c:v>0.70469999999999999</c:v>
                </c:pt>
                <c:pt idx="2">
                  <c:v>0.73729999999999996</c:v>
                </c:pt>
                <c:pt idx="3">
                  <c:v>0.4753</c:v>
                </c:pt>
                <c:pt idx="4">
                  <c:v>0.60909999999999997</c:v>
                </c:pt>
              </c:numCache>
            </c:numRef>
          </c:val>
          <c:smooth val="0"/>
          <c:extLst xmlns:c16r2="http://schemas.microsoft.com/office/drawing/2015/06/chart">
            <c:ext xmlns:c16="http://schemas.microsoft.com/office/drawing/2014/chart" uri="{C3380CC4-5D6E-409C-BE32-E72D297353CC}">
              <c16:uniqueId val="{00000001-922B-42EE-AB8A-B2F7BA268061}"/>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 2023</c:v>
                </c:pt>
              </c:strCache>
            </c:strRef>
          </c:cat>
          <c:val>
            <c:numRef>
              <c:f>Sheet1!$D$2:$D$6</c:f>
              <c:numCache>
                <c:formatCode>0.00%</c:formatCode>
                <c:ptCount val="5"/>
                <c:pt idx="0">
                  <c:v>0.93569999999999998</c:v>
                </c:pt>
                <c:pt idx="1">
                  <c:v>0.74580000000000002</c:v>
                </c:pt>
                <c:pt idx="2">
                  <c:v>0.69669999999999999</c:v>
                </c:pt>
                <c:pt idx="3">
                  <c:v>0.62509999999999999</c:v>
                </c:pt>
                <c:pt idx="4">
                  <c:v>0.57020000000000004</c:v>
                </c:pt>
              </c:numCache>
            </c:numRef>
          </c:val>
          <c:smooth val="0"/>
          <c:extLst xmlns:c16r2="http://schemas.microsoft.com/office/drawing/2015/06/chart">
            <c:ext xmlns:c16="http://schemas.microsoft.com/office/drawing/2014/chart" uri="{C3380CC4-5D6E-409C-BE32-E72D297353CC}">
              <c16:uniqueId val="{00000002-922B-42EE-AB8A-B2F7BA268061}"/>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 2023</c:v>
                </c:pt>
              </c:strCache>
            </c:strRef>
          </c:cat>
          <c:val>
            <c:numRef>
              <c:f>Sheet1!$E$2:$E$6</c:f>
              <c:numCache>
                <c:formatCode>0.00%</c:formatCode>
                <c:ptCount val="5"/>
                <c:pt idx="0">
                  <c:v>0.56779999999999997</c:v>
                </c:pt>
                <c:pt idx="1">
                  <c:v>0.54059999999999997</c:v>
                </c:pt>
                <c:pt idx="2">
                  <c:v>0.64600000000000002</c:v>
                </c:pt>
                <c:pt idx="3">
                  <c:v>0.50780000000000003</c:v>
                </c:pt>
                <c:pt idx="4">
                  <c:v>0.56879999999999997</c:v>
                </c:pt>
              </c:numCache>
            </c:numRef>
          </c:val>
          <c:smooth val="0"/>
          <c:extLst xmlns:c16r2="http://schemas.microsoft.com/office/drawing/2015/06/chart">
            <c:ext xmlns:c16="http://schemas.microsoft.com/office/drawing/2014/chart" uri="{C3380CC4-5D6E-409C-BE32-E72D297353CC}">
              <c16:uniqueId val="{00000003-922B-42EE-AB8A-B2F7BA268061}"/>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 2023</c:v>
                </c:pt>
              </c:strCache>
            </c:strRef>
          </c:cat>
          <c:val>
            <c:numRef>
              <c:f>Sheet1!$F$2:$F$6</c:f>
              <c:numCache>
                <c:formatCode>0.00%</c:formatCode>
                <c:ptCount val="5"/>
                <c:pt idx="0">
                  <c:v>0.77849999999999997</c:v>
                </c:pt>
                <c:pt idx="1">
                  <c:v>0.75260000000000005</c:v>
                </c:pt>
                <c:pt idx="2">
                  <c:v>0.76490000000000002</c:v>
                </c:pt>
                <c:pt idx="3">
                  <c:v>0.63959999999999995</c:v>
                </c:pt>
                <c:pt idx="4">
                  <c:v>0.67730000000000001</c:v>
                </c:pt>
              </c:numCache>
            </c:numRef>
          </c:val>
          <c:smooth val="0"/>
          <c:extLst xmlns:c16r2="http://schemas.microsoft.com/office/drawing/2015/06/chart">
            <c:ext xmlns:c16="http://schemas.microsoft.com/office/drawing/2014/chart" uri="{C3380CC4-5D6E-409C-BE32-E72D297353CC}">
              <c16:uniqueId val="{00000004-922B-42EE-AB8A-B2F7BA268061}"/>
            </c:ext>
          </c:extLst>
        </c:ser>
        <c:dLbls>
          <c:showLegendKey val="0"/>
          <c:showVal val="0"/>
          <c:showCatName val="0"/>
          <c:showSerName val="0"/>
          <c:showPercent val="0"/>
          <c:showBubbleSize val="0"/>
        </c:dLbls>
        <c:marker val="1"/>
        <c:smooth val="0"/>
        <c:axId val="348256512"/>
        <c:axId val="349569408"/>
      </c:lineChart>
      <c:catAx>
        <c:axId val="348256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9569408"/>
        <c:crosses val="autoZero"/>
        <c:auto val="1"/>
        <c:lblAlgn val="ctr"/>
        <c:lblOffset val="100"/>
        <c:noMultiLvlLbl val="0"/>
      </c:catAx>
      <c:valAx>
        <c:axId val="34956940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8256512"/>
        <c:crosses val="autoZero"/>
        <c:crossBetween val="between"/>
      </c:valAx>
      <c:spPr>
        <a:noFill/>
        <a:ln>
          <a:noFill/>
        </a:ln>
        <a:effectLst/>
      </c:spPr>
    </c:plotArea>
    <c:legend>
      <c:legendPos val="b"/>
      <c:layout>
        <c:manualLayout>
          <c:xMode val="edge"/>
          <c:yMode val="edge"/>
          <c:x val="8.5726332298503599E-2"/>
          <c:y val="0.61219760933497769"/>
          <c:w val="0.86947502980954117"/>
          <c:h val="0.1618987762071909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2.9. Biểu đồ thể hiện </a:t>
            </a:r>
            <a:r>
              <a:rPr lang="en-US" sz="1300" b="1">
                <a:latin typeface="Times New Roman" panose="02020603050405020304" pitchFamily="18" charset="0"/>
                <a:cs typeface="Times New Roman" panose="02020603050405020304" pitchFamily="18" charset="0"/>
              </a:rPr>
              <a:t>vòng quay hàng tồn kho của các CTCP niêm yết thuộc TKV giai đoạn 2019-2023</a:t>
            </a:r>
          </a:p>
        </c:rich>
      </c:tx>
      <c:layout>
        <c:manualLayout>
          <c:xMode val="edge"/>
          <c:yMode val="edge"/>
          <c:x val="0.1587759924843343"/>
          <c:y val="0.82915717539863321"/>
        </c:manualLayout>
      </c:layout>
      <c:overlay val="0"/>
      <c:spPr>
        <a:noFill/>
        <a:ln>
          <a:noFill/>
        </a:ln>
        <a:effectLst/>
      </c:spPr>
    </c:title>
    <c:autoTitleDeleted val="0"/>
    <c:plotArea>
      <c:layout>
        <c:manualLayout>
          <c:layoutTarget val="inner"/>
          <c:xMode val="edge"/>
          <c:yMode val="edge"/>
          <c:x val="7.1006769910218773E-2"/>
          <c:y val="4.6378132118451029E-2"/>
          <c:w val="0.89947293488682922"/>
          <c:h val="0.4005983534518322"/>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 2023</c:v>
                </c:pt>
              </c:strCache>
            </c:strRef>
          </c:cat>
          <c:val>
            <c:numRef>
              <c:f>Sheet1!$B$2:$B$6</c:f>
              <c:numCache>
                <c:formatCode>General</c:formatCode>
                <c:ptCount val="5"/>
                <c:pt idx="0">
                  <c:v>28.13</c:v>
                </c:pt>
                <c:pt idx="1">
                  <c:v>11.58</c:v>
                </c:pt>
                <c:pt idx="2">
                  <c:v>12.42</c:v>
                </c:pt>
                <c:pt idx="3">
                  <c:v>17.850000000000001</c:v>
                </c:pt>
                <c:pt idx="4">
                  <c:v>26.79</c:v>
                </c:pt>
              </c:numCache>
            </c:numRef>
          </c:val>
          <c:smooth val="0"/>
          <c:extLst xmlns:c16r2="http://schemas.microsoft.com/office/drawing/2015/06/chart">
            <c:ext xmlns:c16="http://schemas.microsoft.com/office/drawing/2014/chart" uri="{C3380CC4-5D6E-409C-BE32-E72D297353CC}">
              <c16:uniqueId val="{00000000-DA97-4B56-A1C1-8D0E1D2CDFA4}"/>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 2023</c:v>
                </c:pt>
              </c:strCache>
            </c:strRef>
          </c:cat>
          <c:val>
            <c:numRef>
              <c:f>Sheet1!$C$2:$C$6</c:f>
              <c:numCache>
                <c:formatCode>General</c:formatCode>
                <c:ptCount val="5"/>
                <c:pt idx="0">
                  <c:v>44.94</c:v>
                </c:pt>
                <c:pt idx="1">
                  <c:v>79.63</c:v>
                </c:pt>
                <c:pt idx="2">
                  <c:v>67.03</c:v>
                </c:pt>
                <c:pt idx="3">
                  <c:v>39.43</c:v>
                </c:pt>
                <c:pt idx="4">
                  <c:v>41.78</c:v>
                </c:pt>
              </c:numCache>
            </c:numRef>
          </c:val>
          <c:smooth val="0"/>
          <c:extLst xmlns:c16r2="http://schemas.microsoft.com/office/drawing/2015/06/chart">
            <c:ext xmlns:c16="http://schemas.microsoft.com/office/drawing/2014/chart" uri="{C3380CC4-5D6E-409C-BE32-E72D297353CC}">
              <c16:uniqueId val="{00000001-DA97-4B56-A1C1-8D0E1D2CDFA4}"/>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 2023</c:v>
                </c:pt>
              </c:strCache>
            </c:strRef>
          </c:cat>
          <c:val>
            <c:numRef>
              <c:f>Sheet1!$D$2:$D$6</c:f>
              <c:numCache>
                <c:formatCode>General</c:formatCode>
                <c:ptCount val="5"/>
                <c:pt idx="0">
                  <c:v>15.76</c:v>
                </c:pt>
                <c:pt idx="1">
                  <c:v>5.44</c:v>
                </c:pt>
                <c:pt idx="2">
                  <c:v>6.63</c:v>
                </c:pt>
                <c:pt idx="3">
                  <c:v>38.979999999999997</c:v>
                </c:pt>
                <c:pt idx="4">
                  <c:v>18.73</c:v>
                </c:pt>
              </c:numCache>
            </c:numRef>
          </c:val>
          <c:smooth val="0"/>
          <c:extLst xmlns:c16r2="http://schemas.microsoft.com/office/drawing/2015/06/chart">
            <c:ext xmlns:c16="http://schemas.microsoft.com/office/drawing/2014/chart" uri="{C3380CC4-5D6E-409C-BE32-E72D297353CC}">
              <c16:uniqueId val="{00000002-DA97-4B56-A1C1-8D0E1D2CDFA4}"/>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 2023</c:v>
                </c:pt>
              </c:strCache>
            </c:strRef>
          </c:cat>
          <c:val>
            <c:numRef>
              <c:f>Sheet1!$E$2:$E$6</c:f>
              <c:numCache>
                <c:formatCode>General</c:formatCode>
                <c:ptCount val="5"/>
                <c:pt idx="0">
                  <c:v>7.71</c:v>
                </c:pt>
                <c:pt idx="1">
                  <c:v>7.79</c:v>
                </c:pt>
                <c:pt idx="2">
                  <c:v>9.67</c:v>
                </c:pt>
                <c:pt idx="3">
                  <c:v>13.02</c:v>
                </c:pt>
                <c:pt idx="4">
                  <c:v>10.99</c:v>
                </c:pt>
              </c:numCache>
            </c:numRef>
          </c:val>
          <c:smooth val="0"/>
          <c:extLst xmlns:c16r2="http://schemas.microsoft.com/office/drawing/2015/06/chart">
            <c:ext xmlns:c16="http://schemas.microsoft.com/office/drawing/2014/chart" uri="{C3380CC4-5D6E-409C-BE32-E72D297353CC}">
              <c16:uniqueId val="{00000003-DA97-4B56-A1C1-8D0E1D2CDFA4}"/>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 2023</c:v>
                </c:pt>
              </c:strCache>
            </c:strRef>
          </c:cat>
          <c:val>
            <c:numRef>
              <c:f>Sheet1!$F$2:$F$6</c:f>
              <c:numCache>
                <c:formatCode>General</c:formatCode>
                <c:ptCount val="5"/>
                <c:pt idx="0">
                  <c:v>2.74</c:v>
                </c:pt>
                <c:pt idx="1">
                  <c:v>2.5</c:v>
                </c:pt>
                <c:pt idx="2">
                  <c:v>3.76</c:v>
                </c:pt>
                <c:pt idx="3">
                  <c:v>16.59</c:v>
                </c:pt>
                <c:pt idx="4">
                  <c:v>37.36</c:v>
                </c:pt>
              </c:numCache>
            </c:numRef>
          </c:val>
          <c:smooth val="0"/>
          <c:extLst xmlns:c16r2="http://schemas.microsoft.com/office/drawing/2015/06/chart">
            <c:ext xmlns:c16="http://schemas.microsoft.com/office/drawing/2014/chart" uri="{C3380CC4-5D6E-409C-BE32-E72D297353CC}">
              <c16:uniqueId val="{00000004-DA97-4B56-A1C1-8D0E1D2CDFA4}"/>
            </c:ext>
          </c:extLst>
        </c:ser>
        <c:dLbls>
          <c:showLegendKey val="0"/>
          <c:showVal val="0"/>
          <c:showCatName val="0"/>
          <c:showSerName val="0"/>
          <c:showPercent val="0"/>
          <c:showBubbleSize val="0"/>
        </c:dLbls>
        <c:marker val="1"/>
        <c:smooth val="0"/>
        <c:axId val="349611136"/>
        <c:axId val="349613056"/>
      </c:lineChart>
      <c:catAx>
        <c:axId val="349611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9613056"/>
        <c:crosses val="autoZero"/>
        <c:auto val="1"/>
        <c:lblAlgn val="ctr"/>
        <c:lblOffset val="100"/>
        <c:noMultiLvlLbl val="0"/>
      </c:catAx>
      <c:valAx>
        <c:axId val="3496130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9611136"/>
        <c:crosses val="autoZero"/>
        <c:crossBetween val="between"/>
      </c:valAx>
      <c:spPr>
        <a:noFill/>
        <a:ln>
          <a:noFill/>
        </a:ln>
        <a:effectLst/>
      </c:spPr>
    </c:plotArea>
    <c:legend>
      <c:legendPos val="b"/>
      <c:layout>
        <c:manualLayout>
          <c:xMode val="edge"/>
          <c:yMode val="edge"/>
          <c:x val="0.20611306428024911"/>
          <c:y val="0.58029451329973269"/>
          <c:w val="0.7938875565082667"/>
          <c:h val="0.1469259053324484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2.10. Biểu đồ thể hiện </a:t>
            </a:r>
            <a:r>
              <a:rPr lang="en-US" sz="1300" b="1">
                <a:latin typeface="Times New Roman" panose="02020603050405020304" pitchFamily="18" charset="0"/>
                <a:cs typeface="Times New Roman" panose="02020603050405020304" pitchFamily="18" charset="0"/>
              </a:rPr>
              <a:t>vòng quay tổng tài sản của các CTCP niêm yết thuộc TKV giai đoạn 2019-2023</a:t>
            </a:r>
          </a:p>
        </c:rich>
      </c:tx>
      <c:layout>
        <c:manualLayout>
          <c:xMode val="edge"/>
          <c:yMode val="edge"/>
          <c:x val="0.13192155657528004"/>
          <c:y val="0.81376901329470319"/>
        </c:manualLayout>
      </c:layout>
      <c:overlay val="0"/>
      <c:spPr>
        <a:noFill/>
        <a:ln>
          <a:noFill/>
        </a:ln>
        <a:effectLst/>
      </c:spPr>
    </c:title>
    <c:autoTitleDeleted val="0"/>
    <c:plotArea>
      <c:layout>
        <c:manualLayout>
          <c:layoutTarget val="inner"/>
          <c:xMode val="edge"/>
          <c:yMode val="edge"/>
          <c:x val="6.2437720384027291E-2"/>
          <c:y val="5.9705882352941178E-2"/>
          <c:w val="0.91554554689910794"/>
          <c:h val="0.43777674849467346"/>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 2023</c:v>
                </c:pt>
              </c:strCache>
            </c:strRef>
          </c:cat>
          <c:val>
            <c:numRef>
              <c:f>Sheet1!$B$2:$B$6</c:f>
              <c:numCache>
                <c:formatCode>General</c:formatCode>
                <c:ptCount val="5"/>
                <c:pt idx="0">
                  <c:v>1.81</c:v>
                </c:pt>
                <c:pt idx="1">
                  <c:v>1.68</c:v>
                </c:pt>
                <c:pt idx="2">
                  <c:v>2.2599999999999998</c:v>
                </c:pt>
                <c:pt idx="3">
                  <c:v>2.5</c:v>
                </c:pt>
                <c:pt idx="4">
                  <c:v>3.08</c:v>
                </c:pt>
              </c:numCache>
            </c:numRef>
          </c:val>
          <c:smooth val="0"/>
          <c:extLst xmlns:c16r2="http://schemas.microsoft.com/office/drawing/2015/06/chart">
            <c:ext xmlns:c16="http://schemas.microsoft.com/office/drawing/2014/chart" uri="{C3380CC4-5D6E-409C-BE32-E72D297353CC}">
              <c16:uniqueId val="{00000000-FE01-4BFD-8F79-B931099AA908}"/>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 2023</c:v>
                </c:pt>
              </c:strCache>
            </c:strRef>
          </c:cat>
          <c:val>
            <c:numRef>
              <c:f>Sheet1!$C$2:$C$6</c:f>
              <c:numCache>
                <c:formatCode>General</c:formatCode>
                <c:ptCount val="5"/>
                <c:pt idx="0">
                  <c:v>1.7390000000000001</c:v>
                </c:pt>
                <c:pt idx="1">
                  <c:v>1.7889999999999999</c:v>
                </c:pt>
                <c:pt idx="2">
                  <c:v>1.9490000000000001</c:v>
                </c:pt>
                <c:pt idx="3">
                  <c:v>1.9379999999999999</c:v>
                </c:pt>
                <c:pt idx="4">
                  <c:v>2.4550000000000001</c:v>
                </c:pt>
              </c:numCache>
            </c:numRef>
          </c:val>
          <c:smooth val="0"/>
          <c:extLst xmlns:c16r2="http://schemas.microsoft.com/office/drawing/2015/06/chart">
            <c:ext xmlns:c16="http://schemas.microsoft.com/office/drawing/2014/chart" uri="{C3380CC4-5D6E-409C-BE32-E72D297353CC}">
              <c16:uniqueId val="{00000001-FE01-4BFD-8F79-B931099AA908}"/>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 2023</c:v>
                </c:pt>
              </c:strCache>
            </c:strRef>
          </c:cat>
          <c:val>
            <c:numRef>
              <c:f>Sheet1!$D$2:$D$6</c:f>
              <c:numCache>
                <c:formatCode>General</c:formatCode>
                <c:ptCount val="5"/>
                <c:pt idx="0">
                  <c:v>0.95</c:v>
                </c:pt>
                <c:pt idx="1">
                  <c:v>0.78</c:v>
                </c:pt>
                <c:pt idx="2">
                  <c:v>1.04</c:v>
                </c:pt>
                <c:pt idx="3">
                  <c:v>1.31</c:v>
                </c:pt>
                <c:pt idx="4">
                  <c:v>1.39</c:v>
                </c:pt>
              </c:numCache>
            </c:numRef>
          </c:val>
          <c:smooth val="0"/>
          <c:extLst xmlns:c16r2="http://schemas.microsoft.com/office/drawing/2015/06/chart">
            <c:ext xmlns:c16="http://schemas.microsoft.com/office/drawing/2014/chart" uri="{C3380CC4-5D6E-409C-BE32-E72D297353CC}">
              <c16:uniqueId val="{00000002-FE01-4BFD-8F79-B931099AA908}"/>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 2023</c:v>
                </c:pt>
              </c:strCache>
            </c:strRef>
          </c:cat>
          <c:val>
            <c:numRef>
              <c:f>Sheet1!$E$2:$E$6</c:f>
              <c:numCache>
                <c:formatCode>General</c:formatCode>
                <c:ptCount val="5"/>
                <c:pt idx="0">
                  <c:v>1.71</c:v>
                </c:pt>
                <c:pt idx="1">
                  <c:v>1.61</c:v>
                </c:pt>
                <c:pt idx="2">
                  <c:v>2.11</c:v>
                </c:pt>
                <c:pt idx="3">
                  <c:v>2.89</c:v>
                </c:pt>
                <c:pt idx="4">
                  <c:v>2.69</c:v>
                </c:pt>
              </c:numCache>
            </c:numRef>
          </c:val>
          <c:smooth val="0"/>
          <c:extLst xmlns:c16r2="http://schemas.microsoft.com/office/drawing/2015/06/chart">
            <c:ext xmlns:c16="http://schemas.microsoft.com/office/drawing/2014/chart" uri="{C3380CC4-5D6E-409C-BE32-E72D297353CC}">
              <c16:uniqueId val="{00000003-FE01-4BFD-8F79-B931099AA908}"/>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 2023</c:v>
                </c:pt>
              </c:strCache>
            </c:strRef>
          </c:cat>
          <c:val>
            <c:numRef>
              <c:f>Sheet1!$F$2:$F$6</c:f>
              <c:numCache>
                <c:formatCode>General</c:formatCode>
                <c:ptCount val="5"/>
                <c:pt idx="0">
                  <c:v>0.68</c:v>
                </c:pt>
                <c:pt idx="1">
                  <c:v>0.62</c:v>
                </c:pt>
                <c:pt idx="2">
                  <c:v>0.77</c:v>
                </c:pt>
                <c:pt idx="3">
                  <c:v>1.07</c:v>
                </c:pt>
                <c:pt idx="4">
                  <c:v>1.24</c:v>
                </c:pt>
              </c:numCache>
            </c:numRef>
          </c:val>
          <c:smooth val="0"/>
          <c:extLst xmlns:c16r2="http://schemas.microsoft.com/office/drawing/2015/06/chart">
            <c:ext xmlns:c16="http://schemas.microsoft.com/office/drawing/2014/chart" uri="{C3380CC4-5D6E-409C-BE32-E72D297353CC}">
              <c16:uniqueId val="{00000004-FE01-4BFD-8F79-B931099AA908}"/>
            </c:ext>
          </c:extLst>
        </c:ser>
        <c:dLbls>
          <c:showLegendKey val="0"/>
          <c:showVal val="0"/>
          <c:showCatName val="0"/>
          <c:showSerName val="0"/>
          <c:showPercent val="0"/>
          <c:showBubbleSize val="0"/>
        </c:dLbls>
        <c:marker val="1"/>
        <c:smooth val="0"/>
        <c:axId val="350699904"/>
        <c:axId val="350701824"/>
      </c:lineChart>
      <c:catAx>
        <c:axId val="3506999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701824"/>
        <c:crosses val="autoZero"/>
        <c:auto val="1"/>
        <c:lblAlgn val="ctr"/>
        <c:lblOffset val="100"/>
        <c:noMultiLvlLbl val="0"/>
      </c:catAx>
      <c:valAx>
        <c:axId val="350701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699904"/>
        <c:crosses val="autoZero"/>
        <c:crossBetween val="between"/>
      </c:valAx>
      <c:spPr>
        <a:noFill/>
        <a:ln>
          <a:noFill/>
        </a:ln>
        <a:effectLst/>
      </c:spPr>
    </c:plotArea>
    <c:legend>
      <c:legendPos val="b"/>
      <c:layout>
        <c:manualLayout>
          <c:xMode val="edge"/>
          <c:yMode val="edge"/>
          <c:x val="7.9045444616648808E-2"/>
          <c:y val="0.63112629303689982"/>
          <c:w val="0.84863541524686248"/>
          <c:h val="0.172276902887139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300" b="1">
                <a:latin typeface="Times New Roman" panose="02020603050405020304" pitchFamily="18" charset="0"/>
                <a:cs typeface="Times New Roman" panose="02020603050405020304" pitchFamily="18" charset="0"/>
              </a:rPr>
              <a:t>Hình 2.11. Biểu đồ thể hiện </a:t>
            </a:r>
            <a:r>
              <a:rPr lang="en-US" sz="1300" b="1">
                <a:latin typeface="Times New Roman" panose="02020603050405020304" pitchFamily="18" charset="0"/>
                <a:cs typeface="Times New Roman" panose="02020603050405020304" pitchFamily="18" charset="0"/>
              </a:rPr>
              <a:t>hiệu suất sử dụng vốn cố định của CTCP niêm yết thuộc TKV giai đoạn 2019-2023</a:t>
            </a:r>
          </a:p>
        </c:rich>
      </c:tx>
      <c:layout>
        <c:manualLayout>
          <c:xMode val="edge"/>
          <c:yMode val="edge"/>
          <c:x val="0.1314602559760675"/>
          <c:y val="0.79997096268138901"/>
        </c:manualLayout>
      </c:layout>
      <c:overlay val="0"/>
      <c:spPr>
        <a:noFill/>
        <a:ln>
          <a:noFill/>
        </a:ln>
        <a:effectLst/>
      </c:spPr>
    </c:title>
    <c:autoTitleDeleted val="0"/>
    <c:plotArea>
      <c:layout>
        <c:manualLayout>
          <c:layoutTarget val="inner"/>
          <c:xMode val="edge"/>
          <c:yMode val="edge"/>
          <c:x val="0.12292418425734851"/>
          <c:y val="6.2052730696798494E-2"/>
          <c:w val="0.8502334536147842"/>
          <c:h val="0.38056185773388496"/>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Năm2023</c:v>
                </c:pt>
              </c:strCache>
            </c:strRef>
          </c:cat>
          <c:val>
            <c:numRef>
              <c:f>Sheet1!$B$2:$B$6</c:f>
              <c:numCache>
                <c:formatCode>0.00%</c:formatCode>
                <c:ptCount val="5"/>
                <c:pt idx="0">
                  <c:v>0.8155</c:v>
                </c:pt>
                <c:pt idx="1">
                  <c:v>0.77980000000000005</c:v>
                </c:pt>
                <c:pt idx="2">
                  <c:v>0.90290000000000004</c:v>
                </c:pt>
                <c:pt idx="3">
                  <c:v>1.1826000000000001</c:v>
                </c:pt>
                <c:pt idx="4">
                  <c:v>1.1213</c:v>
                </c:pt>
              </c:numCache>
            </c:numRef>
          </c:val>
          <c:smooth val="0"/>
          <c:extLst xmlns:c16r2="http://schemas.microsoft.com/office/drawing/2015/06/chart">
            <c:ext xmlns:c16="http://schemas.microsoft.com/office/drawing/2014/chart" uri="{C3380CC4-5D6E-409C-BE32-E72D297353CC}">
              <c16:uniqueId val="{00000000-0808-4E4B-995B-CC20643348C1}"/>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Năm2023</c:v>
                </c:pt>
              </c:strCache>
            </c:strRef>
          </c:cat>
          <c:val>
            <c:numRef>
              <c:f>Sheet1!$C$2:$C$6</c:f>
              <c:numCache>
                <c:formatCode>0.00%</c:formatCode>
                <c:ptCount val="5"/>
                <c:pt idx="0">
                  <c:v>1.042</c:v>
                </c:pt>
                <c:pt idx="1">
                  <c:v>1.1681999999999999</c:v>
                </c:pt>
                <c:pt idx="2">
                  <c:v>1.0477000000000001</c:v>
                </c:pt>
                <c:pt idx="3">
                  <c:v>1.304</c:v>
                </c:pt>
                <c:pt idx="4">
                  <c:v>1.2290000000000001</c:v>
                </c:pt>
              </c:numCache>
            </c:numRef>
          </c:val>
          <c:smooth val="0"/>
          <c:extLst xmlns:c16r2="http://schemas.microsoft.com/office/drawing/2015/06/chart">
            <c:ext xmlns:c16="http://schemas.microsoft.com/office/drawing/2014/chart" uri="{C3380CC4-5D6E-409C-BE32-E72D297353CC}">
              <c16:uniqueId val="{00000001-0808-4E4B-995B-CC20643348C1}"/>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Năm2023</c:v>
                </c:pt>
              </c:strCache>
            </c:strRef>
          </c:cat>
          <c:val>
            <c:numRef>
              <c:f>Sheet1!$D$2:$D$6</c:f>
              <c:numCache>
                <c:formatCode>0.00%</c:formatCode>
                <c:ptCount val="5"/>
                <c:pt idx="0">
                  <c:v>0.56559999999999999</c:v>
                </c:pt>
                <c:pt idx="1">
                  <c:v>0.4914</c:v>
                </c:pt>
                <c:pt idx="2">
                  <c:v>0.56020000000000003</c:v>
                </c:pt>
                <c:pt idx="3">
                  <c:v>0.64929999999999999</c:v>
                </c:pt>
                <c:pt idx="4">
                  <c:v>0.53939999999999999</c:v>
                </c:pt>
              </c:numCache>
            </c:numRef>
          </c:val>
          <c:smooth val="0"/>
          <c:extLst xmlns:c16r2="http://schemas.microsoft.com/office/drawing/2015/06/chart">
            <c:ext xmlns:c16="http://schemas.microsoft.com/office/drawing/2014/chart" uri="{C3380CC4-5D6E-409C-BE32-E72D297353CC}">
              <c16:uniqueId val="{00000002-0808-4E4B-995B-CC20643348C1}"/>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Năm2023</c:v>
                </c:pt>
              </c:strCache>
            </c:strRef>
          </c:cat>
          <c:val>
            <c:numRef>
              <c:f>Sheet1!$E$2:$E$6</c:f>
              <c:numCache>
                <c:formatCode>0.00%</c:formatCode>
                <c:ptCount val="5"/>
                <c:pt idx="0">
                  <c:v>1.3219000000000001</c:v>
                </c:pt>
                <c:pt idx="1">
                  <c:v>1.2667999999999999</c:v>
                </c:pt>
                <c:pt idx="2">
                  <c:v>1.3151999999999999</c:v>
                </c:pt>
                <c:pt idx="3">
                  <c:v>1.6060000000000001</c:v>
                </c:pt>
                <c:pt idx="4">
                  <c:v>1.3516999999999999</c:v>
                </c:pt>
              </c:numCache>
            </c:numRef>
          </c:val>
          <c:smooth val="0"/>
          <c:extLst xmlns:c16r2="http://schemas.microsoft.com/office/drawing/2015/06/chart">
            <c:ext xmlns:c16="http://schemas.microsoft.com/office/drawing/2014/chart" uri="{C3380CC4-5D6E-409C-BE32-E72D297353CC}">
              <c16:uniqueId val="{00000003-0808-4E4B-995B-CC20643348C1}"/>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Năm2023</c:v>
                </c:pt>
              </c:strCache>
            </c:strRef>
          </c:cat>
          <c:val>
            <c:numRef>
              <c:f>Sheet1!$F$2:$F$6</c:f>
              <c:numCache>
                <c:formatCode>0.00%</c:formatCode>
                <c:ptCount val="5"/>
                <c:pt idx="0">
                  <c:v>0.7742</c:v>
                </c:pt>
                <c:pt idx="1">
                  <c:v>0.58209999999999995</c:v>
                </c:pt>
                <c:pt idx="2">
                  <c:v>0.55989999999999995</c:v>
                </c:pt>
                <c:pt idx="3">
                  <c:v>0.75009999999999999</c:v>
                </c:pt>
                <c:pt idx="4">
                  <c:v>0.67149999999999999</c:v>
                </c:pt>
              </c:numCache>
            </c:numRef>
          </c:val>
          <c:smooth val="0"/>
          <c:extLst xmlns:c16r2="http://schemas.microsoft.com/office/drawing/2015/06/chart">
            <c:ext xmlns:c16="http://schemas.microsoft.com/office/drawing/2014/chart" uri="{C3380CC4-5D6E-409C-BE32-E72D297353CC}">
              <c16:uniqueId val="{00000004-0808-4E4B-995B-CC20643348C1}"/>
            </c:ext>
          </c:extLst>
        </c:ser>
        <c:dLbls>
          <c:showLegendKey val="0"/>
          <c:showVal val="0"/>
          <c:showCatName val="0"/>
          <c:showSerName val="0"/>
          <c:showPercent val="0"/>
          <c:showBubbleSize val="0"/>
        </c:dLbls>
        <c:marker val="1"/>
        <c:smooth val="0"/>
        <c:axId val="350727168"/>
        <c:axId val="350737536"/>
      </c:lineChart>
      <c:catAx>
        <c:axId val="350727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737536"/>
        <c:crosses val="autoZero"/>
        <c:auto val="1"/>
        <c:lblAlgn val="ctr"/>
        <c:lblOffset val="100"/>
        <c:noMultiLvlLbl val="0"/>
      </c:catAx>
      <c:valAx>
        <c:axId val="35073753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727168"/>
        <c:crosses val="autoZero"/>
        <c:crossBetween val="between"/>
      </c:valAx>
      <c:spPr>
        <a:noFill/>
        <a:ln>
          <a:noFill/>
        </a:ln>
        <a:effectLst/>
      </c:spPr>
    </c:plotArea>
    <c:legend>
      <c:legendPos val="b"/>
      <c:layout>
        <c:manualLayout>
          <c:xMode val="edge"/>
          <c:yMode val="edge"/>
          <c:x val="8.737105946434115E-2"/>
          <c:y val="0.58692415603222015"/>
          <c:w val="0.85661988823977653"/>
          <c:h val="0.1544551543126074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200" b="1">
                <a:latin typeface="Times New Roman" panose="02020603050405020304" pitchFamily="18" charset="0"/>
                <a:cs typeface="Times New Roman" panose="02020603050405020304" pitchFamily="18" charset="0"/>
              </a:rPr>
              <a:t>Hình 2.12. Biểu đồ thể hiện </a:t>
            </a:r>
            <a:r>
              <a:rPr lang="en-US" sz="1200" b="1">
                <a:latin typeface="Times New Roman" panose="02020603050405020304" pitchFamily="18" charset="0"/>
                <a:cs typeface="Times New Roman" panose="02020603050405020304" pitchFamily="18" charset="0"/>
              </a:rPr>
              <a:t>tỷ suất lợi nhuận sau thuế trên doanh thu của các CTCP niêm</a:t>
            </a:r>
            <a:r>
              <a:rPr lang="vi-VN" sz="1200" b="1" baseline="0">
                <a:latin typeface="Times New Roman" panose="02020603050405020304" pitchFamily="18" charset="0"/>
                <a:cs typeface="Times New Roman" panose="02020603050405020304" pitchFamily="18" charset="0"/>
              </a:rPr>
              <a:t> </a:t>
            </a:r>
            <a:r>
              <a:rPr lang="en-US" sz="1200" b="1">
                <a:latin typeface="Times New Roman" panose="02020603050405020304" pitchFamily="18" charset="0"/>
                <a:cs typeface="Times New Roman" panose="02020603050405020304" pitchFamily="18" charset="0"/>
              </a:rPr>
              <a:t>yết thuộc TKV</a:t>
            </a:r>
            <a:r>
              <a:rPr lang="vi-VN" sz="1200" b="1" baseline="0">
                <a:latin typeface="Times New Roman" panose="02020603050405020304" pitchFamily="18" charset="0"/>
                <a:cs typeface="Times New Roman" panose="02020603050405020304" pitchFamily="18" charset="0"/>
              </a:rPr>
              <a:t> </a:t>
            </a:r>
            <a:r>
              <a:rPr lang="en-US" sz="1200" b="1">
                <a:latin typeface="Times New Roman" panose="02020603050405020304" pitchFamily="18" charset="0"/>
                <a:cs typeface="Times New Roman" panose="02020603050405020304" pitchFamily="18" charset="0"/>
              </a:rPr>
              <a:t>giai đoạn 2019-2023</a:t>
            </a:r>
          </a:p>
        </c:rich>
      </c:tx>
      <c:layout>
        <c:manualLayout>
          <c:xMode val="edge"/>
          <c:yMode val="edge"/>
          <c:x val="0.13557649170031405"/>
          <c:y val="0.8311461067366579"/>
        </c:manualLayout>
      </c:layout>
      <c:overlay val="0"/>
      <c:spPr>
        <a:noFill/>
        <a:ln>
          <a:noFill/>
        </a:ln>
        <a:effectLst/>
      </c:spPr>
    </c:title>
    <c:autoTitleDeleted val="0"/>
    <c:plotArea>
      <c:layout>
        <c:manualLayout>
          <c:layoutTarget val="inner"/>
          <c:xMode val="edge"/>
          <c:yMode val="edge"/>
          <c:x val="8.830025116308643E-2"/>
          <c:y val="6.2029746281714787E-2"/>
          <c:w val="0.884781848433145"/>
          <c:h val="0.49827846322359309"/>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 2023</c:v>
                </c:pt>
              </c:strCache>
            </c:strRef>
          </c:cat>
          <c:val>
            <c:numRef>
              <c:f>Sheet1!$B$2:$B$6</c:f>
              <c:numCache>
                <c:formatCode>0.00%</c:formatCode>
                <c:ptCount val="5"/>
                <c:pt idx="0">
                  <c:v>1.29E-2</c:v>
                </c:pt>
                <c:pt idx="1">
                  <c:v>1.46E-2</c:v>
                </c:pt>
                <c:pt idx="2">
                  <c:v>1.9E-2</c:v>
                </c:pt>
                <c:pt idx="3">
                  <c:v>2.6100000000000002E-2</c:v>
                </c:pt>
                <c:pt idx="4">
                  <c:v>2.1100000000000001E-2</c:v>
                </c:pt>
              </c:numCache>
            </c:numRef>
          </c:val>
          <c:smooth val="0"/>
          <c:extLst xmlns:c16r2="http://schemas.microsoft.com/office/drawing/2015/06/chart">
            <c:ext xmlns:c16="http://schemas.microsoft.com/office/drawing/2014/chart" uri="{C3380CC4-5D6E-409C-BE32-E72D297353CC}">
              <c16:uniqueId val="{00000000-5CAD-4BAD-97C9-39149217F092}"/>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 2023</c:v>
                </c:pt>
              </c:strCache>
            </c:strRef>
          </c:cat>
          <c:val>
            <c:numRef>
              <c:f>Sheet1!$C$2:$C$6</c:f>
              <c:numCache>
                <c:formatCode>0.00%</c:formatCode>
                <c:ptCount val="5"/>
                <c:pt idx="0">
                  <c:v>1.0200000000000001E-2</c:v>
                </c:pt>
                <c:pt idx="1">
                  <c:v>1.11E-2</c:v>
                </c:pt>
                <c:pt idx="2">
                  <c:v>1.3100000000000001E-2</c:v>
                </c:pt>
                <c:pt idx="3">
                  <c:v>3.2000000000000001E-2</c:v>
                </c:pt>
                <c:pt idx="4">
                  <c:v>1.9599999999999999E-2</c:v>
                </c:pt>
              </c:numCache>
            </c:numRef>
          </c:val>
          <c:smooth val="0"/>
          <c:extLst xmlns:c16r2="http://schemas.microsoft.com/office/drawing/2015/06/chart">
            <c:ext xmlns:c16="http://schemas.microsoft.com/office/drawing/2014/chart" uri="{C3380CC4-5D6E-409C-BE32-E72D297353CC}">
              <c16:uniqueId val="{00000001-5CAD-4BAD-97C9-39149217F092}"/>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 2023</c:v>
                </c:pt>
              </c:strCache>
            </c:strRef>
          </c:cat>
          <c:val>
            <c:numRef>
              <c:f>Sheet1!$D$2:$D$6</c:f>
              <c:numCache>
                <c:formatCode>0.00%</c:formatCode>
                <c:ptCount val="5"/>
                <c:pt idx="0">
                  <c:v>1.61E-2</c:v>
                </c:pt>
                <c:pt idx="1">
                  <c:v>1.55E-2</c:v>
                </c:pt>
                <c:pt idx="2">
                  <c:v>2.3300000000000001E-2</c:v>
                </c:pt>
                <c:pt idx="3">
                  <c:v>2.1000000000000001E-2</c:v>
                </c:pt>
                <c:pt idx="4">
                  <c:v>3.1600000000000003E-2</c:v>
                </c:pt>
              </c:numCache>
            </c:numRef>
          </c:val>
          <c:smooth val="0"/>
          <c:extLst xmlns:c16r2="http://schemas.microsoft.com/office/drawing/2015/06/chart">
            <c:ext xmlns:c16="http://schemas.microsoft.com/office/drawing/2014/chart" uri="{C3380CC4-5D6E-409C-BE32-E72D297353CC}">
              <c16:uniqueId val="{00000002-5CAD-4BAD-97C9-39149217F092}"/>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 2023</c:v>
                </c:pt>
              </c:strCache>
            </c:strRef>
          </c:cat>
          <c:val>
            <c:numRef>
              <c:f>Sheet1!$E$2:$E$6</c:f>
              <c:numCache>
                <c:formatCode>0.00%</c:formatCode>
                <c:ptCount val="5"/>
                <c:pt idx="0">
                  <c:v>2.64E-2</c:v>
                </c:pt>
                <c:pt idx="1">
                  <c:v>1.26E-2</c:v>
                </c:pt>
                <c:pt idx="2">
                  <c:v>1.14E-2</c:v>
                </c:pt>
                <c:pt idx="3">
                  <c:v>1.5100000000000001E-2</c:v>
                </c:pt>
                <c:pt idx="4">
                  <c:v>1.6400000000000001E-2</c:v>
                </c:pt>
              </c:numCache>
            </c:numRef>
          </c:val>
          <c:smooth val="0"/>
          <c:extLst xmlns:c16r2="http://schemas.microsoft.com/office/drawing/2015/06/chart">
            <c:ext xmlns:c16="http://schemas.microsoft.com/office/drawing/2014/chart" uri="{C3380CC4-5D6E-409C-BE32-E72D297353CC}">
              <c16:uniqueId val="{00000003-5CAD-4BAD-97C9-39149217F092}"/>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 2023</c:v>
                </c:pt>
              </c:strCache>
            </c:strRef>
          </c:cat>
          <c:val>
            <c:numRef>
              <c:f>Sheet1!$F$2:$F$6</c:f>
              <c:numCache>
                <c:formatCode>0.00%</c:formatCode>
                <c:ptCount val="5"/>
                <c:pt idx="0">
                  <c:v>1.2200000000000001E-2</c:v>
                </c:pt>
                <c:pt idx="1">
                  <c:v>2.1100000000000001E-2</c:v>
                </c:pt>
                <c:pt idx="2">
                  <c:v>1.6799999999999999E-2</c:v>
                </c:pt>
                <c:pt idx="3">
                  <c:v>1.307E-2</c:v>
                </c:pt>
                <c:pt idx="4">
                  <c:v>3.2000000000000001E-2</c:v>
                </c:pt>
              </c:numCache>
            </c:numRef>
          </c:val>
          <c:smooth val="0"/>
          <c:extLst xmlns:c16r2="http://schemas.microsoft.com/office/drawing/2015/06/chart">
            <c:ext xmlns:c16="http://schemas.microsoft.com/office/drawing/2014/chart" uri="{C3380CC4-5D6E-409C-BE32-E72D297353CC}">
              <c16:uniqueId val="{00000004-5CAD-4BAD-97C9-39149217F092}"/>
            </c:ext>
          </c:extLst>
        </c:ser>
        <c:dLbls>
          <c:showLegendKey val="0"/>
          <c:showVal val="0"/>
          <c:showCatName val="0"/>
          <c:showSerName val="0"/>
          <c:showPercent val="0"/>
          <c:showBubbleSize val="0"/>
        </c:dLbls>
        <c:marker val="1"/>
        <c:smooth val="0"/>
        <c:axId val="350893952"/>
        <c:axId val="350904320"/>
      </c:lineChart>
      <c:catAx>
        <c:axId val="350893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904320"/>
        <c:crosses val="autoZero"/>
        <c:auto val="1"/>
        <c:lblAlgn val="ctr"/>
        <c:lblOffset val="100"/>
        <c:noMultiLvlLbl val="0"/>
      </c:catAx>
      <c:valAx>
        <c:axId val="350904320"/>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893952"/>
        <c:crosses val="autoZero"/>
        <c:crossBetween val="between"/>
      </c:valAx>
      <c:spPr>
        <a:noFill/>
        <a:ln>
          <a:noFill/>
        </a:ln>
        <a:effectLst/>
      </c:spPr>
    </c:plotArea>
    <c:legend>
      <c:legendPos val="b"/>
      <c:layout>
        <c:manualLayout>
          <c:xMode val="edge"/>
          <c:yMode val="edge"/>
          <c:x val="0.10027465442997284"/>
          <c:y val="0.65769800428489755"/>
          <c:w val="0.85777280868155281"/>
          <c:h val="0.1410771488209642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200" b="1">
                <a:latin typeface="Times New Roman" panose="02020603050405020304" pitchFamily="18" charset="0"/>
                <a:cs typeface="Times New Roman" panose="02020603050405020304" pitchFamily="18" charset="0"/>
              </a:rPr>
              <a:t>HÌnh 2.13. Biểu đồ thể hiện </a:t>
            </a:r>
            <a:r>
              <a:rPr lang="en-US" sz="1200" b="1">
                <a:latin typeface="Times New Roman" panose="02020603050405020304" pitchFamily="18" charset="0"/>
                <a:cs typeface="Times New Roman" panose="02020603050405020304" pitchFamily="18" charset="0"/>
              </a:rPr>
              <a:t>tỷ suất lợi nhuận trước thuế và lãi vay</a:t>
            </a:r>
            <a:r>
              <a:rPr lang="vi-VN" sz="1200" b="1">
                <a:latin typeface="Times New Roman" panose="02020603050405020304" pitchFamily="18" charset="0"/>
                <a:cs typeface="Times New Roman" panose="02020603050405020304" pitchFamily="18" charset="0"/>
              </a:rPr>
              <a:t> </a:t>
            </a:r>
            <a:r>
              <a:rPr lang="en-US" sz="1200" b="1">
                <a:latin typeface="Times New Roman" panose="02020603050405020304" pitchFamily="18" charset="0"/>
                <a:cs typeface="Times New Roman" panose="02020603050405020304" pitchFamily="18" charset="0"/>
              </a:rPr>
              <a:t>trên VKD</a:t>
            </a:r>
            <a:r>
              <a:rPr lang="vi-VN" sz="1200" b="1">
                <a:latin typeface="Times New Roman" panose="02020603050405020304" pitchFamily="18" charset="0"/>
                <a:cs typeface="Times New Roman" panose="02020603050405020304" pitchFamily="18" charset="0"/>
              </a:rPr>
              <a:t> của các CTCP niêm yết thuộc tkv</a:t>
            </a:r>
            <a:r>
              <a:rPr lang="en-US" sz="1200" b="1">
                <a:latin typeface="Times New Roman" panose="02020603050405020304" pitchFamily="18" charset="0"/>
                <a:cs typeface="Times New Roman" panose="02020603050405020304" pitchFamily="18" charset="0"/>
              </a:rPr>
              <a:t> giai đoạn 2019-2023</a:t>
            </a:r>
          </a:p>
        </c:rich>
      </c:tx>
      <c:layout>
        <c:manualLayout>
          <c:xMode val="edge"/>
          <c:yMode val="edge"/>
          <c:x val="0.12287038815270042"/>
          <c:y val="0.86105809063023753"/>
        </c:manualLayout>
      </c:layout>
      <c:overlay val="0"/>
      <c:spPr>
        <a:noFill/>
        <a:ln>
          <a:noFill/>
        </a:ln>
        <a:effectLst/>
      </c:spPr>
    </c:title>
    <c:autoTitleDeleted val="0"/>
    <c:plotArea>
      <c:layout>
        <c:manualLayout>
          <c:layoutTarget val="inner"/>
          <c:xMode val="edge"/>
          <c:yMode val="edge"/>
          <c:x val="0.10502150772820064"/>
          <c:y val="6.6690379667888058E-2"/>
          <c:w val="0.87877478856809565"/>
          <c:h val="0.54646253995478278"/>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 2023</c:v>
                </c:pt>
              </c:strCache>
            </c:strRef>
          </c:cat>
          <c:val>
            <c:numRef>
              <c:f>Sheet1!$B$2:$B$6</c:f>
              <c:numCache>
                <c:formatCode>0.00%</c:formatCode>
                <c:ptCount val="5"/>
                <c:pt idx="0">
                  <c:v>9.06E-2</c:v>
                </c:pt>
                <c:pt idx="1">
                  <c:v>6.7000000000000004E-2</c:v>
                </c:pt>
                <c:pt idx="2">
                  <c:v>8.8999999999999996E-2</c:v>
                </c:pt>
                <c:pt idx="3">
                  <c:v>0.10390000000000001</c:v>
                </c:pt>
                <c:pt idx="4">
                  <c:v>0.1119</c:v>
                </c:pt>
              </c:numCache>
            </c:numRef>
          </c:val>
          <c:smooth val="0"/>
          <c:extLst xmlns:c16r2="http://schemas.microsoft.com/office/drawing/2015/06/chart">
            <c:ext xmlns:c16="http://schemas.microsoft.com/office/drawing/2014/chart" uri="{C3380CC4-5D6E-409C-BE32-E72D297353CC}">
              <c16:uniqueId val="{00000000-FAE5-4C97-92BB-B4010CC97FDF}"/>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 2023</c:v>
                </c:pt>
              </c:strCache>
            </c:strRef>
          </c:cat>
          <c:val>
            <c:numRef>
              <c:f>Sheet1!$C$2:$C$6</c:f>
              <c:numCache>
                <c:formatCode>0.00%</c:formatCode>
                <c:ptCount val="5"/>
                <c:pt idx="0">
                  <c:v>8.6599999999999996E-2</c:v>
                </c:pt>
                <c:pt idx="1">
                  <c:v>5.6800000000000003E-2</c:v>
                </c:pt>
                <c:pt idx="2">
                  <c:v>6.0600000000000001E-2</c:v>
                </c:pt>
                <c:pt idx="3">
                  <c:v>0.10349999999999999</c:v>
                </c:pt>
                <c:pt idx="4">
                  <c:v>8.77E-2</c:v>
                </c:pt>
              </c:numCache>
            </c:numRef>
          </c:val>
          <c:smooth val="0"/>
          <c:extLst xmlns:c16r2="http://schemas.microsoft.com/office/drawing/2015/06/chart">
            <c:ext xmlns:c16="http://schemas.microsoft.com/office/drawing/2014/chart" uri="{C3380CC4-5D6E-409C-BE32-E72D297353CC}">
              <c16:uniqueId val="{00000001-FAE5-4C97-92BB-B4010CC97FDF}"/>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 2023</c:v>
                </c:pt>
              </c:strCache>
            </c:strRef>
          </c:cat>
          <c:val>
            <c:numRef>
              <c:f>Sheet1!$D$2:$D$6</c:f>
              <c:numCache>
                <c:formatCode>0.00%</c:formatCode>
                <c:ptCount val="5"/>
                <c:pt idx="0">
                  <c:v>0.1168</c:v>
                </c:pt>
                <c:pt idx="1">
                  <c:v>7.4899999999999994E-2</c:v>
                </c:pt>
                <c:pt idx="2">
                  <c:v>8.6999999999999994E-2</c:v>
                </c:pt>
                <c:pt idx="3">
                  <c:v>7.7100000000000002E-2</c:v>
                </c:pt>
                <c:pt idx="4">
                  <c:v>9.4100000000000003E-2</c:v>
                </c:pt>
              </c:numCache>
            </c:numRef>
          </c:val>
          <c:smooth val="0"/>
          <c:extLst xmlns:c16r2="http://schemas.microsoft.com/office/drawing/2015/06/chart">
            <c:ext xmlns:c16="http://schemas.microsoft.com/office/drawing/2014/chart" uri="{C3380CC4-5D6E-409C-BE32-E72D297353CC}">
              <c16:uniqueId val="{00000002-FAE5-4C97-92BB-B4010CC97FDF}"/>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 2023</c:v>
                </c:pt>
              </c:strCache>
            </c:strRef>
          </c:cat>
          <c:val>
            <c:numRef>
              <c:f>Sheet1!$E$2:$E$6</c:f>
              <c:numCache>
                <c:formatCode>0.00%</c:formatCode>
                <c:ptCount val="5"/>
                <c:pt idx="0">
                  <c:v>6.9199999999999998E-2</c:v>
                </c:pt>
                <c:pt idx="1">
                  <c:v>6.13E-2</c:v>
                </c:pt>
                <c:pt idx="2">
                  <c:v>7.0699999999999999E-2</c:v>
                </c:pt>
                <c:pt idx="3">
                  <c:v>7.5899999999999995E-2</c:v>
                </c:pt>
                <c:pt idx="4">
                  <c:v>6.3200000000000006E-2</c:v>
                </c:pt>
              </c:numCache>
            </c:numRef>
          </c:val>
          <c:smooth val="0"/>
          <c:extLst xmlns:c16r2="http://schemas.microsoft.com/office/drawing/2015/06/chart">
            <c:ext xmlns:c16="http://schemas.microsoft.com/office/drawing/2014/chart" uri="{C3380CC4-5D6E-409C-BE32-E72D297353CC}">
              <c16:uniqueId val="{00000003-FAE5-4C97-92BB-B4010CC97FDF}"/>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 2023</c:v>
                </c:pt>
              </c:strCache>
            </c:strRef>
          </c:cat>
          <c:val>
            <c:numRef>
              <c:f>Sheet1!$F$2:$F$6</c:f>
              <c:numCache>
                <c:formatCode>0.00%</c:formatCode>
                <c:ptCount val="5"/>
                <c:pt idx="0">
                  <c:v>6.0499999999999998E-2</c:v>
                </c:pt>
                <c:pt idx="1">
                  <c:v>6.4899999999999999E-2</c:v>
                </c:pt>
                <c:pt idx="2">
                  <c:v>6.4199999999999993E-2</c:v>
                </c:pt>
                <c:pt idx="3">
                  <c:v>6.5100000000000005E-2</c:v>
                </c:pt>
                <c:pt idx="4">
                  <c:v>9.6500000000000002E-2</c:v>
                </c:pt>
              </c:numCache>
            </c:numRef>
          </c:val>
          <c:smooth val="0"/>
          <c:extLst xmlns:c16r2="http://schemas.microsoft.com/office/drawing/2015/06/chart">
            <c:ext xmlns:c16="http://schemas.microsoft.com/office/drawing/2014/chart" uri="{C3380CC4-5D6E-409C-BE32-E72D297353CC}">
              <c16:uniqueId val="{00000004-FAE5-4C97-92BB-B4010CC97FDF}"/>
            </c:ext>
          </c:extLst>
        </c:ser>
        <c:dLbls>
          <c:showLegendKey val="0"/>
          <c:showVal val="0"/>
          <c:showCatName val="0"/>
          <c:showSerName val="0"/>
          <c:showPercent val="0"/>
          <c:showBubbleSize val="0"/>
        </c:dLbls>
        <c:marker val="1"/>
        <c:smooth val="0"/>
        <c:axId val="350946048"/>
        <c:axId val="350947968"/>
      </c:lineChart>
      <c:catAx>
        <c:axId val="3509460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947968"/>
        <c:crosses val="autoZero"/>
        <c:auto val="1"/>
        <c:lblAlgn val="ctr"/>
        <c:lblOffset val="100"/>
        <c:noMultiLvlLbl val="0"/>
      </c:catAx>
      <c:valAx>
        <c:axId val="35094796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0946048"/>
        <c:crosses val="autoZero"/>
        <c:crossBetween val="between"/>
      </c:valAx>
      <c:spPr>
        <a:noFill/>
        <a:ln>
          <a:noFill/>
        </a:ln>
        <a:effectLst/>
      </c:spPr>
    </c:plotArea>
    <c:legend>
      <c:legendPos val="b"/>
      <c:layout>
        <c:manualLayout>
          <c:xMode val="edge"/>
          <c:yMode val="edge"/>
          <c:x val="7.130194663167104E-2"/>
          <c:y val="0.70606338192874407"/>
          <c:w val="0.86358427757505918"/>
          <c:h val="0.1295190209657527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200" b="1">
                <a:latin typeface="Times New Roman" panose="02020603050405020304" pitchFamily="18" charset="0"/>
                <a:cs typeface="Times New Roman" panose="02020603050405020304" pitchFamily="18" charset="0"/>
              </a:rPr>
              <a:t>Hình 2.14. Biểu đồ thể hiện </a:t>
            </a:r>
            <a:r>
              <a:rPr lang="en-US" sz="1200" b="1">
                <a:latin typeface="Times New Roman" panose="02020603050405020304" pitchFamily="18" charset="0"/>
                <a:cs typeface="Times New Roman" panose="02020603050405020304" pitchFamily="18" charset="0"/>
              </a:rPr>
              <a:t>tỷ suất lợi nhuận sau thuế trên vốn kinh doanh của các CTCP niêm yết thuộc TKV giai đoạn 2019-2023</a:t>
            </a:r>
          </a:p>
        </c:rich>
      </c:tx>
      <c:layout>
        <c:manualLayout>
          <c:xMode val="edge"/>
          <c:yMode val="edge"/>
          <c:x val="0.12969050009688388"/>
          <c:y val="0.83969465648854957"/>
        </c:manualLayout>
      </c:layout>
      <c:overlay val="0"/>
      <c:spPr>
        <a:noFill/>
        <a:ln>
          <a:noFill/>
        </a:ln>
        <a:effectLst/>
      </c:spPr>
    </c:title>
    <c:autoTitleDeleted val="0"/>
    <c:plotArea>
      <c:layout>
        <c:manualLayout>
          <c:layoutTarget val="inner"/>
          <c:xMode val="edge"/>
          <c:yMode val="edge"/>
          <c:x val="9.2537476439606123E-2"/>
          <c:y val="4.7413061916878711E-2"/>
          <c:w val="0.88509115890715007"/>
          <c:h val="0.51359820480455209"/>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 2023</c:v>
                </c:pt>
              </c:strCache>
            </c:strRef>
          </c:cat>
          <c:val>
            <c:numRef>
              <c:f>Sheet1!$B$2:$B$6</c:f>
              <c:numCache>
                <c:formatCode>0.00%</c:formatCode>
                <c:ptCount val="5"/>
                <c:pt idx="0">
                  <c:v>2.3400000000000001E-2</c:v>
                </c:pt>
                <c:pt idx="1">
                  <c:v>2.46E-2</c:v>
                </c:pt>
                <c:pt idx="2">
                  <c:v>4.3099999999999999E-2</c:v>
                </c:pt>
                <c:pt idx="3">
                  <c:v>6.5199999999999994E-2</c:v>
                </c:pt>
                <c:pt idx="4">
                  <c:v>6.5000000000000002E-2</c:v>
                </c:pt>
              </c:numCache>
            </c:numRef>
          </c:val>
          <c:smooth val="0"/>
          <c:extLst xmlns:c16r2="http://schemas.microsoft.com/office/drawing/2015/06/chart">
            <c:ext xmlns:c16="http://schemas.microsoft.com/office/drawing/2014/chart" uri="{C3380CC4-5D6E-409C-BE32-E72D297353CC}">
              <c16:uniqueId val="{00000000-E56E-4495-B73F-436DA048A800}"/>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 2023</c:v>
                </c:pt>
              </c:strCache>
            </c:strRef>
          </c:cat>
          <c:val>
            <c:numRef>
              <c:f>Sheet1!$C$2:$C$6</c:f>
              <c:numCache>
                <c:formatCode>0.00%</c:formatCode>
                <c:ptCount val="5"/>
                <c:pt idx="0">
                  <c:v>1.78E-2</c:v>
                </c:pt>
                <c:pt idx="1">
                  <c:v>1.9900000000000001E-2</c:v>
                </c:pt>
                <c:pt idx="2">
                  <c:v>2.5499999999999998E-2</c:v>
                </c:pt>
                <c:pt idx="3">
                  <c:v>6.2E-2</c:v>
                </c:pt>
                <c:pt idx="4">
                  <c:v>4.82E-2</c:v>
                </c:pt>
              </c:numCache>
            </c:numRef>
          </c:val>
          <c:smooth val="0"/>
          <c:extLst xmlns:c16r2="http://schemas.microsoft.com/office/drawing/2015/06/chart">
            <c:ext xmlns:c16="http://schemas.microsoft.com/office/drawing/2014/chart" uri="{C3380CC4-5D6E-409C-BE32-E72D297353CC}">
              <c16:uniqueId val="{00000001-E56E-4495-B73F-436DA048A800}"/>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 2023</c:v>
                </c:pt>
              </c:strCache>
            </c:strRef>
          </c:cat>
          <c:val>
            <c:numRef>
              <c:f>Sheet1!$D$2:$D$6</c:f>
              <c:numCache>
                <c:formatCode>0.00%</c:formatCode>
                <c:ptCount val="5"/>
                <c:pt idx="0">
                  <c:v>1.52E-2</c:v>
                </c:pt>
                <c:pt idx="1">
                  <c:v>1.2E-2</c:v>
                </c:pt>
                <c:pt idx="2">
                  <c:v>2.4299999999999999E-2</c:v>
                </c:pt>
                <c:pt idx="3">
                  <c:v>2.75E-2</c:v>
                </c:pt>
                <c:pt idx="4">
                  <c:v>4.41E-2</c:v>
                </c:pt>
              </c:numCache>
            </c:numRef>
          </c:val>
          <c:smooth val="0"/>
          <c:extLst xmlns:c16r2="http://schemas.microsoft.com/office/drawing/2015/06/chart">
            <c:ext xmlns:c16="http://schemas.microsoft.com/office/drawing/2014/chart" uri="{C3380CC4-5D6E-409C-BE32-E72D297353CC}">
              <c16:uniqueId val="{00000002-E56E-4495-B73F-436DA048A800}"/>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 2023</c:v>
                </c:pt>
              </c:strCache>
            </c:strRef>
          </c:cat>
          <c:val>
            <c:numRef>
              <c:f>Sheet1!$E$2:$E$6</c:f>
              <c:numCache>
                <c:formatCode>0.00%</c:formatCode>
                <c:ptCount val="5"/>
                <c:pt idx="0">
                  <c:v>4.4999999999999998E-2</c:v>
                </c:pt>
                <c:pt idx="1">
                  <c:v>2.0400000000000001E-2</c:v>
                </c:pt>
                <c:pt idx="2">
                  <c:v>2.41E-2</c:v>
                </c:pt>
                <c:pt idx="3">
                  <c:v>4.36E-2</c:v>
                </c:pt>
                <c:pt idx="4">
                  <c:v>4.4200000000000003E-2</c:v>
                </c:pt>
              </c:numCache>
            </c:numRef>
          </c:val>
          <c:smooth val="0"/>
          <c:extLst xmlns:c16r2="http://schemas.microsoft.com/office/drawing/2015/06/chart">
            <c:ext xmlns:c16="http://schemas.microsoft.com/office/drawing/2014/chart" uri="{C3380CC4-5D6E-409C-BE32-E72D297353CC}">
              <c16:uniqueId val="{00000003-E56E-4495-B73F-436DA048A800}"/>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 2023</c:v>
                </c:pt>
              </c:strCache>
            </c:strRef>
          </c:cat>
          <c:val>
            <c:numRef>
              <c:f>Sheet1!$F$2:$F$6</c:f>
              <c:numCache>
                <c:formatCode>0.00%</c:formatCode>
                <c:ptCount val="5"/>
                <c:pt idx="0">
                  <c:v>8.3000000000000001E-3</c:v>
                </c:pt>
                <c:pt idx="1">
                  <c:v>1.2999999999999999E-2</c:v>
                </c:pt>
                <c:pt idx="2">
                  <c:v>1.29E-2</c:v>
                </c:pt>
                <c:pt idx="3">
                  <c:v>1.3899999999999999E-2</c:v>
                </c:pt>
                <c:pt idx="4">
                  <c:v>3.9600000000000003E-2</c:v>
                </c:pt>
              </c:numCache>
            </c:numRef>
          </c:val>
          <c:smooth val="0"/>
          <c:extLst xmlns:c16r2="http://schemas.microsoft.com/office/drawing/2015/06/chart">
            <c:ext xmlns:c16="http://schemas.microsoft.com/office/drawing/2014/chart" uri="{C3380CC4-5D6E-409C-BE32-E72D297353CC}">
              <c16:uniqueId val="{00000004-E56E-4495-B73F-436DA048A800}"/>
            </c:ext>
          </c:extLst>
        </c:ser>
        <c:dLbls>
          <c:showLegendKey val="0"/>
          <c:showVal val="0"/>
          <c:showCatName val="0"/>
          <c:showSerName val="0"/>
          <c:showPercent val="0"/>
          <c:showBubbleSize val="0"/>
        </c:dLbls>
        <c:marker val="1"/>
        <c:smooth val="0"/>
        <c:axId val="351067520"/>
        <c:axId val="351086080"/>
      </c:lineChart>
      <c:catAx>
        <c:axId val="351067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1086080"/>
        <c:crosses val="autoZero"/>
        <c:auto val="1"/>
        <c:lblAlgn val="ctr"/>
        <c:lblOffset val="100"/>
        <c:noMultiLvlLbl val="0"/>
      </c:catAx>
      <c:valAx>
        <c:axId val="351086080"/>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1067520"/>
        <c:crosses val="autoZero"/>
        <c:crossBetween val="between"/>
      </c:valAx>
      <c:spPr>
        <a:noFill/>
        <a:ln>
          <a:noFill/>
        </a:ln>
        <a:effectLst/>
      </c:spPr>
    </c:plotArea>
    <c:legend>
      <c:legendPos val="b"/>
      <c:layout>
        <c:manualLayout>
          <c:xMode val="edge"/>
          <c:yMode val="edge"/>
          <c:x val="8.345065088340467E-2"/>
          <c:y val="0.66814997361970963"/>
          <c:w val="0.85547006288643446"/>
          <c:h val="0.1367694496203241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vi-VN" sz="1200" b="1">
                <a:latin typeface="Times New Roman" panose="02020603050405020304" pitchFamily="18" charset="0"/>
                <a:cs typeface="Times New Roman" panose="02020603050405020304" pitchFamily="18" charset="0"/>
              </a:rPr>
              <a:t>Hình 2.15. Biểu đồ thể hiện </a:t>
            </a:r>
            <a:r>
              <a:rPr lang="en-US" sz="1200" b="1">
                <a:latin typeface="Times New Roman" panose="02020603050405020304" pitchFamily="18" charset="0"/>
                <a:cs typeface="Times New Roman" panose="02020603050405020304" pitchFamily="18" charset="0"/>
              </a:rPr>
              <a:t>tỷ suất lợi nhuận vốn chủ sở hữu của các CTCP niêm yết thuộc TKV giai đoạn 2019-2023</a:t>
            </a:r>
          </a:p>
        </c:rich>
      </c:tx>
      <c:layout>
        <c:manualLayout>
          <c:xMode val="edge"/>
          <c:yMode val="edge"/>
          <c:x val="0.1548160799752972"/>
          <c:y val="0.83116883116883122"/>
        </c:manualLayout>
      </c:layout>
      <c:overlay val="0"/>
      <c:spPr>
        <a:noFill/>
        <a:ln>
          <a:noFill/>
        </a:ln>
        <a:effectLst/>
      </c:spPr>
    </c:title>
    <c:autoTitleDeleted val="0"/>
    <c:plotArea>
      <c:layout>
        <c:manualLayout>
          <c:layoutTarget val="inner"/>
          <c:xMode val="edge"/>
          <c:yMode val="edge"/>
          <c:x val="0.1136502238690752"/>
          <c:y val="4.8398268398268399E-2"/>
          <c:w val="0.86183997220935615"/>
          <c:h val="0.43043869516310462"/>
        </c:manualLayout>
      </c:layout>
      <c:lineChart>
        <c:grouping val="standard"/>
        <c:varyColors val="0"/>
        <c:ser>
          <c:idx val="0"/>
          <c:order val="0"/>
          <c:tx>
            <c:strRef>
              <c:f>Sheet1!$B$1</c:f>
              <c:strCache>
                <c:ptCount val="1"/>
                <c:pt idx="0">
                  <c:v>CTCP Than Vàng Danh</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Năm 2019</c:v>
                </c:pt>
                <c:pt idx="1">
                  <c:v>Năm 2020</c:v>
                </c:pt>
                <c:pt idx="2">
                  <c:v>Năm 2021</c:v>
                </c:pt>
                <c:pt idx="3">
                  <c:v>Năm 2022</c:v>
                </c:pt>
                <c:pt idx="4">
                  <c:v>Năm 2023</c:v>
                </c:pt>
              </c:strCache>
            </c:strRef>
          </c:cat>
          <c:val>
            <c:numRef>
              <c:f>Sheet1!$B$2:$B$6</c:f>
              <c:numCache>
                <c:formatCode>0.00%</c:formatCode>
                <c:ptCount val="5"/>
                <c:pt idx="0">
                  <c:v>0.11559999999999999</c:v>
                </c:pt>
                <c:pt idx="1">
                  <c:v>0.12759999999999999</c:v>
                </c:pt>
                <c:pt idx="2">
                  <c:v>0.18429999999999999</c:v>
                </c:pt>
                <c:pt idx="3">
                  <c:v>0.26540000000000002</c:v>
                </c:pt>
                <c:pt idx="4">
                  <c:v>0.1953</c:v>
                </c:pt>
              </c:numCache>
            </c:numRef>
          </c:val>
          <c:smooth val="0"/>
          <c:extLst xmlns:c16r2="http://schemas.microsoft.com/office/drawing/2015/06/chart">
            <c:ext xmlns:c16="http://schemas.microsoft.com/office/drawing/2014/chart" uri="{C3380CC4-5D6E-409C-BE32-E72D297353CC}">
              <c16:uniqueId val="{00000000-2955-49E8-893E-B71CB6D2B07D}"/>
            </c:ext>
          </c:extLst>
        </c:ser>
        <c:ser>
          <c:idx val="1"/>
          <c:order val="1"/>
          <c:tx>
            <c:strRef>
              <c:f>Sheet1!$C$1</c:f>
              <c:strCache>
                <c:ptCount val="1"/>
                <c:pt idx="0">
                  <c:v>CTCP Than Mông Dương</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Năm 2019</c:v>
                </c:pt>
                <c:pt idx="1">
                  <c:v>Năm 2020</c:v>
                </c:pt>
                <c:pt idx="2">
                  <c:v>Năm 2021</c:v>
                </c:pt>
                <c:pt idx="3">
                  <c:v>Năm 2022</c:v>
                </c:pt>
                <c:pt idx="4">
                  <c:v>Năm 2023</c:v>
                </c:pt>
              </c:strCache>
            </c:strRef>
          </c:cat>
          <c:val>
            <c:numRef>
              <c:f>Sheet1!$C$2:$C$6</c:f>
              <c:numCache>
                <c:formatCode>0.00%</c:formatCode>
                <c:ptCount val="5"/>
                <c:pt idx="0">
                  <c:v>8.7499999999999994E-2</c:v>
                </c:pt>
                <c:pt idx="1">
                  <c:v>0.1132</c:v>
                </c:pt>
                <c:pt idx="2">
                  <c:v>0.11600000000000001</c:v>
                </c:pt>
                <c:pt idx="3">
                  <c:v>0.2848</c:v>
                </c:pt>
                <c:pt idx="4">
                  <c:v>0.15670000000000001</c:v>
                </c:pt>
              </c:numCache>
            </c:numRef>
          </c:val>
          <c:smooth val="0"/>
          <c:extLst xmlns:c16r2="http://schemas.microsoft.com/office/drawing/2015/06/chart">
            <c:ext xmlns:c16="http://schemas.microsoft.com/office/drawing/2014/chart" uri="{C3380CC4-5D6E-409C-BE32-E72D297353CC}">
              <c16:uniqueId val="{00000001-2955-49E8-893E-B71CB6D2B07D}"/>
            </c:ext>
          </c:extLst>
        </c:ser>
        <c:ser>
          <c:idx val="2"/>
          <c:order val="2"/>
          <c:tx>
            <c:strRef>
              <c:f>Sheet1!$D$1</c:f>
              <c:strCache>
                <c:ptCount val="1"/>
                <c:pt idx="0">
                  <c:v>CTCP Than Hà Lầm</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Năm 2019</c:v>
                </c:pt>
                <c:pt idx="1">
                  <c:v>Năm 2020</c:v>
                </c:pt>
                <c:pt idx="2">
                  <c:v>Năm 2021</c:v>
                </c:pt>
                <c:pt idx="3">
                  <c:v>Năm 2022</c:v>
                </c:pt>
                <c:pt idx="4">
                  <c:v>Năm 2023</c:v>
                </c:pt>
              </c:strCache>
            </c:strRef>
          </c:cat>
          <c:val>
            <c:numRef>
              <c:f>Sheet1!$D$2:$D$6</c:f>
              <c:numCache>
                <c:formatCode>0.00%</c:formatCode>
                <c:ptCount val="5"/>
                <c:pt idx="0">
                  <c:v>0.15629999999999999</c:v>
                </c:pt>
                <c:pt idx="1">
                  <c:v>0.13500000000000001</c:v>
                </c:pt>
                <c:pt idx="2">
                  <c:v>0.21640000000000001</c:v>
                </c:pt>
                <c:pt idx="3">
                  <c:v>0.21099999999999999</c:v>
                </c:pt>
                <c:pt idx="4">
                  <c:v>0.23519999999999999</c:v>
                </c:pt>
              </c:numCache>
            </c:numRef>
          </c:val>
          <c:smooth val="0"/>
          <c:extLst xmlns:c16r2="http://schemas.microsoft.com/office/drawing/2015/06/chart">
            <c:ext xmlns:c16="http://schemas.microsoft.com/office/drawing/2014/chart" uri="{C3380CC4-5D6E-409C-BE32-E72D297353CC}">
              <c16:uniqueId val="{00000002-2955-49E8-893E-B71CB6D2B07D}"/>
            </c:ext>
          </c:extLst>
        </c:ser>
        <c:ser>
          <c:idx val="3"/>
          <c:order val="3"/>
          <c:tx>
            <c:strRef>
              <c:f>Sheet1!$E$1</c:f>
              <c:strCache>
                <c:ptCount val="1"/>
                <c:pt idx="0">
                  <c:v>CTCP Than Hà Tu</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Sheet1!$A$2:$A$6</c:f>
              <c:strCache>
                <c:ptCount val="5"/>
                <c:pt idx="0">
                  <c:v>Năm 2019</c:v>
                </c:pt>
                <c:pt idx="1">
                  <c:v>Năm 2020</c:v>
                </c:pt>
                <c:pt idx="2">
                  <c:v>Năm 2021</c:v>
                </c:pt>
                <c:pt idx="3">
                  <c:v>Năm 2022</c:v>
                </c:pt>
                <c:pt idx="4">
                  <c:v>Năm 2023</c:v>
                </c:pt>
              </c:strCache>
            </c:strRef>
          </c:cat>
          <c:val>
            <c:numRef>
              <c:f>Sheet1!$E$2:$E$6</c:f>
              <c:numCache>
                <c:formatCode>0.00%</c:formatCode>
                <c:ptCount val="5"/>
                <c:pt idx="0">
                  <c:v>0.1799</c:v>
                </c:pt>
                <c:pt idx="1">
                  <c:v>0.1019</c:v>
                </c:pt>
                <c:pt idx="2">
                  <c:v>0.11559999999999999</c:v>
                </c:pt>
                <c:pt idx="3">
                  <c:v>0.19400000000000001</c:v>
                </c:pt>
                <c:pt idx="4">
                  <c:v>0.1769</c:v>
                </c:pt>
              </c:numCache>
            </c:numRef>
          </c:val>
          <c:smooth val="0"/>
          <c:extLst xmlns:c16r2="http://schemas.microsoft.com/office/drawing/2015/06/chart">
            <c:ext xmlns:c16="http://schemas.microsoft.com/office/drawing/2014/chart" uri="{C3380CC4-5D6E-409C-BE32-E72D297353CC}">
              <c16:uniqueId val="{00000003-2955-49E8-893E-B71CB6D2B07D}"/>
            </c:ext>
          </c:extLst>
        </c:ser>
        <c:ser>
          <c:idx val="4"/>
          <c:order val="4"/>
          <c:tx>
            <c:strRef>
              <c:f>Sheet1!$F$1</c:f>
              <c:strCache>
                <c:ptCount val="1"/>
                <c:pt idx="0">
                  <c:v>CTCP Than Núi Béo</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Sheet1!$A$2:$A$6</c:f>
              <c:strCache>
                <c:ptCount val="5"/>
                <c:pt idx="0">
                  <c:v>Năm 2019</c:v>
                </c:pt>
                <c:pt idx="1">
                  <c:v>Năm 2020</c:v>
                </c:pt>
                <c:pt idx="2">
                  <c:v>Năm 2021</c:v>
                </c:pt>
                <c:pt idx="3">
                  <c:v>Năm 2022</c:v>
                </c:pt>
                <c:pt idx="4">
                  <c:v>Năm 2023</c:v>
                </c:pt>
              </c:strCache>
            </c:strRef>
          </c:cat>
          <c:val>
            <c:numRef>
              <c:f>Sheet1!$F$2:$F$6</c:f>
              <c:numCache>
                <c:formatCode>0.00%</c:formatCode>
                <c:ptCount val="5"/>
                <c:pt idx="0">
                  <c:v>6.6000000000000003E-2</c:v>
                </c:pt>
                <c:pt idx="1">
                  <c:v>9.7699999999999995E-2</c:v>
                </c:pt>
                <c:pt idx="2">
                  <c:v>9.3700000000000006E-2</c:v>
                </c:pt>
                <c:pt idx="3">
                  <c:v>0.1769</c:v>
                </c:pt>
                <c:pt idx="4">
                  <c:v>0.18090000000000001</c:v>
                </c:pt>
              </c:numCache>
            </c:numRef>
          </c:val>
          <c:smooth val="0"/>
          <c:extLst xmlns:c16r2="http://schemas.microsoft.com/office/drawing/2015/06/chart">
            <c:ext xmlns:c16="http://schemas.microsoft.com/office/drawing/2014/chart" uri="{C3380CC4-5D6E-409C-BE32-E72D297353CC}">
              <c16:uniqueId val="{00000004-2955-49E8-893E-B71CB6D2B07D}"/>
            </c:ext>
          </c:extLst>
        </c:ser>
        <c:dLbls>
          <c:showLegendKey val="0"/>
          <c:showVal val="0"/>
          <c:showCatName val="0"/>
          <c:showSerName val="0"/>
          <c:showPercent val="0"/>
          <c:showBubbleSize val="0"/>
        </c:dLbls>
        <c:marker val="1"/>
        <c:smooth val="0"/>
        <c:axId val="351119616"/>
        <c:axId val="351129984"/>
      </c:lineChart>
      <c:catAx>
        <c:axId val="3511196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1129984"/>
        <c:crosses val="autoZero"/>
        <c:auto val="1"/>
        <c:lblAlgn val="ctr"/>
        <c:lblOffset val="100"/>
        <c:noMultiLvlLbl val="0"/>
      </c:catAx>
      <c:valAx>
        <c:axId val="35112998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1119616"/>
        <c:crosses val="autoZero"/>
        <c:crossBetween val="between"/>
      </c:valAx>
      <c:spPr>
        <a:noFill/>
        <a:ln>
          <a:noFill/>
        </a:ln>
        <a:effectLst/>
      </c:spPr>
    </c:plotArea>
    <c:legend>
      <c:legendPos val="b"/>
      <c:layout>
        <c:manualLayout>
          <c:xMode val="edge"/>
          <c:yMode val="edge"/>
          <c:x val="0.19003666821059131"/>
          <c:y val="0.59685993796230019"/>
          <c:w val="0.80996334631558153"/>
          <c:h val="0.150984251968503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8AE55F5EF93B4D9B6D3B3A7A26B890" ma:contentTypeVersion="6" ma:contentTypeDescription="Create a new document." ma:contentTypeScope="" ma:versionID="7515ca7f1188e78d93aeb6706fcadc12">
  <xsd:schema xmlns:xsd="http://www.w3.org/2001/XMLSchema" xmlns:xs="http://www.w3.org/2001/XMLSchema" xmlns:p="http://schemas.microsoft.com/office/2006/metadata/properties" xmlns:ns3="82333dbf-7d3d-41af-af37-1e2c70dda471" targetNamespace="http://schemas.microsoft.com/office/2006/metadata/properties" ma:root="true" ma:fieldsID="b7a4a7e3664defb6484200595b6542c9" ns3:_="">
    <xsd:import namespace="82333dbf-7d3d-41af-af37-1e2c70dda471"/>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333dbf-7d3d-41af-af37-1e2c70dda4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2333dbf-7d3d-41af-af37-1e2c70dda47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78114-2642-4E1C-A802-33866CE1D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333dbf-7d3d-41af-af37-1e2c70dda4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408E74-0163-4220-9B7E-CB6B54F63957}">
  <ds:schemaRefs>
    <ds:schemaRef ds:uri="http://schemas.microsoft.com/sharepoint/v3/contenttype/forms"/>
  </ds:schemaRefs>
</ds:datastoreItem>
</file>

<file path=customXml/itemProps3.xml><?xml version="1.0" encoding="utf-8"?>
<ds:datastoreItem xmlns:ds="http://schemas.openxmlformats.org/officeDocument/2006/customXml" ds:itemID="{2D8250D9-E8C9-41E5-917D-CB79C15ED929}">
  <ds:schemaRefs>
    <ds:schemaRef ds:uri="http://schemas.microsoft.com/office/2006/metadata/properties"/>
    <ds:schemaRef ds:uri="http://schemas.microsoft.com/office/infopath/2007/PartnerControls"/>
    <ds:schemaRef ds:uri="82333dbf-7d3d-41af-af37-1e2c70dda471"/>
  </ds:schemaRefs>
</ds:datastoreItem>
</file>

<file path=customXml/itemProps4.xml><?xml version="1.0" encoding="utf-8"?>
<ds:datastoreItem xmlns:ds="http://schemas.openxmlformats.org/officeDocument/2006/customXml" ds:itemID="{97305AB9-3F9D-4E56-96F5-09F1EB689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87</Pages>
  <Words>24643</Words>
  <Characters>140467</Characters>
  <Application>Microsoft Office Word</Application>
  <DocSecurity>0</DocSecurity>
  <Lines>1170</Lines>
  <Paragraphs>329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164781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NGUYỄN THỊ MINH NGUYỆT</dc:creator>
  <cp:lastModifiedBy>Admin</cp:lastModifiedBy>
  <cp:revision>2</cp:revision>
  <cp:lastPrinted>2025-05-16T03:47:00Z</cp:lastPrinted>
  <dcterms:created xsi:type="dcterms:W3CDTF">2025-05-21T03:08:00Z</dcterms:created>
  <dcterms:modified xsi:type="dcterms:W3CDTF">2025-05-21T03:08:00Z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0x010100168AE55F5EF93B4D9B6D3B3A7A26B890</vt:lpwstr>
  </property>
</Properties>
</file>