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18" w:rsidRPr="004E1713" w:rsidRDefault="001F0718" w:rsidP="001F0718">
      <w:pPr>
        <w:ind w:firstLine="0"/>
        <w:jc w:val="center"/>
        <w:rPr>
          <w:rFonts w:eastAsia="SimSun"/>
          <w:bCs/>
          <w:lang w:eastAsia="zh-CN"/>
        </w:rPr>
      </w:pPr>
      <w:bookmarkStart w:id="0" w:name="_Toc120350138"/>
      <w:bookmarkStart w:id="1" w:name="_Toc120350223"/>
      <w:r w:rsidRPr="004E1713">
        <w:rPr>
          <w:rFonts w:eastAsia="SimSun"/>
          <w:bCs/>
          <w:lang w:eastAsia="zh-CN"/>
        </w:rPr>
        <w:t>TRƯỜNG ĐẠI HỌC MỎ - ĐỊA CHẤT</w:t>
      </w:r>
    </w:p>
    <w:p w:rsidR="001F0718" w:rsidRDefault="001F0718" w:rsidP="001F0718">
      <w:pPr>
        <w:ind w:firstLine="0"/>
        <w:jc w:val="center"/>
        <w:rPr>
          <w:rFonts w:eastAsia="Calibri"/>
        </w:rPr>
      </w:pPr>
      <w:r w:rsidRPr="00FE4507">
        <w:rPr>
          <w:rFonts w:eastAsia="Calibri"/>
        </w:rPr>
        <w:t>KHOA TRẮC ĐỊA – BẢN ĐỒ VÀ QUẢN LÝ ĐẤT ĐAI</w:t>
      </w:r>
    </w:p>
    <w:p w:rsidR="001F0718" w:rsidRPr="004E1713" w:rsidRDefault="001F0718" w:rsidP="001F0718">
      <w:pPr>
        <w:ind w:firstLine="0"/>
        <w:jc w:val="center"/>
        <w:rPr>
          <w:rFonts w:eastAsia="Calibri"/>
          <w:b/>
          <w:bCs/>
          <w:sz w:val="24"/>
        </w:rPr>
      </w:pPr>
      <w:r w:rsidRPr="004E1713">
        <w:rPr>
          <w:rFonts w:eastAsia="Calibri"/>
          <w:b/>
          <w:bCs/>
        </w:rPr>
        <w:t>BỘ MÔN ĐỊA CHÍNH</w:t>
      </w:r>
    </w:p>
    <w:p w:rsidR="001F0718" w:rsidRPr="00FE4507" w:rsidRDefault="001F0718" w:rsidP="001F0718">
      <w:pPr>
        <w:ind w:firstLine="0"/>
        <w:jc w:val="center"/>
      </w:pPr>
    </w:p>
    <w:p w:rsidR="001F0718" w:rsidRPr="00FE4507" w:rsidRDefault="001F0718" w:rsidP="001F0718">
      <w:pPr>
        <w:ind w:firstLine="0"/>
        <w:jc w:val="center"/>
      </w:pPr>
    </w:p>
    <w:p w:rsidR="001F0718" w:rsidRPr="00FE4507" w:rsidRDefault="001F0718" w:rsidP="001F0718">
      <w:pPr>
        <w:ind w:firstLine="0"/>
        <w:jc w:val="center"/>
      </w:pPr>
    </w:p>
    <w:p w:rsidR="001F0718" w:rsidRPr="00FE4507" w:rsidRDefault="001F0718" w:rsidP="001F0718">
      <w:pPr>
        <w:ind w:firstLine="0"/>
        <w:jc w:val="center"/>
        <w:rPr>
          <w:lang w:val="en-US"/>
        </w:rPr>
      </w:pPr>
    </w:p>
    <w:p w:rsidR="001F0718" w:rsidRPr="00FE4507" w:rsidRDefault="001F0718" w:rsidP="001F0718">
      <w:pPr>
        <w:ind w:firstLine="0"/>
        <w:jc w:val="center"/>
        <w:rPr>
          <w:b/>
          <w:lang w:val="en-US"/>
        </w:rPr>
      </w:pPr>
      <w:r w:rsidRPr="00FE4507">
        <w:rPr>
          <w:b/>
          <w:lang w:val="en-US"/>
        </w:rPr>
        <w:t>T</w:t>
      </w:r>
      <w:r>
        <w:rPr>
          <w:b/>
          <w:lang w:val="en-US"/>
        </w:rPr>
        <w:t>hS. ĐẶNG THỊ HOÀNG NGA</w:t>
      </w:r>
    </w:p>
    <w:p w:rsidR="001F0718" w:rsidRPr="00FE4507" w:rsidRDefault="001F0718" w:rsidP="001F0718">
      <w:pPr>
        <w:ind w:firstLine="0"/>
      </w:pPr>
    </w:p>
    <w:p w:rsidR="001F0718" w:rsidRPr="00FE4507" w:rsidRDefault="001F0718" w:rsidP="001F0718">
      <w:pPr>
        <w:ind w:firstLine="0"/>
      </w:pPr>
    </w:p>
    <w:p w:rsidR="001F0718" w:rsidRPr="00FE4507" w:rsidRDefault="001F0718" w:rsidP="001F0718">
      <w:pPr>
        <w:ind w:firstLine="0"/>
        <w:jc w:val="center"/>
      </w:pPr>
    </w:p>
    <w:p w:rsidR="001F0718" w:rsidRPr="004C2CCA" w:rsidRDefault="001F0718" w:rsidP="001F0718">
      <w:pPr>
        <w:ind w:firstLine="0"/>
        <w:jc w:val="center"/>
        <w:rPr>
          <w:b/>
          <w:color w:val="4F81BD" w:themeColor="accent1"/>
          <w:sz w:val="54"/>
          <w:szCs w:val="38"/>
        </w:rPr>
      </w:pPr>
      <w:r w:rsidRPr="004C2CCA">
        <w:rPr>
          <w:b/>
          <w:color w:val="4F81BD" w:themeColor="accent1"/>
          <w:sz w:val="54"/>
          <w:szCs w:val="38"/>
        </w:rPr>
        <w:t>BÁO CÁO HỌC THUẬT</w:t>
      </w:r>
    </w:p>
    <w:p w:rsidR="001F0718" w:rsidRPr="004260C1" w:rsidRDefault="00501C37" w:rsidP="00F955A8">
      <w:pPr>
        <w:ind w:firstLine="0"/>
        <w:jc w:val="center"/>
        <w:rPr>
          <w:rFonts w:eastAsia="SimSun"/>
          <w:b/>
          <w:lang w:eastAsia="zh-CN"/>
        </w:rPr>
      </w:pPr>
      <w:r>
        <w:rPr>
          <w:b/>
          <w:sz w:val="40"/>
          <w:szCs w:val="40"/>
        </w:rPr>
        <w:t>PHƯƠNG PHÁP ĐẦU TƯ</w:t>
      </w:r>
      <w:r w:rsidR="00F955A8">
        <w:rPr>
          <w:b/>
          <w:sz w:val="40"/>
          <w:szCs w:val="40"/>
        </w:rPr>
        <w:t xml:space="preserve"> TRONG ĐỊNH GIÁ BẤT ĐỘNG SẢN</w:t>
      </w:r>
    </w:p>
    <w:p w:rsidR="001F0718" w:rsidRPr="004260C1" w:rsidRDefault="001F0718" w:rsidP="001F0718">
      <w:pPr>
        <w:ind w:firstLine="0"/>
        <w:rPr>
          <w:rFonts w:eastAsia="SimSun"/>
          <w:b/>
          <w:lang w:eastAsia="zh-CN"/>
        </w:rPr>
      </w:pPr>
    </w:p>
    <w:p w:rsidR="001F0718" w:rsidRDefault="001F0718" w:rsidP="001F0718">
      <w:pPr>
        <w:spacing w:after="0"/>
        <w:ind w:firstLine="0"/>
        <w:jc w:val="center"/>
        <w:rPr>
          <w:rFonts w:eastAsia="SimSun"/>
          <w:b/>
          <w:bCs/>
          <w:lang w:eastAsia="zh-CN"/>
        </w:rPr>
      </w:pPr>
    </w:p>
    <w:p w:rsidR="001F0718" w:rsidRDefault="001F0718" w:rsidP="001F0718">
      <w:pPr>
        <w:spacing w:after="0"/>
        <w:ind w:firstLine="0"/>
        <w:jc w:val="center"/>
        <w:rPr>
          <w:rFonts w:eastAsia="SimSun"/>
          <w:b/>
          <w:bCs/>
          <w:lang w:eastAsia="zh-CN"/>
        </w:rPr>
      </w:pPr>
    </w:p>
    <w:p w:rsidR="00C40AEC" w:rsidRDefault="00C40AEC" w:rsidP="001F0718">
      <w:pPr>
        <w:spacing w:after="0"/>
        <w:ind w:firstLine="0"/>
        <w:jc w:val="center"/>
        <w:rPr>
          <w:rFonts w:eastAsia="SimSun"/>
          <w:b/>
          <w:bCs/>
          <w:lang w:eastAsia="zh-CN"/>
        </w:rPr>
      </w:pPr>
    </w:p>
    <w:p w:rsidR="00C40AEC" w:rsidRDefault="00C40AEC" w:rsidP="001F0718">
      <w:pPr>
        <w:spacing w:after="0"/>
        <w:ind w:firstLine="0"/>
        <w:jc w:val="center"/>
        <w:rPr>
          <w:rFonts w:eastAsia="SimSun"/>
          <w:b/>
          <w:bCs/>
          <w:lang w:eastAsia="zh-CN"/>
        </w:rPr>
      </w:pPr>
    </w:p>
    <w:p w:rsidR="00C40AEC" w:rsidRDefault="00C40AEC" w:rsidP="001F0718">
      <w:pPr>
        <w:spacing w:after="0"/>
        <w:ind w:firstLine="0"/>
        <w:jc w:val="center"/>
        <w:rPr>
          <w:rFonts w:eastAsia="SimSun"/>
          <w:b/>
          <w:bCs/>
          <w:lang w:eastAsia="zh-CN"/>
        </w:rPr>
      </w:pPr>
    </w:p>
    <w:p w:rsidR="001F0718" w:rsidRPr="00366414" w:rsidRDefault="001F0718" w:rsidP="001F0718">
      <w:pPr>
        <w:spacing w:after="0"/>
        <w:ind w:firstLine="0"/>
        <w:jc w:val="center"/>
        <w:rPr>
          <w:rFonts w:eastAsia="SimSun"/>
          <w:b/>
          <w:bCs/>
          <w:lang w:eastAsia="zh-CN"/>
        </w:rPr>
        <w:sectPr w:rsidR="001F0718" w:rsidRPr="00366414" w:rsidSect="00780482">
          <w:footerReference w:type="default" r:id="rId7"/>
          <w:pgSz w:w="11907" w:h="16839"/>
          <w:pgMar w:top="1440" w:right="1134" w:bottom="1440"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sectPr>
      </w:pPr>
      <w:r>
        <w:rPr>
          <w:rFonts w:eastAsia="SimSun"/>
          <w:b/>
          <w:bCs/>
          <w:lang w:eastAsia="zh-CN"/>
        </w:rPr>
        <w:t>Hà Nộ</w:t>
      </w:r>
      <w:r w:rsidR="00501C37">
        <w:rPr>
          <w:rFonts w:eastAsia="SimSun"/>
          <w:b/>
          <w:bCs/>
          <w:lang w:eastAsia="zh-CN"/>
        </w:rPr>
        <w:t>i, tháng 12</w:t>
      </w:r>
      <w:r>
        <w:rPr>
          <w:rFonts w:eastAsia="SimSun"/>
          <w:b/>
          <w:bCs/>
          <w:lang w:eastAsia="zh-CN"/>
        </w:rPr>
        <w:t xml:space="preserve"> năm </w:t>
      </w:r>
      <w:r w:rsidRPr="00366E74">
        <w:rPr>
          <w:rFonts w:eastAsia="SimSun"/>
          <w:b/>
          <w:bCs/>
          <w:lang w:eastAsia="zh-CN"/>
        </w:rPr>
        <w:t>20</w:t>
      </w:r>
      <w:r w:rsidR="00D7752C">
        <w:rPr>
          <w:rFonts w:eastAsia="SimSun"/>
          <w:b/>
          <w:bCs/>
          <w:lang w:eastAsia="zh-CN"/>
        </w:rPr>
        <w:t>2</w:t>
      </w:r>
      <w:r>
        <w:rPr>
          <w:rFonts w:eastAsia="SimSun"/>
          <w:b/>
          <w:bCs/>
          <w:lang w:eastAsia="zh-CN"/>
        </w:rPr>
        <w:t>1</w:t>
      </w:r>
    </w:p>
    <w:p w:rsidR="001F0718" w:rsidRPr="00366414" w:rsidRDefault="001F0718" w:rsidP="001F0718">
      <w:pPr>
        <w:spacing w:after="0"/>
        <w:ind w:firstLine="0"/>
        <w:jc w:val="left"/>
        <w:rPr>
          <w:b/>
          <w:szCs w:val="20"/>
          <w:lang w:eastAsia="zh-CN"/>
        </w:rPr>
      </w:pPr>
      <w:bookmarkStart w:id="2" w:name="_Toc120350152"/>
      <w:bookmarkEnd w:id="0"/>
      <w:bookmarkEnd w:id="1"/>
    </w:p>
    <w:p w:rsidR="001F0718" w:rsidRDefault="001F0718" w:rsidP="0060315D">
      <w:pPr>
        <w:pStyle w:val="Heading2"/>
        <w:numPr>
          <w:ilvl w:val="0"/>
          <w:numId w:val="8"/>
        </w:numPr>
        <w:spacing w:line="360" w:lineRule="auto"/>
        <w:rPr>
          <w:color w:val="auto"/>
        </w:rPr>
      </w:pPr>
      <w:bookmarkStart w:id="3" w:name="_Toc60822952"/>
      <w:r w:rsidRPr="00366414">
        <w:rPr>
          <w:color w:val="auto"/>
        </w:rPr>
        <w:t>Đặt vấn đề</w:t>
      </w:r>
      <w:bookmarkEnd w:id="3"/>
      <w:r w:rsidR="00E26FC6">
        <w:rPr>
          <w:color w:val="auto"/>
        </w:rPr>
        <w:t xml:space="preserve">  </w:t>
      </w:r>
    </w:p>
    <w:p w:rsidR="00257961" w:rsidRDefault="00257961" w:rsidP="00257961">
      <w:pPr>
        <w:ind w:left="360" w:firstLine="360"/>
      </w:pPr>
      <w:r>
        <w:t>Đầu tư bất động sản l</w:t>
      </w:r>
      <w:r w:rsidRPr="00C321E3">
        <w:t>à một lĩnh vực đầu tư trong hoạt động đầu tư nói chung</w:t>
      </w:r>
      <w:r>
        <w:t xml:space="preserve"> và</w:t>
      </w:r>
      <w:r w:rsidRPr="00C321E3">
        <w:t xml:space="preserve"> là đầu tư đặc thù và đầu tư </w:t>
      </w:r>
      <w:r>
        <w:t>có điều kiện theo quy định của N</w:t>
      </w:r>
      <w:r w:rsidRPr="00C321E3">
        <w:t>hà nước</w:t>
      </w:r>
      <w:r>
        <w:t xml:space="preserve">. </w:t>
      </w:r>
      <w:r w:rsidRPr="00257961">
        <w:t xml:space="preserve"> Hoạt động đầu tư bất động sản là việc nhà đầu tư bỏ vốn để tạo d</w:t>
      </w:r>
      <w:r>
        <w:t>ựng tài sản là bất động sản, mua</w:t>
      </w:r>
      <w:r w:rsidRPr="00257961">
        <w:t xml:space="preserve"> bán, khai thác và cho thuê, tiến hành hoạt động dịch vụ bấ</w:t>
      </w:r>
      <w:r>
        <w:t>t động sản</w:t>
      </w:r>
      <w:r w:rsidRPr="00257961">
        <w:t xml:space="preserve"> nhằm mục đích sinh lời và đáp ứng lợi ích xã hội.</w:t>
      </w:r>
    </w:p>
    <w:p w:rsidR="00257961" w:rsidRPr="00257961" w:rsidRDefault="009106AB" w:rsidP="00257961">
      <w:pPr>
        <w:ind w:left="360" w:firstLine="360"/>
      </w:pPr>
      <w:r>
        <w:t>Đầu tư bất động sản luôn</w:t>
      </w:r>
      <w:r w:rsidR="00257961">
        <w:t xml:space="preserve"> là một kênh đầu tư hấp dẫn, lựa chọn không thể thiếu trong hoạt động của các nhà đầu tư chuy</w:t>
      </w:r>
      <w:r>
        <w:t>ên nghiệp</w:t>
      </w:r>
    </w:p>
    <w:p w:rsidR="00257961" w:rsidRPr="00257961" w:rsidRDefault="00257961" w:rsidP="00257961">
      <w:pPr>
        <w:rPr>
          <w:lang w:eastAsia="zh-CN"/>
        </w:rPr>
      </w:pPr>
    </w:p>
    <w:p w:rsidR="00E26FC6" w:rsidRPr="00E26FC6" w:rsidRDefault="0060315D" w:rsidP="00AC367E">
      <w:pPr>
        <w:rPr>
          <w:lang w:eastAsia="zh-CN"/>
        </w:rPr>
      </w:pPr>
      <w:r>
        <w:rPr>
          <w:lang w:eastAsia="zh-CN"/>
        </w:rPr>
        <w:t>Định giá bất động sản bằng phương pháp đầu tư là một trong những phương pháp quan trọng và phổ biến trong hệ thống các phương pháp định giá bất động  sản hiện nay.  Được hình thành trên cơ sở nền tảng các nguyên lý kinh tế rất cơ bản nhưng có tính ứng dụng thực tiễn cao trong mọi hình thái kinh tế kinh tế - xã hội, có ý nghĩa to lớn đối với hoạt động đầu tư, đánh giá hoạt động đầu tư</w:t>
      </w:r>
      <w:r w:rsidR="002B2AD5">
        <w:rPr>
          <w:lang w:eastAsia="zh-CN"/>
        </w:rPr>
        <w:t xml:space="preserve"> bất động sản</w:t>
      </w:r>
      <w:r>
        <w:rPr>
          <w:lang w:eastAsia="zh-CN"/>
        </w:rPr>
        <w:t xml:space="preserve"> của mọi chủ thể từ cá nhân đến các tổ chức kinh tế chuyên nghiệp. Với những thông số tương lai, kết quả của phương pháp đầu tư trong định giá bất động sản sẽ là </w:t>
      </w:r>
      <w:r w:rsidR="002B2AD5">
        <w:rPr>
          <w:lang w:eastAsia="zh-CN"/>
        </w:rPr>
        <w:t>sự tư vấn, nhận định hiệu quả, xác thực cho những quyết định đầu tư ngắn – trung – dài hạn trên thị trừờng bất động sản đang rất sôi động hiện nay.</w:t>
      </w:r>
      <w:r>
        <w:rPr>
          <w:lang w:eastAsia="zh-CN"/>
        </w:rPr>
        <w:t xml:space="preserve">  </w:t>
      </w:r>
    </w:p>
    <w:p w:rsidR="001F0718" w:rsidRPr="00783A2B" w:rsidRDefault="001F0718" w:rsidP="00783A2B">
      <w:pPr>
        <w:shd w:val="clear" w:color="auto" w:fill="FFFFFF"/>
        <w:spacing w:after="0"/>
        <w:ind w:firstLine="0"/>
        <w:rPr>
          <w:b/>
        </w:rPr>
      </w:pPr>
      <w:bookmarkStart w:id="4" w:name="_Toc60822953"/>
      <w:bookmarkEnd w:id="2"/>
      <w:r w:rsidRPr="00783A2B">
        <w:rPr>
          <w:b/>
        </w:rPr>
        <w:t>2. Mục tiêu nghiên cứu</w:t>
      </w:r>
    </w:p>
    <w:p w:rsidR="00D7752C" w:rsidRPr="00783A2B" w:rsidRDefault="00D7752C" w:rsidP="00D7752C">
      <w:pPr>
        <w:ind w:firstLine="0"/>
      </w:pPr>
      <w:r w:rsidRPr="00783A2B">
        <w:t>- Tìm hiểu nguyên lý hình thành và nội dung của phương pháp</w:t>
      </w:r>
    </w:p>
    <w:p w:rsidR="00D7752C" w:rsidRDefault="00D7752C" w:rsidP="00D7752C">
      <w:pPr>
        <w:ind w:firstLine="0"/>
      </w:pPr>
      <w:r w:rsidRPr="00783A2B">
        <w:t>- Tìm hiểu thức tế vận dụng phương pháp</w:t>
      </w:r>
    </w:p>
    <w:p w:rsidR="0035654E" w:rsidRPr="002C20F9" w:rsidRDefault="00783A2B" w:rsidP="002C20F9">
      <w:pPr>
        <w:ind w:firstLine="0"/>
        <w:rPr>
          <w:b/>
        </w:rPr>
      </w:pPr>
      <w:r w:rsidRPr="00783A2B">
        <w:rPr>
          <w:b/>
        </w:rPr>
        <w:t>3. Cở sở khoa học</w:t>
      </w:r>
      <w:r w:rsidR="00D32C33">
        <w:rPr>
          <w:b/>
        </w:rPr>
        <w:t xml:space="preserve"> của phương pháp đầu tư</w:t>
      </w:r>
      <w:r w:rsidRPr="00783A2B">
        <w:rPr>
          <w:b/>
        </w:rPr>
        <w:t xml:space="preserve"> trong định giá bất động sản</w:t>
      </w:r>
    </w:p>
    <w:p w:rsidR="00006F01" w:rsidRPr="00B31C0C" w:rsidRDefault="00006F01" w:rsidP="00006F01">
      <w:r w:rsidRPr="00B31C0C">
        <w:t xml:space="preserve">Phương pháp xây dựng chủ yếu dựa trên sự tuân thủ nguyên tắc dự báo lợi ích tương lai. Về mặt lý thuyết, nguyên tắc đưa ra suy luận: Giá trị thị trường </w:t>
      </w:r>
      <w:r w:rsidRPr="00B31C0C">
        <w:lastRenderedPageBreak/>
        <w:t>hiện hành của bất động sản ngang bằng với giá trị hiện tại của tất cả các khoản thu nhập trong tương lai mà bất động sản có thể mang lại, vì vậy người tư đưa ra nguyên lý: vốn đầu tư và thu nhập hàng năm có liên quan đến nhau. Nếu biết trước được thu nhập mà bất động sản tạo ra hàng năm có thể tìm được giá trị của bất động sản đó. Giá trị đó tưng ứng với giá trị vốn – khoản tiền bỏ ra đầu tư để tạo thu nhập trên.</w:t>
      </w:r>
    </w:p>
    <w:p w:rsidR="00006F01" w:rsidRPr="002F2B9A" w:rsidRDefault="00006F01" w:rsidP="00006F01">
      <w:r w:rsidRPr="00B31C0C">
        <w:t>Xem xét trên thực tế, thấy rằng có nhiều trường hợp đầu tư vào bất động sản có thể biết trước các khoản thu nhập mà bất động sản mang lại bằng cách phân tích những bất động sản tương tự đang tạo thu nhập. Trong những trường hợp khác, mặc dù bất động sản không được đầu tư nhưng vẫn có thể dự báo khá chính xác những thu nhập có thể mang lại bằng cách so sánh với các bất động sản tương tự đã đầu tư. Và việc xác định giá trị của những bất động sản như vậy được vận dụng nguyên lý trên.</w:t>
      </w:r>
    </w:p>
    <w:p w:rsidR="00006F01" w:rsidRPr="00B31C0C" w:rsidRDefault="00006F01" w:rsidP="00006F01">
      <w:r w:rsidRPr="00B31C0C">
        <w:t>Bản chất của việc định giá là dựa vào thu nhập, chuyển hóa các dòng thu nhập tương lai về hiện tại để tìm ra giá trị vốn đầu tư còn là giá trị của bất động sản. Quá trình này được gọi là quá trình vốn hóa</w:t>
      </w:r>
    </w:p>
    <w:p w:rsidR="00006F01" w:rsidRPr="00B31C0C" w:rsidRDefault="00006F01" w:rsidP="00006F01">
      <w:r w:rsidRPr="00B31C0C">
        <w:t>Cơ sở của quá trình vốn hóa là tiền có giá trị về mặt thời gian – giá trị của tiền thay đổi the</w:t>
      </w:r>
      <w:r>
        <w:t>o</w:t>
      </w:r>
      <w:r w:rsidRPr="00B31C0C">
        <w:t xml:space="preserve"> thời gian. Vì vậy khi tổng hợp và so sánh những  khoản tiền phát sinh tại các thời điểm khác nhau thì phải tính chuyển về cùng một mặt bằng thời gian. Vấn đề đặt ra là chuyển hóa giá trị đồng tiền </w:t>
      </w:r>
      <w:r>
        <w:t>từ</w:t>
      </w:r>
      <w:r w:rsidRPr="00B31C0C">
        <w:t xml:space="preserve"> tương lai về hiện tại như thế nào? Đó chính là thực hiện công việc chiết khấu luồng tiền, gồm các bước:</w:t>
      </w:r>
    </w:p>
    <w:p w:rsidR="00006F01" w:rsidRPr="00B31C0C" w:rsidRDefault="00006F01" w:rsidP="00006F01">
      <w:pPr>
        <w:numPr>
          <w:ilvl w:val="0"/>
          <w:numId w:val="6"/>
        </w:numPr>
        <w:spacing w:after="0" w:line="240" w:lineRule="auto"/>
      </w:pPr>
      <w:r w:rsidRPr="00B31C0C">
        <w:t>Ước lượng thứ tự các luồng thu nhập tương lai mà một đầu tư bất động sản có thể tạo ra;</w:t>
      </w:r>
    </w:p>
    <w:p w:rsidR="00006F01" w:rsidRPr="00B31C0C" w:rsidRDefault="00006F01" w:rsidP="00006F01">
      <w:pPr>
        <w:numPr>
          <w:ilvl w:val="0"/>
          <w:numId w:val="6"/>
        </w:numPr>
        <w:spacing w:after="0" w:line="240" w:lineRule="auto"/>
      </w:pPr>
      <w:r w:rsidRPr="00B31C0C">
        <w:t>Chuyển các luồng tiền thu nhập tương lai về hiện tại theo giá trị tiền tương đương.</w:t>
      </w:r>
    </w:p>
    <w:p w:rsidR="00006F01" w:rsidRDefault="00006F01" w:rsidP="00006F01">
      <w:pPr>
        <w:numPr>
          <w:ilvl w:val="0"/>
          <w:numId w:val="6"/>
        </w:numPr>
        <w:spacing w:after="0" w:line="240" w:lineRule="auto"/>
      </w:pPr>
      <w:r w:rsidRPr="00B31C0C">
        <w:t xml:space="preserve">Thu nhập ròng các giai đoạn tương lai được chiết khấu về hiện tại. tổng các con số chiết khấu của </w:t>
      </w:r>
      <w:r>
        <w:t>từ</w:t>
      </w:r>
      <w:r w:rsidRPr="00B31C0C">
        <w:t>ng năm cho giá trị hiện tại của vốn đầu tư.</w:t>
      </w:r>
    </w:p>
    <w:p w:rsidR="00006F01" w:rsidRPr="00B31C0C" w:rsidRDefault="00006F01" w:rsidP="00006F01">
      <w:pPr>
        <w:ind w:left="720"/>
      </w:pPr>
      <w:r w:rsidRPr="00B31C0C">
        <w:t>Công thức tổng quát:</w:t>
      </w:r>
    </w:p>
    <w:tbl>
      <w:tblPr>
        <w:tblW w:w="5460" w:type="dxa"/>
        <w:jc w:val="center"/>
        <w:tblInd w:w="-1094" w:type="dxa"/>
        <w:tblCellMar>
          <w:left w:w="0" w:type="dxa"/>
          <w:right w:w="0" w:type="dxa"/>
        </w:tblCellMar>
        <w:tblLook w:val="0000"/>
      </w:tblPr>
      <w:tblGrid>
        <w:gridCol w:w="356"/>
        <w:gridCol w:w="640"/>
        <w:gridCol w:w="745"/>
        <w:gridCol w:w="1084"/>
        <w:gridCol w:w="311"/>
        <w:gridCol w:w="2324"/>
      </w:tblGrid>
      <w:tr w:rsidR="00006F01" w:rsidRPr="00B31C0C" w:rsidTr="00F11D6E">
        <w:trPr>
          <w:cantSplit/>
          <w:trHeight w:val="107"/>
          <w:jc w:val="center"/>
        </w:trPr>
        <w:tc>
          <w:tcPr>
            <w:tcW w:w="354"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ind w:hanging="63"/>
              <w:jc w:val="center"/>
            </w:pPr>
            <w:r w:rsidRPr="00B31C0C">
              <w:lastRenderedPageBreak/>
              <w:t>V</w:t>
            </w:r>
          </w:p>
        </w:tc>
        <w:tc>
          <w:tcPr>
            <w:tcW w:w="643"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ind w:hanging="63"/>
              <w:jc w:val="center"/>
            </w:pPr>
            <w:r w:rsidRPr="00B31C0C">
              <w:t>=</w:t>
            </w:r>
          </w:p>
        </w:tc>
        <w:tc>
          <w:tcPr>
            <w:tcW w:w="749" w:type="dxa"/>
            <w:tcBorders>
              <w:top w:val="nil"/>
              <w:left w:val="nil"/>
              <w:bottom w:val="nil"/>
              <w:right w:val="nil"/>
            </w:tcBorders>
            <w:shd w:val="clear" w:color="auto" w:fill="auto"/>
            <w:tcMar>
              <w:top w:w="0" w:type="dxa"/>
              <w:left w:w="108" w:type="dxa"/>
              <w:bottom w:w="0" w:type="dxa"/>
              <w:right w:w="108" w:type="dxa"/>
            </w:tcMar>
            <w:vAlign w:val="bottom"/>
          </w:tcPr>
          <w:p w:rsidR="00006F01" w:rsidRPr="00B31C0C" w:rsidRDefault="00006F01" w:rsidP="00F11D6E">
            <w:pPr>
              <w:spacing w:before="100" w:beforeAutospacing="1" w:after="100" w:afterAutospacing="1"/>
              <w:ind w:hanging="63"/>
              <w:jc w:val="center"/>
            </w:pPr>
            <w:r w:rsidRPr="00B31C0C">
              <w:t>n</w:t>
            </w:r>
          </w:p>
        </w:tc>
        <w:tc>
          <w:tcPr>
            <w:tcW w:w="1086" w:type="dxa"/>
            <w:vMerge w:val="restart"/>
            <w:tcBorders>
              <w:top w:val="nil"/>
              <w:left w:val="nil"/>
              <w:bottom w:val="nil"/>
              <w:right w:val="nil"/>
            </w:tcBorders>
            <w:shd w:val="clear" w:color="auto" w:fill="auto"/>
            <w:tcMar>
              <w:top w:w="0" w:type="dxa"/>
              <w:left w:w="108" w:type="dxa"/>
              <w:bottom w:w="0" w:type="dxa"/>
              <w:right w:w="108" w:type="dxa"/>
            </w:tcMar>
            <w:vAlign w:val="bottom"/>
          </w:tcPr>
          <w:p w:rsidR="00006F01" w:rsidRPr="00B31C0C" w:rsidRDefault="00006F01" w:rsidP="00F11D6E">
            <w:pPr>
              <w:spacing w:before="100" w:beforeAutospacing="1" w:after="100" w:afterAutospacing="1"/>
              <w:ind w:hanging="63"/>
              <w:jc w:val="center"/>
            </w:pPr>
            <w:r w:rsidRPr="00B31C0C">
              <w:t>F</w:t>
            </w:r>
            <w:r w:rsidRPr="00B31C0C">
              <w:rPr>
                <w:vertAlign w:val="subscript"/>
              </w:rPr>
              <w:t>t</w:t>
            </w:r>
          </w:p>
        </w:tc>
        <w:tc>
          <w:tcPr>
            <w:tcW w:w="289" w:type="dxa"/>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ind w:hanging="63"/>
              <w:jc w:val="center"/>
            </w:pPr>
            <w:r w:rsidRPr="00B31C0C">
              <w:t> </w:t>
            </w:r>
          </w:p>
        </w:tc>
        <w:tc>
          <w:tcPr>
            <w:tcW w:w="2339" w:type="dxa"/>
            <w:tcBorders>
              <w:top w:val="nil"/>
              <w:left w:val="nil"/>
              <w:bottom w:val="nil"/>
              <w:right w:val="nil"/>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ind w:hanging="63"/>
              <w:jc w:val="center"/>
            </w:pPr>
            <w:r w:rsidRPr="00B31C0C">
              <w:t> </w:t>
            </w:r>
          </w:p>
        </w:tc>
      </w:tr>
      <w:tr w:rsidR="00006F01" w:rsidRPr="00B31C0C" w:rsidTr="00F11D6E">
        <w:trPr>
          <w:cantSplit/>
          <w:trHeight w:val="322"/>
          <w:jc w:val="center"/>
        </w:trPr>
        <w:tc>
          <w:tcPr>
            <w:tcW w:w="0" w:type="auto"/>
            <w:vMerge/>
            <w:tcBorders>
              <w:top w:val="nil"/>
              <w:left w:val="nil"/>
              <w:bottom w:val="nil"/>
              <w:right w:val="nil"/>
            </w:tcBorders>
            <w:vAlign w:val="center"/>
          </w:tcPr>
          <w:p w:rsidR="00006F01" w:rsidRPr="00B31C0C" w:rsidRDefault="00006F01" w:rsidP="00F11D6E"/>
        </w:tc>
        <w:tc>
          <w:tcPr>
            <w:tcW w:w="0" w:type="auto"/>
            <w:vMerge/>
            <w:tcBorders>
              <w:top w:val="nil"/>
              <w:left w:val="nil"/>
              <w:bottom w:val="nil"/>
              <w:right w:val="nil"/>
            </w:tcBorders>
            <w:vAlign w:val="center"/>
          </w:tcPr>
          <w:p w:rsidR="00006F01" w:rsidRPr="00B31C0C" w:rsidRDefault="00006F01" w:rsidP="00F11D6E"/>
        </w:tc>
        <w:tc>
          <w:tcPr>
            <w:tcW w:w="749" w:type="dxa"/>
            <w:vMerge w:val="restart"/>
            <w:tcBorders>
              <w:top w:val="nil"/>
              <w:left w:val="nil"/>
              <w:bottom w:val="nil"/>
              <w:right w:val="nil"/>
            </w:tcBorders>
            <w:shd w:val="clear" w:color="auto" w:fill="auto"/>
            <w:vAlign w:val="center"/>
          </w:tcPr>
          <w:p w:rsidR="00006F01" w:rsidRPr="00B31C0C" w:rsidRDefault="00006F01" w:rsidP="00F11D6E">
            <w:pPr>
              <w:spacing w:before="100" w:beforeAutospacing="1" w:after="100" w:afterAutospacing="1"/>
              <w:ind w:hanging="63"/>
              <w:jc w:val="center"/>
            </w:pPr>
            <w:r w:rsidRPr="00B31C0C">
              <w:rPr>
                <w:b/>
                <w:bCs/>
              </w:rPr>
              <w:t>∑</w:t>
            </w:r>
          </w:p>
        </w:tc>
        <w:tc>
          <w:tcPr>
            <w:tcW w:w="0" w:type="auto"/>
            <w:vMerge/>
            <w:tcBorders>
              <w:top w:val="nil"/>
              <w:left w:val="nil"/>
              <w:bottom w:val="nil"/>
              <w:right w:val="nil"/>
            </w:tcBorders>
            <w:vAlign w:val="center"/>
          </w:tcPr>
          <w:p w:rsidR="00006F01" w:rsidRPr="00B31C0C" w:rsidRDefault="00006F01" w:rsidP="00F11D6E"/>
        </w:tc>
        <w:tc>
          <w:tcPr>
            <w:tcW w:w="289"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ind w:hanging="63"/>
              <w:jc w:val="center"/>
            </w:pPr>
            <w:r w:rsidRPr="00B31C0C">
              <w:t>+</w:t>
            </w:r>
          </w:p>
        </w:tc>
        <w:tc>
          <w:tcPr>
            <w:tcW w:w="2339" w:type="dxa"/>
            <w:tcBorders>
              <w:top w:val="nil"/>
              <w:left w:val="nil"/>
              <w:bottom w:val="single" w:sz="8" w:space="0" w:color="auto"/>
              <w:right w:val="nil"/>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ind w:hanging="63"/>
              <w:jc w:val="center"/>
            </w:pPr>
            <w:r w:rsidRPr="00B31C0C">
              <w:t>V</w:t>
            </w:r>
            <w:r w:rsidRPr="00B31C0C">
              <w:rPr>
                <w:vertAlign w:val="subscript"/>
              </w:rPr>
              <w:t>n</w:t>
            </w:r>
          </w:p>
        </w:tc>
      </w:tr>
      <w:tr w:rsidR="00006F01" w:rsidRPr="00B31C0C" w:rsidTr="00F11D6E">
        <w:trPr>
          <w:cantSplit/>
          <w:trHeight w:val="322"/>
          <w:jc w:val="center"/>
        </w:trPr>
        <w:tc>
          <w:tcPr>
            <w:tcW w:w="0" w:type="auto"/>
            <w:vMerge/>
            <w:tcBorders>
              <w:top w:val="nil"/>
              <w:left w:val="nil"/>
              <w:bottom w:val="nil"/>
              <w:right w:val="nil"/>
            </w:tcBorders>
            <w:vAlign w:val="center"/>
          </w:tcPr>
          <w:p w:rsidR="00006F01" w:rsidRPr="00B31C0C" w:rsidRDefault="00006F01" w:rsidP="00F11D6E"/>
        </w:tc>
        <w:tc>
          <w:tcPr>
            <w:tcW w:w="0" w:type="auto"/>
            <w:vMerge/>
            <w:tcBorders>
              <w:top w:val="nil"/>
              <w:left w:val="nil"/>
              <w:bottom w:val="nil"/>
              <w:right w:val="nil"/>
            </w:tcBorders>
            <w:vAlign w:val="center"/>
          </w:tcPr>
          <w:p w:rsidR="00006F01" w:rsidRPr="00B31C0C" w:rsidRDefault="00006F01" w:rsidP="00F11D6E"/>
        </w:tc>
        <w:tc>
          <w:tcPr>
            <w:tcW w:w="0" w:type="auto"/>
            <w:vMerge/>
            <w:tcBorders>
              <w:top w:val="nil"/>
              <w:left w:val="nil"/>
              <w:bottom w:val="nil"/>
              <w:right w:val="nil"/>
            </w:tcBorders>
            <w:vAlign w:val="center"/>
          </w:tcPr>
          <w:p w:rsidR="00006F01" w:rsidRPr="00B31C0C" w:rsidRDefault="00006F01" w:rsidP="00F11D6E"/>
        </w:tc>
        <w:tc>
          <w:tcPr>
            <w:tcW w:w="1086" w:type="dxa"/>
            <w:vMerge w:val="restart"/>
            <w:tcBorders>
              <w:top w:val="single" w:sz="8" w:space="0" w:color="auto"/>
              <w:left w:val="nil"/>
              <w:bottom w:val="nil"/>
              <w:right w:val="nil"/>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(1+r)</w:t>
            </w:r>
            <w:r w:rsidRPr="00B31C0C">
              <w:rPr>
                <w:vertAlign w:val="superscript"/>
              </w:rPr>
              <w:t>t</w:t>
            </w:r>
          </w:p>
        </w:tc>
        <w:tc>
          <w:tcPr>
            <w:tcW w:w="0" w:type="auto"/>
            <w:vMerge/>
            <w:tcBorders>
              <w:top w:val="nil"/>
              <w:left w:val="nil"/>
              <w:bottom w:val="nil"/>
              <w:right w:val="nil"/>
            </w:tcBorders>
            <w:vAlign w:val="center"/>
          </w:tcPr>
          <w:p w:rsidR="00006F01" w:rsidRPr="00B31C0C" w:rsidRDefault="00006F01" w:rsidP="00F11D6E"/>
        </w:tc>
        <w:tc>
          <w:tcPr>
            <w:tcW w:w="2339" w:type="dxa"/>
            <w:tcBorders>
              <w:top w:val="nil"/>
              <w:left w:val="nil"/>
              <w:bottom w:val="nil"/>
              <w:right w:val="nil"/>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(1+r)</w:t>
            </w:r>
            <w:r w:rsidRPr="00B31C0C">
              <w:rPr>
                <w:vertAlign w:val="superscript"/>
              </w:rPr>
              <w:t>n</w:t>
            </w:r>
          </w:p>
        </w:tc>
      </w:tr>
      <w:tr w:rsidR="00006F01" w:rsidRPr="00B31C0C" w:rsidTr="00F11D6E">
        <w:trPr>
          <w:cantSplit/>
          <w:trHeight w:val="107"/>
          <w:jc w:val="center"/>
        </w:trPr>
        <w:tc>
          <w:tcPr>
            <w:tcW w:w="0" w:type="auto"/>
            <w:vMerge/>
            <w:tcBorders>
              <w:top w:val="nil"/>
              <w:left w:val="nil"/>
              <w:bottom w:val="nil"/>
              <w:right w:val="nil"/>
            </w:tcBorders>
            <w:vAlign w:val="center"/>
          </w:tcPr>
          <w:p w:rsidR="00006F01" w:rsidRPr="00B31C0C" w:rsidRDefault="00006F01" w:rsidP="00F11D6E"/>
        </w:tc>
        <w:tc>
          <w:tcPr>
            <w:tcW w:w="0" w:type="auto"/>
            <w:vMerge/>
            <w:tcBorders>
              <w:top w:val="nil"/>
              <w:left w:val="nil"/>
              <w:bottom w:val="nil"/>
              <w:right w:val="nil"/>
            </w:tcBorders>
            <w:vAlign w:val="center"/>
          </w:tcPr>
          <w:p w:rsidR="00006F01" w:rsidRPr="00B31C0C" w:rsidRDefault="00006F01" w:rsidP="00F11D6E"/>
        </w:tc>
        <w:tc>
          <w:tcPr>
            <w:tcW w:w="749" w:type="dxa"/>
            <w:tcBorders>
              <w:top w:val="nil"/>
              <w:left w:val="nil"/>
              <w:bottom w:val="nil"/>
              <w:right w:val="nil"/>
            </w:tcBorders>
            <w:shd w:val="clear" w:color="auto" w:fill="auto"/>
          </w:tcPr>
          <w:p w:rsidR="00006F01" w:rsidRPr="00B31C0C" w:rsidRDefault="00006F01" w:rsidP="00F11D6E">
            <w:pPr>
              <w:spacing w:before="100" w:beforeAutospacing="1" w:after="100" w:afterAutospacing="1"/>
              <w:jc w:val="center"/>
            </w:pPr>
            <w:r w:rsidRPr="00B31C0C">
              <w:t>t=1</w:t>
            </w:r>
          </w:p>
        </w:tc>
        <w:tc>
          <w:tcPr>
            <w:tcW w:w="0" w:type="auto"/>
            <w:vMerge/>
            <w:tcBorders>
              <w:top w:val="single" w:sz="8" w:space="0" w:color="auto"/>
              <w:left w:val="nil"/>
              <w:bottom w:val="nil"/>
              <w:right w:val="nil"/>
            </w:tcBorders>
            <w:vAlign w:val="center"/>
          </w:tcPr>
          <w:p w:rsidR="00006F01" w:rsidRPr="00B31C0C" w:rsidRDefault="00006F01" w:rsidP="00F11D6E"/>
        </w:tc>
        <w:tc>
          <w:tcPr>
            <w:tcW w:w="289" w:type="dxa"/>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 </w:t>
            </w:r>
          </w:p>
        </w:tc>
        <w:tc>
          <w:tcPr>
            <w:tcW w:w="2339" w:type="dxa"/>
            <w:tcBorders>
              <w:top w:val="nil"/>
              <w:left w:val="nil"/>
              <w:bottom w:val="nil"/>
              <w:right w:val="nil"/>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 </w:t>
            </w:r>
          </w:p>
        </w:tc>
      </w:tr>
    </w:tbl>
    <w:p w:rsidR="00006F01" w:rsidRPr="00B31C0C" w:rsidRDefault="00006F01" w:rsidP="00006F01"/>
    <w:p w:rsidR="00006F01" w:rsidRPr="00B31C0C" w:rsidRDefault="00006F01" w:rsidP="00006F01">
      <w:r w:rsidRPr="00B31C0C">
        <w:t xml:space="preserve">Trong đó: </w:t>
      </w:r>
    </w:p>
    <w:p w:rsidR="00006F01" w:rsidRPr="00B31C0C" w:rsidRDefault="00006F01" w:rsidP="00006F01">
      <w:r w:rsidRPr="00B31C0C">
        <w:t>- V: Giá trị thị trường của bất động sản</w:t>
      </w:r>
    </w:p>
    <w:p w:rsidR="00006F01" w:rsidRPr="00B31C0C" w:rsidRDefault="00006F01" w:rsidP="00006F01">
      <w:r w:rsidRPr="00B31C0C">
        <w:t>            -  F</w:t>
      </w:r>
      <w:r w:rsidRPr="00B31C0C">
        <w:rPr>
          <w:vertAlign w:val="subscript"/>
        </w:rPr>
        <w:t>t</w:t>
      </w:r>
      <w:r w:rsidRPr="00B31C0C">
        <w:t xml:space="preserve"> : Thu nhập ròng năm thứ t</w:t>
      </w:r>
    </w:p>
    <w:p w:rsidR="00006F01" w:rsidRPr="00B31C0C" w:rsidRDefault="00006F01" w:rsidP="00006F01">
      <w:r w:rsidRPr="00B31C0C">
        <w:t>            - V</w:t>
      </w:r>
      <w:r w:rsidRPr="00B31C0C">
        <w:rPr>
          <w:vertAlign w:val="subscript"/>
        </w:rPr>
        <w:t>n</w:t>
      </w:r>
      <w:r w:rsidRPr="00B31C0C">
        <w:t>: Giá trị thu hồi của tài sản vào năm thứ n</w:t>
      </w:r>
    </w:p>
    <w:p w:rsidR="00006F01" w:rsidRPr="00B31C0C" w:rsidRDefault="00006F01" w:rsidP="00006F01">
      <w:r w:rsidRPr="00B31C0C">
        <w:t>            -  n : Thời gian tạo thu nhập của bất động sản</w:t>
      </w:r>
    </w:p>
    <w:p w:rsidR="00006F01" w:rsidRDefault="00006F01" w:rsidP="00006F01">
      <w:r w:rsidRPr="00B31C0C">
        <w:t xml:space="preserve">            -  r: tỷ suất chiết khấu ( tỷ lệ vốn hóa, tỷ suất sinh lời…) </w:t>
      </w:r>
    </w:p>
    <w:p w:rsidR="0035654E" w:rsidRPr="00B31C0C" w:rsidRDefault="0035654E" w:rsidP="00550C9B">
      <w:pPr>
        <w:ind w:firstLine="0"/>
      </w:pPr>
      <w:r w:rsidRPr="00B31C0C">
        <w:rPr>
          <w:b/>
          <w:bCs/>
        </w:rPr>
        <w:t>3.</w:t>
      </w:r>
      <w:r w:rsidR="003E12AC">
        <w:rPr>
          <w:b/>
          <w:bCs/>
        </w:rPr>
        <w:t>3.</w:t>
      </w:r>
      <w:r w:rsidRPr="00B31C0C">
        <w:rPr>
          <w:b/>
          <w:bCs/>
        </w:rPr>
        <w:t xml:space="preserve"> </w:t>
      </w:r>
      <w:r w:rsidRPr="00B31C0C">
        <w:rPr>
          <w:b/>
        </w:rPr>
        <w:t xml:space="preserve"> Các bước tiến hành định giá theo phương pháp </w:t>
      </w:r>
      <w:r w:rsidR="00006F01">
        <w:rPr>
          <w:b/>
        </w:rPr>
        <w:t>đầu tư</w:t>
      </w:r>
    </w:p>
    <w:p w:rsidR="00006F01" w:rsidRPr="00B31C0C" w:rsidRDefault="00006F01" w:rsidP="00006F01">
      <w:r w:rsidRPr="00B31C0C">
        <w:t xml:space="preserve">- Bước 1: Ước tính thu nhập bình quân năm </w:t>
      </w:r>
      <w:r>
        <w:t>từ</w:t>
      </w:r>
      <w:r w:rsidRPr="00B31C0C">
        <w:t xml:space="preserve"> việc khai thác bất động sản có tính đến các yếu tố liên quan tác động đến thu nhập này (lạm phát…)</w:t>
      </w:r>
    </w:p>
    <w:p w:rsidR="00006F01" w:rsidRPr="00B31C0C" w:rsidRDefault="00006F01" w:rsidP="00006F01">
      <w:r w:rsidRPr="00B31C0C">
        <w:t xml:space="preserve">- Bước 2: Ước tính tất cả các khoản chi phí để trừ </w:t>
      </w:r>
      <w:r>
        <w:t>khỏi</w:t>
      </w:r>
      <w:r w:rsidRPr="00B31C0C">
        <w:t xml:space="preserve"> thu nhập hàng năm như thuế, sửa chữa, bảo hành, điện nước…</w:t>
      </w:r>
    </w:p>
    <w:p w:rsidR="00006F01" w:rsidRPr="00B31C0C" w:rsidRDefault="00006F01" w:rsidP="00006F01">
      <w:r w:rsidRPr="00B31C0C">
        <w:t>- Bước 3: Xác định hệ số r trong công thức tổng quát tương ứng với các nguồn đầu tư</w:t>
      </w:r>
    </w:p>
    <w:p w:rsidR="00006F01" w:rsidRPr="00B31C0C" w:rsidRDefault="00006F01" w:rsidP="00006F01">
      <w:r w:rsidRPr="00B31C0C">
        <w:t>- Bước 4: áp dụng công thức vốn hóa thu nhập ròng để xác định giá giá trị bất động sản</w:t>
      </w:r>
    </w:p>
    <w:p w:rsidR="00006F01" w:rsidRPr="00B31C0C" w:rsidRDefault="00006F01" w:rsidP="00006F01">
      <w:r w:rsidRPr="00B31C0C">
        <w:t xml:space="preserve">Chất lượng của kết quả tính toàn hay chất lượng của kết quả định giá bằng phương pháp đầu tư phụ thuộc vào việc xác định hai chỉ số “Ft” và “r”. Tùy vào </w:t>
      </w:r>
      <w:r>
        <w:t>từ</w:t>
      </w:r>
      <w:r w:rsidRPr="00B31C0C">
        <w:t>ng nguồn vốn đầu tư và cách thức khai bất động sản mà việc xác định hai chỉ số trên còn có những phương thức tương ứng.</w:t>
      </w:r>
    </w:p>
    <w:p w:rsidR="00006F01" w:rsidRPr="00B31C0C" w:rsidRDefault="003E12AC" w:rsidP="00006F01">
      <w:pPr>
        <w:rPr>
          <w:b/>
        </w:rPr>
      </w:pPr>
      <w:r w:rsidRPr="003E12AC">
        <w:rPr>
          <w:b/>
        </w:rPr>
        <w:lastRenderedPageBreak/>
        <w:t>3.</w:t>
      </w:r>
      <w:r w:rsidR="0035654E" w:rsidRPr="003E12AC">
        <w:rPr>
          <w:b/>
        </w:rPr>
        <w:t xml:space="preserve">4. </w:t>
      </w:r>
      <w:r w:rsidR="00987813">
        <w:rPr>
          <w:b/>
        </w:rPr>
        <w:t xml:space="preserve"> Xác đ</w:t>
      </w:r>
      <w:r w:rsidR="00006F01" w:rsidRPr="00B31C0C">
        <w:rPr>
          <w:b/>
        </w:rPr>
        <w:t>ịnh thu nhập ròng Ft</w:t>
      </w:r>
    </w:p>
    <w:p w:rsidR="00006F01" w:rsidRPr="00B31C0C" w:rsidRDefault="00006F01" w:rsidP="00006F01">
      <w:r w:rsidRPr="00B31C0C">
        <w:t xml:space="preserve">Phương pháp đầu tư thực chất là việc chuyển đổi luồng thu nhập </w:t>
      </w:r>
      <w:r>
        <w:t>từ</w:t>
      </w:r>
      <w:r w:rsidRPr="00B31C0C">
        <w:t xml:space="preserve"> tài sản vào tổng vốn đầu tư. Xem xét thu nhập ở đây chủ yếu </w:t>
      </w:r>
      <w:r>
        <w:t>từ</w:t>
      </w:r>
      <w:r w:rsidRPr="00B31C0C">
        <w:t xml:space="preserve"> hoạt động cho thuê bất động sản.Trước khi đi vào nghiên cứu thu nhập ròng, ta xem xét vấn đề luồng thu nhập nói chung </w:t>
      </w:r>
    </w:p>
    <w:p w:rsidR="00006F01" w:rsidRPr="00B31C0C" w:rsidRDefault="00006F01" w:rsidP="00006F01">
      <w:r w:rsidRPr="00B31C0C">
        <w:t>Luồng thu nhập được hiểu đơn giản là các khoản thu có được khi khai thác bất động sản. Luồng thu nhập có thể xác định theo thực tế hoặc dự đoán:</w:t>
      </w:r>
    </w:p>
    <w:p w:rsidR="00006F01" w:rsidRPr="00B31C0C" w:rsidRDefault="00006F01" w:rsidP="00006F01">
      <w:pPr>
        <w:numPr>
          <w:ilvl w:val="0"/>
          <w:numId w:val="6"/>
        </w:numPr>
        <w:spacing w:after="0" w:line="240" w:lineRule="auto"/>
      </w:pPr>
      <w:r w:rsidRPr="00B31C0C">
        <w:t>Luồng thu nhập thực tế: Xác định khi bất động sản đó và đang cho thuê và người thuê đã thanh toán tiền theo hợp đồng;</w:t>
      </w:r>
    </w:p>
    <w:p w:rsidR="00006F01" w:rsidRPr="00B31C0C" w:rsidRDefault="00006F01" w:rsidP="00006F01">
      <w:pPr>
        <w:numPr>
          <w:ilvl w:val="0"/>
          <w:numId w:val="6"/>
        </w:numPr>
        <w:spacing w:after="0" w:line="240" w:lineRule="auto"/>
      </w:pPr>
      <w:r w:rsidRPr="00B31C0C">
        <w:t xml:space="preserve">Luồng thu nhập dự đoán: là luồng thu nhập khi chủ nhà ngụ cư tại ngôi nhà của chính mình nhưng giả định rằng ông ta đang đi thuê và tính xem phải trả bao nhiêu tiền thuê để được ở lại nhà của chính mình hay một ngôi nhà khác tương tự. Khi đó giá trị ngôi nhà ít nhất bằng giá trị đi thuê trên thị trường (đã được vốn hóa). Như vậy mặc dù bất động sản không cho thuê nhưng vẫn có thể giả định nó tạo thu nhập theo phương pháp đầu tư  </w:t>
      </w:r>
    </w:p>
    <w:p w:rsidR="00006F01" w:rsidRPr="00B31C0C" w:rsidRDefault="00006F01" w:rsidP="00006F01">
      <w:pPr>
        <w:ind w:left="360"/>
      </w:pPr>
      <w:r w:rsidRPr="00B31C0C">
        <w:t>Luồng thu nhập được biểu hiện dưới các hình thức:</w:t>
      </w:r>
    </w:p>
    <w:p w:rsidR="00006F01" w:rsidRPr="00B31C0C" w:rsidRDefault="00006F01" w:rsidP="00006F01">
      <w:pPr>
        <w:ind w:firstLine="360"/>
      </w:pPr>
      <w:r w:rsidRPr="00B31C0C">
        <w:t>- Giá cho thuê đầy đủ: Là số tiền cho thuê tối đa trên thị trường tự do trong điều kiện thị trường đạt đến mức độ ổn định tương đối (cân bằng). Việc xác định giá cho thuê đầy đủ đòi hỏi người định giá phải hiểu thấu đ</w:t>
      </w:r>
      <w:r>
        <w:t>á</w:t>
      </w:r>
      <w:r w:rsidRPr="00B31C0C">
        <w:t xml:space="preserve">o thị trường và có kỹ năng áp dụng tính giá tiền thuê. Giá cho thuê đầy đủ sử dụng trong các trường hợp bất động sản cho thu nhập ổn định hàng năm và thu nhập này ổn định vĩnh viễn trong cả thời gian khai thác bất động sản của chủ sở hữu. Ví </w:t>
      </w:r>
      <w:r>
        <w:t>dụ</w:t>
      </w:r>
      <w:r w:rsidRPr="00B31C0C">
        <w:t xml:space="preserve"> như khi thuê nhà chung cư dài hạn trong vài </w:t>
      </w:r>
      <w:r>
        <w:t>chục</w:t>
      </w:r>
      <w:r w:rsidRPr="00B31C0C">
        <w:t xml:space="preserve"> năm</w:t>
      </w:r>
    </w:p>
    <w:p w:rsidR="00006F01" w:rsidRPr="00B31C0C" w:rsidRDefault="00006F01" w:rsidP="00006F01">
      <w:pPr>
        <w:ind w:firstLine="360"/>
      </w:pPr>
      <w:r w:rsidRPr="00B31C0C">
        <w:t xml:space="preserve">- Giá cho thuê hợp đồng (giá cho thuê thay đổi): Là giá cho thuê đầy đủ trong các điều kiện thị trường khác nhau do quan hệ cung cầu thay đổi. Khi thị trường suy thóai cung lớn </w:t>
      </w:r>
      <w:r>
        <w:t xml:space="preserve">hơn </w:t>
      </w:r>
      <w:r w:rsidRPr="00B31C0C">
        <w:t xml:space="preserve">cầu, giá cho thuê đầy đủ giảm và ngược </w:t>
      </w:r>
      <w:r>
        <w:t>lạ</w:t>
      </w:r>
      <w:r w:rsidRPr="00B31C0C">
        <w:t xml:space="preserve">i trong điều kiện thị trường khan hiếm, giá cho thuê đầy đủ </w:t>
      </w:r>
      <w:r>
        <w:t>lạ</w:t>
      </w:r>
      <w:r w:rsidRPr="00B31C0C">
        <w:t xml:space="preserve">i tăng lên. </w:t>
      </w:r>
    </w:p>
    <w:p w:rsidR="00006F01" w:rsidRPr="00B31C0C" w:rsidRDefault="00006F01" w:rsidP="00006F01">
      <w:r w:rsidRPr="00B31C0C">
        <w:lastRenderedPageBreak/>
        <w:t>Thực tế giá cho thuê trong hợp đồng có thể thấp hơn giá cho thuê đầy đủ trong trường hợp người đi thuê chịu trách nhiệm về sửa chữa, bảo dưỡng bất động sản trong thời gian thuê (</w:t>
      </w:r>
      <w:r w:rsidRPr="00B31C0C">
        <w:rPr>
          <w:i/>
        </w:rPr>
        <w:t>Giá cho thuê đầy đủ =  Giá cho thuê trong hợp đồng  + chi phí sửa chữa, bảo dưỡng trong thời gian thuê</w:t>
      </w:r>
      <w:r w:rsidRPr="00B31C0C">
        <w:t>)</w:t>
      </w:r>
    </w:p>
    <w:p w:rsidR="00006F01" w:rsidRPr="00B31C0C" w:rsidRDefault="00006F01" w:rsidP="00006F01">
      <w:r w:rsidRPr="00B31C0C">
        <w:t xml:space="preserve">Bản thân giá cho thuê là một chỉ tiêu kinh tế với đơn vị đo lường là một đơn vị tiền tệ. Tiền có giá trị thay đổi theo thời gian do các yếu tố tác động đến nó thay đổi. Thực tiễn thị trường không ở trang thái tĩnh mà không </w:t>
      </w:r>
      <w:r>
        <w:t>ngừng</w:t>
      </w:r>
      <w:r w:rsidRPr="00B31C0C">
        <w:t xml:space="preserve"> vận động thay đổi, biến động. Chính vì thế thu nhập bất động sản tạo ra chỉ hợp lý trong một thời </w:t>
      </w:r>
      <w:r>
        <w:t>kỳ</w:t>
      </w:r>
      <w:r w:rsidRPr="00B31C0C">
        <w:t>, giai đoạn nào đó – trong một khoảng thời gian nhất định – sau đó lại tăng giảm do nhu cầu và các điều kiện kinh tế thay đổi. Ví dụ như giá nhà trọ sinh viên có xu hướng tăng lên tại các thành phố lớn, giá phòng nghỉ khách sạn tại các khu nghỉ mát vào mùa cao điểm…</w:t>
      </w:r>
    </w:p>
    <w:p w:rsidR="00006F01" w:rsidRPr="00B31C0C" w:rsidRDefault="00006F01" w:rsidP="00006F01">
      <w:r w:rsidRPr="00B31C0C">
        <w:t>Việc xác định giá cho thuê đầy đủ hay giá cho thuê thay đổi của một bất động sản hợp lý nhất là trên cơ sở so sánh với bất động sản tương tự mới cho thuê gần với thời điểm định giá. Kích thước của các bất động sản khác nhau nên người định giá phải thực hiện so sánh thông qua các đơn vị ố sánh như m</w:t>
      </w:r>
      <w:r w:rsidRPr="00B31C0C">
        <w:rPr>
          <w:vertAlign w:val="superscript"/>
        </w:rPr>
        <w:t>2</w:t>
      </w:r>
      <w:r w:rsidRPr="00B31C0C">
        <w:t>, m dài hay m mặt lô đất</w:t>
      </w:r>
    </w:p>
    <w:p w:rsidR="00006F01" w:rsidRPr="00B31C0C" w:rsidRDefault="00006F01" w:rsidP="00006F01">
      <w:r w:rsidRPr="00B31C0C">
        <w:rPr>
          <w:i/>
        </w:rPr>
        <w:t>Ví dụ 1</w:t>
      </w:r>
      <w:r w:rsidRPr="00B31C0C">
        <w:t>: Một ngôi nhà một tầng có kích thước mặt tiền 6m và chiều sâu 13m đang xem xét cho thuê. Xác định mức giá cho thuê có thể đòi hỏi nếu có một ngôi nhà tương tự gần đó với mặt tiền 5m, sâu 13m vừa mới cho thuê 10 triệu/năm</w:t>
      </w:r>
    </w:p>
    <w:p w:rsidR="00006F01" w:rsidRPr="00B31C0C" w:rsidRDefault="00006F01" w:rsidP="00006F01">
      <w:r w:rsidRPr="00B31C0C">
        <w:rPr>
          <w:i/>
        </w:rPr>
        <w:t>Lời giải</w:t>
      </w:r>
      <w:r w:rsidRPr="00B31C0C">
        <w:t>: Bài toán có 2 cách giải</w:t>
      </w:r>
    </w:p>
    <w:p w:rsidR="00006F01" w:rsidRPr="00B31C0C" w:rsidRDefault="00006F01" w:rsidP="00006F01">
      <w:r w:rsidRPr="00B31C0C">
        <w:rPr>
          <w:u w:val="single"/>
        </w:rPr>
        <w:t>C1:</w:t>
      </w:r>
      <w:r w:rsidRPr="00B31C0C">
        <w:t xml:space="preserve"> Cách thông  thường phổ biến</w:t>
      </w:r>
    </w:p>
    <w:p w:rsidR="00006F01" w:rsidRPr="00B31C0C" w:rsidRDefault="00006F01" w:rsidP="00006F01">
      <w:r w:rsidRPr="00B31C0C">
        <w:t>Phân tích ngôi nhà mới cho thuê</w:t>
      </w:r>
    </w:p>
    <w:p w:rsidR="00006F01" w:rsidRPr="00B31C0C" w:rsidRDefault="00006F01" w:rsidP="00006F01">
      <w:r w:rsidRPr="00B31C0C">
        <w:t>Kích thước: 13 x 5 (m</w:t>
      </w:r>
      <w:r w:rsidRPr="00B31C0C">
        <w:rPr>
          <w:vertAlign w:val="superscript"/>
        </w:rPr>
        <w:t>2</w:t>
      </w:r>
      <w:r w:rsidRPr="00B31C0C">
        <w:t>)</w:t>
      </w:r>
    </w:p>
    <w:p w:rsidR="00006F01" w:rsidRPr="00B31C0C" w:rsidRDefault="00006F01" w:rsidP="00006F01">
      <w:r w:rsidRPr="00B31C0C">
        <w:t>→ giá cho thuê trên mỗi m</w:t>
      </w:r>
      <w:r w:rsidRPr="00B31C0C">
        <w:rPr>
          <w:vertAlign w:val="superscript"/>
        </w:rPr>
        <w:t>2</w:t>
      </w:r>
      <w:r w:rsidRPr="00B31C0C">
        <w:t xml:space="preserve"> là: 10 tr/ (13 x 5)  = 0,153 tr.đ/m</w:t>
      </w:r>
      <w:r w:rsidRPr="00B31C0C">
        <w:rPr>
          <w:vertAlign w:val="superscript"/>
        </w:rPr>
        <w:t>2</w:t>
      </w:r>
    </w:p>
    <w:p w:rsidR="00006F01" w:rsidRPr="00B31C0C" w:rsidRDefault="00006F01" w:rsidP="00006F01">
      <w:r w:rsidRPr="00B31C0C">
        <w:lastRenderedPageBreak/>
        <w:tab/>
        <w:t>áp vào giá cho thuê ngôi nhà mục tiêu: o.153 tr.đ/m</w:t>
      </w:r>
      <w:r w:rsidRPr="00B31C0C">
        <w:rPr>
          <w:vertAlign w:val="superscript"/>
        </w:rPr>
        <w:t>2</w:t>
      </w:r>
      <w:r w:rsidRPr="00B31C0C">
        <w:t xml:space="preserve"> x (13 x 6) = 12 tr.đ/năm</w:t>
      </w:r>
    </w:p>
    <w:p w:rsidR="00006F01" w:rsidRPr="00B31C0C" w:rsidRDefault="00006F01" w:rsidP="00006F01">
      <w:r w:rsidRPr="00B31C0C">
        <w:tab/>
      </w:r>
      <w:r w:rsidRPr="00B31C0C">
        <w:rPr>
          <w:u w:val="single"/>
        </w:rPr>
        <w:t>C2:</w:t>
      </w:r>
      <w:r w:rsidRPr="00B31C0C">
        <w:t xml:space="preserve"> Nhận thấy hai ngôi nhà có chung một yếu tố chiều sâu bằng nhau nên sẽ dùng độ dài của mặt tiền làm đơn vị so sánh để tính toán.</w:t>
      </w:r>
    </w:p>
    <w:p w:rsidR="00006F01" w:rsidRPr="00B31C0C" w:rsidRDefault="00006F01" w:rsidP="00006F01">
      <w:r w:rsidRPr="00B31C0C">
        <w:tab/>
        <w:t>Ngôi nhà mới cho thuê: 10tr.đ/5=2tr.đ/m</w:t>
      </w:r>
    </w:p>
    <w:p w:rsidR="00006F01" w:rsidRPr="00B31C0C" w:rsidRDefault="00006F01" w:rsidP="00006F01">
      <w:r w:rsidRPr="00B31C0C">
        <w:tab/>
        <w:t>→ ngôi nhà  mục tiêu: 2tr.đ x 6 = 12tr.đ/năm</w:t>
      </w:r>
    </w:p>
    <w:p w:rsidR="00006F01" w:rsidRPr="00B31C0C" w:rsidRDefault="00006F01" w:rsidP="00006F01">
      <w:r w:rsidRPr="00B31C0C">
        <w:tab/>
      </w:r>
      <w:r w:rsidRPr="00B31C0C">
        <w:rPr>
          <w:i/>
        </w:rPr>
        <w:t>Ví dụ 2:</w:t>
      </w:r>
      <w:r w:rsidRPr="00B31C0C">
        <w:t xml:space="preserve"> Một địa điểm có diện tích 2,5 ha được quy hoạch cho phép xây dựng 65 căn hộ liền tường đó được bán gần đây với giá 5850 tr.đ. Một địa điểm khác diện tích 1,8 ha gần đó được quy hoạch xây dựng 54 căn hộ liền tường đang định giá bán. Xác định giá bán địa điểm này.</w:t>
      </w:r>
    </w:p>
    <w:p w:rsidR="00006F01" w:rsidRPr="00B31C0C" w:rsidRDefault="00006F01" w:rsidP="00006F01">
      <w:r w:rsidRPr="00B31C0C">
        <w:tab/>
      </w:r>
      <w:r w:rsidRPr="00B31C0C">
        <w:rPr>
          <w:i/>
        </w:rPr>
        <w:t>Lời giải</w:t>
      </w:r>
      <w:r w:rsidRPr="00B31C0C">
        <w:t>:</w:t>
      </w:r>
    </w:p>
    <w:p w:rsidR="00006F01" w:rsidRPr="00B31C0C" w:rsidRDefault="00006F01" w:rsidP="00006F01">
      <w:r w:rsidRPr="00B31C0C">
        <w:tab/>
        <w:t>Phân tích khu đất đã bán</w:t>
      </w:r>
    </w:p>
    <w:p w:rsidR="00006F01" w:rsidRPr="00B31C0C" w:rsidRDefault="00006F01" w:rsidP="00006F01">
      <w:pPr>
        <w:numPr>
          <w:ilvl w:val="0"/>
          <w:numId w:val="6"/>
        </w:numPr>
        <w:spacing w:after="0" w:line="240" w:lineRule="auto"/>
        <w:jc w:val="left"/>
      </w:pPr>
      <w:r w:rsidRPr="00B31C0C">
        <w:t>Giá 1 ha: 5850/2,5 = 2340 tr.đ/ha</w:t>
      </w:r>
    </w:p>
    <w:p w:rsidR="00006F01" w:rsidRPr="00B31C0C" w:rsidRDefault="00006F01" w:rsidP="00006F01">
      <w:pPr>
        <w:numPr>
          <w:ilvl w:val="0"/>
          <w:numId w:val="6"/>
        </w:numPr>
        <w:spacing w:after="0" w:line="240" w:lineRule="auto"/>
        <w:jc w:val="left"/>
      </w:pPr>
      <w:r w:rsidRPr="00B31C0C">
        <w:t>Giá 1 lô: 5850/65 =  90 tr.đ/lô</w:t>
      </w:r>
    </w:p>
    <w:p w:rsidR="00006F01" w:rsidRPr="00660C6C" w:rsidRDefault="00006F01" w:rsidP="00006F01">
      <w:pPr>
        <w:numPr>
          <w:ilvl w:val="0"/>
          <w:numId w:val="6"/>
        </w:numPr>
        <w:spacing w:after="0" w:line="240" w:lineRule="auto"/>
        <w:jc w:val="left"/>
        <w:rPr>
          <w:lang w:val="es-ES"/>
        </w:rPr>
      </w:pPr>
      <w:r w:rsidRPr="00660C6C">
        <w:rPr>
          <w:lang w:val="es-ES"/>
        </w:rPr>
        <w:t>Mật độ lô/ha: 65/2,5 = 26 lô/ha</w:t>
      </w:r>
    </w:p>
    <w:p w:rsidR="00006F01" w:rsidRPr="00660C6C" w:rsidRDefault="00006F01" w:rsidP="00006F01">
      <w:pPr>
        <w:ind w:left="360" w:firstLine="360"/>
        <w:rPr>
          <w:lang w:val="es-ES"/>
        </w:rPr>
      </w:pPr>
      <w:r w:rsidRPr="00660C6C">
        <w:rPr>
          <w:lang w:val="es-ES"/>
        </w:rPr>
        <w:t>Cơ sở đúng đắn có thể dùng so sánh 2 mảnh đất từ đó xác định giá trị mảnh đất mục tiêu là số lô/ha đất</w:t>
      </w:r>
    </w:p>
    <w:p w:rsidR="00006F01" w:rsidRPr="00660C6C" w:rsidRDefault="00006F01" w:rsidP="00006F01">
      <w:pPr>
        <w:ind w:left="1080"/>
        <w:rPr>
          <w:lang w:val="es-ES"/>
        </w:rPr>
      </w:pPr>
      <w:r w:rsidRPr="00660C6C">
        <w:rPr>
          <w:lang w:val="es-ES"/>
        </w:rPr>
        <w:t>Mảnh đất mục tiêu có mật độ lô đất/ha: 54/1,3 = 30 lô/ha</w:t>
      </w:r>
    </w:p>
    <w:p w:rsidR="00006F01" w:rsidRPr="00660C6C" w:rsidRDefault="00006F01" w:rsidP="00006F01">
      <w:pPr>
        <w:ind w:left="360" w:firstLine="360"/>
        <w:rPr>
          <w:lang w:val="es-ES"/>
        </w:rPr>
      </w:pPr>
      <w:r w:rsidRPr="00660C6C">
        <w:rPr>
          <w:lang w:val="es-ES"/>
        </w:rPr>
        <w:t>Như vậy mật độ lô đất của bất động sản mục tiêu lớn hơn bất động sản so sánh nên diện tích 1 lô đất mục tiêu sẽ hơn diện tích 1 lô đất nên phải điều chỉnh giá bán một lô đất mục tiêu thấp hơn là 85 tr.đ/lô (thông qua thị trường)</w:t>
      </w:r>
    </w:p>
    <w:p w:rsidR="00006F01" w:rsidRPr="00660C6C" w:rsidRDefault="00006F01" w:rsidP="00006F01">
      <w:pPr>
        <w:ind w:left="360"/>
        <w:rPr>
          <w:lang w:val="es-ES"/>
        </w:rPr>
      </w:pPr>
      <w:r w:rsidRPr="00660C6C">
        <w:rPr>
          <w:lang w:val="es-ES"/>
        </w:rPr>
        <w:t>→ Giá mảnh đất mục tiêu là 85 tr.đ/lô x 54 = 4590 tr.đ</w:t>
      </w:r>
    </w:p>
    <w:p w:rsidR="00006F01" w:rsidRPr="00660C6C" w:rsidRDefault="00006F01" w:rsidP="00006F01">
      <w:pPr>
        <w:ind w:left="360" w:firstLine="360"/>
        <w:rPr>
          <w:lang w:val="es-ES"/>
        </w:rPr>
      </w:pPr>
      <w:r w:rsidRPr="00660C6C">
        <w:rPr>
          <w:lang w:val="es-ES"/>
        </w:rPr>
        <w:t xml:space="preserve">Kết luận: Mặc dù giá mỗi lô đất của bất động sản mục tiêu thấp hơn nhưng tổng giá trị của cả lô đất lãi lớn hơn khi sử dụng đơn vị so sánh là </w:t>
      </w:r>
      <w:r w:rsidRPr="00660C6C">
        <w:rPr>
          <w:lang w:val="es-ES"/>
        </w:rPr>
        <w:lastRenderedPageBreak/>
        <w:t>giá/ha tính toán. Điều này chỉ ra rằng giá mỗi ha đất hay m</w:t>
      </w:r>
      <w:r w:rsidRPr="00660C6C">
        <w:rPr>
          <w:vertAlign w:val="superscript"/>
          <w:lang w:val="es-ES"/>
        </w:rPr>
        <w:t>2</w:t>
      </w:r>
      <w:r w:rsidRPr="00660C6C">
        <w:rPr>
          <w:lang w:val="es-ES"/>
        </w:rPr>
        <w:t xml:space="preserve"> không hợp lý nếu mật độ xây dựng khác nhau giữa các địa điểm.</w:t>
      </w:r>
    </w:p>
    <w:p w:rsidR="00006F01" w:rsidRPr="00660C6C" w:rsidRDefault="00006F01" w:rsidP="00006F01">
      <w:pPr>
        <w:ind w:left="360"/>
        <w:rPr>
          <w:lang w:val="es-ES"/>
        </w:rPr>
      </w:pPr>
      <w:r w:rsidRPr="00660C6C">
        <w:rPr>
          <w:lang w:val="es-ES"/>
        </w:rPr>
        <w:tab/>
        <w:t>Khi áp dụng phương pháp đầu tư có thể áp dụng phương pháp phân lô để tính giá cho thuê các phòng khác nhau với các công dụng khác nhau (nhà kho, phòng làm việc, phòng trưng bày hàng hóa). Trong trường hợp cho thuê mặt bằng sản xuất với diện tích khác nhau nên cho ý xu hướng giá thuê, thường mặt bằng càng lớn giá cho thuê/m</w:t>
      </w:r>
      <w:r w:rsidRPr="00660C6C">
        <w:rPr>
          <w:vertAlign w:val="superscript"/>
          <w:lang w:val="es-ES"/>
        </w:rPr>
        <w:t>2</w:t>
      </w:r>
      <w:r w:rsidRPr="00660C6C">
        <w:rPr>
          <w:lang w:val="es-ES"/>
        </w:rPr>
        <w:t xml:space="preserve"> càng nhà vì chi phí quản lý thấp hơn. Tuy nhiên xu thế này không phải lúc nào còn đúng, nó phụ thuộc vào số lượng cung cầu trên thị trường</w:t>
      </w:r>
    </w:p>
    <w:p w:rsidR="00006F01" w:rsidRPr="00660C6C" w:rsidRDefault="00006F01" w:rsidP="00006F01">
      <w:pPr>
        <w:rPr>
          <w:lang w:val="es-ES"/>
        </w:rPr>
      </w:pPr>
      <w:r w:rsidRPr="00660C6C">
        <w:rPr>
          <w:lang w:val="es-ES"/>
        </w:rPr>
        <w:tab/>
        <w:t>Việc xem xét luồng thu nhập mục đích để tính toán thu nhập ròng tô hoạt động cho thuê bất động sản. Khi giá cho thuê đó được ước tính phải trừ một số khoản mà chủ đầu tư phải chi tiêu, trang trải liên để duy trì luồng thu nhập trên.</w:t>
      </w:r>
    </w:p>
    <w:p w:rsidR="00006F01" w:rsidRPr="00660C6C" w:rsidRDefault="00006F01" w:rsidP="00006F01">
      <w:pPr>
        <w:rPr>
          <w:b/>
          <w:i/>
          <w:lang w:val="es-ES"/>
        </w:rPr>
      </w:pPr>
      <w:r w:rsidRPr="00660C6C">
        <w:rPr>
          <w:b/>
          <w:i/>
          <w:lang w:val="es-ES"/>
        </w:rPr>
        <w:t>Thu nhập ròng = Doanh thu (Luồng thu nhập) – Chi phí</w:t>
      </w:r>
    </w:p>
    <w:p w:rsidR="00006F01" w:rsidRPr="00660C6C" w:rsidRDefault="00006F01" w:rsidP="00006F01">
      <w:pPr>
        <w:rPr>
          <w:lang w:val="es-ES"/>
        </w:rPr>
      </w:pPr>
      <w:r w:rsidRPr="00660C6C">
        <w:rPr>
          <w:lang w:val="es-ES"/>
        </w:rPr>
        <w:t>Chi phí bao gồm các khoản như chi phí về thuế (thuế bất động sản, thuế kinh doanh…), chi phí điện nước, chi phí bảo dưỡng, sửa chữa nhà, chi phí quản lý (nếu có), chi phí bảo hiểm tài sản (nếu có), chi phí môi trường…</w:t>
      </w:r>
    </w:p>
    <w:p w:rsidR="00006F01" w:rsidRPr="00660C6C" w:rsidRDefault="00006F01" w:rsidP="00006F01">
      <w:pPr>
        <w:rPr>
          <w:b/>
          <w:lang w:val="es-ES"/>
        </w:rPr>
      </w:pPr>
      <w:r>
        <w:rPr>
          <w:b/>
          <w:lang w:val="es-ES"/>
        </w:rPr>
        <w:t>3.</w:t>
      </w:r>
      <w:r w:rsidRPr="00660C6C">
        <w:rPr>
          <w:b/>
          <w:lang w:val="es-ES"/>
        </w:rPr>
        <w:t>5. Xác định hệ số r</w:t>
      </w:r>
    </w:p>
    <w:p w:rsidR="00006F01" w:rsidRPr="00660C6C" w:rsidRDefault="00006F01" w:rsidP="00006F01">
      <w:pPr>
        <w:rPr>
          <w:lang w:val="es-ES"/>
        </w:rPr>
      </w:pPr>
      <w:r w:rsidRPr="00660C6C">
        <w:rPr>
          <w:lang w:val="es-ES"/>
        </w:rPr>
        <w:tab/>
        <w:t>Tên gọi và bản chất của r có thể là một trong những yếu tố sau:</w:t>
      </w:r>
    </w:p>
    <w:p w:rsidR="00006F01" w:rsidRPr="00660C6C" w:rsidRDefault="00006F01" w:rsidP="00006F01">
      <w:pPr>
        <w:rPr>
          <w:lang w:val="es-ES"/>
        </w:rPr>
      </w:pPr>
      <w:r w:rsidRPr="00660C6C">
        <w:rPr>
          <w:i/>
          <w:iCs/>
          <w:lang w:val="es-ES"/>
        </w:rPr>
        <w:t>- Tỷ suất vốn hóa:</w:t>
      </w:r>
      <w:r w:rsidRPr="00660C6C">
        <w:rPr>
          <w:lang w:val="es-ES"/>
        </w:rPr>
        <w:t xml:space="preserve"> là một phân số dùng để diễn tả mối quan hệ giữa thu nhập và giá trị của tài sản. Đó là tỷ suất lợi tức mong đợi trong 01 năm hoạt động trên tổng giá trị tài sản và dụng để chuyển đổi thu nhập ròng thành giá trị tài sản.</w:t>
      </w:r>
    </w:p>
    <w:p w:rsidR="00006F01" w:rsidRPr="00660C6C" w:rsidRDefault="00006F01" w:rsidP="00006F01">
      <w:pPr>
        <w:rPr>
          <w:lang w:val="es-ES"/>
        </w:rPr>
      </w:pPr>
      <w:r w:rsidRPr="00660C6C">
        <w:rPr>
          <w:i/>
          <w:iCs/>
          <w:lang w:val="es-ES"/>
        </w:rPr>
        <w:t>(Hệ số vốn hóa:</w:t>
      </w:r>
      <w:r w:rsidRPr="00660C6C">
        <w:rPr>
          <w:lang w:val="es-ES"/>
        </w:rPr>
        <w:t xml:space="preserve"> là nghịch đảo của tỷ suất vốn hóa)</w:t>
      </w:r>
    </w:p>
    <w:p w:rsidR="00006F01" w:rsidRPr="00660C6C" w:rsidRDefault="00006F01" w:rsidP="00006F01">
      <w:pPr>
        <w:rPr>
          <w:lang w:val="es-ES"/>
        </w:rPr>
      </w:pPr>
      <w:r w:rsidRPr="00660C6C">
        <w:rPr>
          <w:i/>
          <w:iCs/>
          <w:lang w:val="es-ES"/>
        </w:rPr>
        <w:lastRenderedPageBreak/>
        <w:t>- Tỷ suất chiết khấu:</w:t>
      </w:r>
      <w:r w:rsidRPr="00660C6C">
        <w:rPr>
          <w:lang w:val="es-ES"/>
        </w:rPr>
        <w:t xml:space="preserve"> là một phân số dùng để chuyển đổi dòng thu nhập dự tính trong tương lai thành giá trị hiện tại của tài sản. Tỷ suất chiết khấu có thể là: tỷ suất vốn hóa, tỷ suất lãi vay trong kỳ đầu tư, tỷ suất thu hồi vốn (tỷ suất hoàn vốn nội bộ) hoặc tỷ suất thuế thực.</w:t>
      </w:r>
    </w:p>
    <w:p w:rsidR="00006F01" w:rsidRPr="00660C6C" w:rsidRDefault="00006F01" w:rsidP="00006F01">
      <w:pPr>
        <w:rPr>
          <w:lang w:val="es-ES"/>
        </w:rPr>
      </w:pPr>
      <w:r w:rsidRPr="00660C6C">
        <w:rPr>
          <w:i/>
          <w:iCs/>
          <w:lang w:val="es-ES"/>
        </w:rPr>
        <w:t>- Tỷ suất thu hồi vốn</w:t>
      </w:r>
      <w:r w:rsidRPr="00660C6C">
        <w:rPr>
          <w:lang w:val="es-ES"/>
        </w:rPr>
        <w:t xml:space="preserve"> (tỷ suất hoàn vốn nội bộ): là tỷ suất chiết khấu mà khi chiết khấu với tỷ suất này hiện giá của thu nhập tương lai bằng chi phí đầu tư ban đầu (NPV = 0)</w:t>
      </w:r>
    </w:p>
    <w:p w:rsidR="00006F01" w:rsidRPr="00660C6C" w:rsidRDefault="00006F01" w:rsidP="00006F01">
      <w:pPr>
        <w:rPr>
          <w:lang w:val="es-ES"/>
        </w:rPr>
      </w:pPr>
      <w:r w:rsidRPr="00660C6C">
        <w:rPr>
          <w:lang w:val="es-ES"/>
        </w:rPr>
        <w:t xml:space="preserve">- </w:t>
      </w:r>
      <w:r w:rsidRPr="00660C6C">
        <w:rPr>
          <w:i/>
          <w:iCs/>
          <w:lang w:val="es-ES"/>
        </w:rPr>
        <w:t>Tỷ suất thuế thực tế</w:t>
      </w:r>
      <w:r w:rsidRPr="00660C6C">
        <w:rPr>
          <w:lang w:val="es-ES"/>
        </w:rPr>
        <w:t>: là tỷ lệ phần trăm mức thuế thực tính trên tài sản so với giá thị trường của chính tài sản đó.</w:t>
      </w:r>
    </w:p>
    <w:p w:rsidR="00006F01" w:rsidRPr="00660C6C" w:rsidRDefault="00006F01" w:rsidP="00006F01">
      <w:pPr>
        <w:rPr>
          <w:b/>
          <w:i/>
          <w:lang w:val="es-ES"/>
        </w:rPr>
      </w:pPr>
      <w:r>
        <w:rPr>
          <w:b/>
          <w:bCs/>
          <w:i/>
          <w:lang w:val="es-ES"/>
        </w:rPr>
        <w:t>3.</w:t>
      </w:r>
      <w:r w:rsidRPr="00660C6C">
        <w:rPr>
          <w:b/>
          <w:bCs/>
          <w:i/>
          <w:lang w:val="es-ES"/>
        </w:rPr>
        <w:t>5.1. Xác định tỷ suất chiết khấu</w:t>
      </w:r>
    </w:p>
    <w:p w:rsidR="00006F01" w:rsidRPr="00660C6C" w:rsidRDefault="00006F01" w:rsidP="00006F01">
      <w:pPr>
        <w:rPr>
          <w:lang w:val="es-ES"/>
        </w:rPr>
      </w:pPr>
      <w:r w:rsidRPr="00660C6C">
        <w:rPr>
          <w:bCs/>
          <w:u w:val="single"/>
          <w:lang w:val="es-ES"/>
        </w:rPr>
        <w:t>Phương pháp 1</w:t>
      </w:r>
      <w:r w:rsidRPr="00660C6C">
        <w:rPr>
          <w:b/>
          <w:bCs/>
          <w:lang w:val="es-ES"/>
        </w:rPr>
        <w:t xml:space="preserve">: </w:t>
      </w:r>
      <w:r w:rsidRPr="00660C6C">
        <w:rPr>
          <w:lang w:val="es-ES"/>
        </w:rPr>
        <w:t>Tính tổng các yếu tố cấu thành tỷ suất chiết khấu</w:t>
      </w:r>
    </w:p>
    <w:p w:rsidR="00006F01" w:rsidRPr="00660C6C" w:rsidRDefault="00006F01" w:rsidP="00006F01">
      <w:pPr>
        <w:rPr>
          <w:lang w:val="es-ES"/>
        </w:rPr>
      </w:pPr>
      <w:r w:rsidRPr="00660C6C">
        <w:rPr>
          <w:lang w:val="es-ES"/>
        </w:rPr>
        <w:t>Tỷ suất chiết khấu gồm các yếu tố cấu thành sau đây:</w:t>
      </w:r>
    </w:p>
    <w:p w:rsidR="00006F01" w:rsidRPr="00660C6C" w:rsidRDefault="00006F01" w:rsidP="00006F01">
      <w:pPr>
        <w:rPr>
          <w:lang w:val="es-ES"/>
        </w:rPr>
      </w:pPr>
      <w:r w:rsidRPr="00660C6C">
        <w:rPr>
          <w:lang w:val="es-ES"/>
        </w:rPr>
        <w:t>- Tỷ lệ an toàn: Là tỷ suất lợi nhuận thu được từ các khoản đầu tư không rủi ro, được tính bằng lãi suất trả trước của Trái phiếu Chính phủ ký hạn từ 10 năm trở lên ở thời điểm gần nhất với thời điểm định giá.</w:t>
      </w:r>
    </w:p>
    <w:p w:rsidR="00006F01" w:rsidRPr="00660C6C" w:rsidRDefault="00006F01" w:rsidP="00006F01">
      <w:pPr>
        <w:rPr>
          <w:lang w:val="es-ES"/>
        </w:rPr>
      </w:pPr>
      <w:r w:rsidRPr="00660C6C">
        <w:rPr>
          <w:lang w:val="es-ES"/>
        </w:rPr>
        <w:t>- Phụ phí rủi ro: Bao gồm rủi ro kinh doanh, rủi ro tài chính và rủi ro thanh khoản.</w:t>
      </w:r>
    </w:p>
    <w:p w:rsidR="00006F01" w:rsidRPr="00660C6C" w:rsidRDefault="00006F01" w:rsidP="00006F01">
      <w:pPr>
        <w:rPr>
          <w:lang w:val="es-ES"/>
        </w:rPr>
      </w:pPr>
      <w:r w:rsidRPr="00660C6C">
        <w:rPr>
          <w:lang w:val="es-ES"/>
        </w:rPr>
        <w:t>Khi xác định tỷ lệ rủi ro dự kiến, định giá viên về giá phải nghiên cứu kỹ đặc điểm đối với từng vùng, từng cơ sở kinh tế của địa phương, đặc điểm của bất động sản và khả năng khách thuê ổn định.</w:t>
      </w:r>
    </w:p>
    <w:p w:rsidR="00006F01" w:rsidRPr="00660C6C" w:rsidRDefault="00006F01" w:rsidP="00006F01">
      <w:pPr>
        <w:rPr>
          <w:lang w:val="es-ES"/>
        </w:rPr>
      </w:pPr>
      <w:r w:rsidRPr="00660C6C">
        <w:rPr>
          <w:bCs/>
          <w:u w:val="single"/>
          <w:lang w:val="es-ES"/>
        </w:rPr>
        <w:t>Phương pháp 2</w:t>
      </w:r>
      <w:r w:rsidRPr="00660C6C">
        <w:rPr>
          <w:b/>
          <w:bCs/>
          <w:lang w:val="es-ES"/>
        </w:rPr>
        <w:t>:</w:t>
      </w:r>
      <w:r w:rsidRPr="00660C6C">
        <w:rPr>
          <w:lang w:val="es-ES"/>
        </w:rPr>
        <w:t xml:space="preserve"> Phương pháp đầu tư</w:t>
      </w:r>
    </w:p>
    <w:p w:rsidR="00006F01" w:rsidRPr="00660C6C" w:rsidRDefault="00006F01" w:rsidP="00006F01">
      <w:pPr>
        <w:rPr>
          <w:lang w:val="es-ES"/>
        </w:rPr>
      </w:pPr>
      <w:r w:rsidRPr="00660C6C">
        <w:rPr>
          <w:lang w:val="es-ES"/>
        </w:rPr>
        <w:t>Trong phương pháp này, tỷ suất chiết khấu bằng bình quân gia quyền của các lãi suất tô các nguồn huy động vốn khác nhau đầu tư vào bất động sản.</w:t>
      </w:r>
    </w:p>
    <w:p w:rsidR="00006F01" w:rsidRPr="00660C6C" w:rsidRDefault="00006F01" w:rsidP="00006F01">
      <w:pPr>
        <w:rPr>
          <w:lang w:val="es-ES"/>
        </w:rPr>
      </w:pPr>
      <w:r w:rsidRPr="00660C6C">
        <w:rPr>
          <w:b/>
          <w:bCs/>
          <w:u w:val="single"/>
          <w:lang w:val="es-ES"/>
        </w:rPr>
        <w:t xml:space="preserve">Ví dụ 1: </w:t>
      </w:r>
      <w:r w:rsidRPr="00660C6C">
        <w:rPr>
          <w:lang w:val="es-ES"/>
        </w:rPr>
        <w:t xml:space="preserve">Giả sử cần đầu tư vào một bất động sản trị giá 1.000 triệu đồng. Trong đó 66% tổng giá trị bất động sản là từ vốn vay ngân hàng với tỷ suất thu </w:t>
      </w:r>
      <w:r w:rsidRPr="00660C6C">
        <w:rPr>
          <w:lang w:val="es-ES"/>
        </w:rPr>
        <w:lastRenderedPageBreak/>
        <w:t>hồi vốn 5%/năm; 34% tổng giá trị bất động sản là từ vốn vay do nhà đầu tư bỏ ra với lãi suất kỳ vọng của nhà đầu tư là 8%/ năm. Tính tỷ suất chiết khấu năm.</w:t>
      </w:r>
    </w:p>
    <w:p w:rsidR="00006F01" w:rsidRPr="00660C6C" w:rsidRDefault="00006F01" w:rsidP="00006F01">
      <w:pPr>
        <w:rPr>
          <w:lang w:val="es-ES"/>
        </w:rPr>
      </w:pPr>
      <w:r w:rsidRPr="00660C6C">
        <w:rPr>
          <w:lang w:val="es-ES"/>
        </w:rPr>
        <w:t>Lời giải:</w:t>
      </w:r>
    </w:p>
    <w:p w:rsidR="00006F01" w:rsidRPr="00660C6C" w:rsidRDefault="00006F01" w:rsidP="00006F01">
      <w:pPr>
        <w:rPr>
          <w:lang w:val="es-ES"/>
        </w:rPr>
      </w:pPr>
      <w:r w:rsidRPr="00660C6C">
        <w:rPr>
          <w:lang w:val="es-ES"/>
        </w:rPr>
        <w:t>Xác định tỷ suất chiết khấu như sau;</w:t>
      </w:r>
    </w:p>
    <w:p w:rsidR="00006F01" w:rsidRPr="00660C6C" w:rsidRDefault="00006F01" w:rsidP="00006F01">
      <w:pPr>
        <w:rPr>
          <w:lang w:val="es-ES"/>
        </w:rPr>
      </w:pPr>
      <w:r w:rsidRPr="00660C6C">
        <w:rPr>
          <w:lang w:val="es-ES"/>
        </w:rPr>
        <w:t>- Thu nhập để trả chi phí tiền vay ngân hàng:</w:t>
      </w:r>
    </w:p>
    <w:p w:rsidR="00006F01" w:rsidRPr="00660C6C" w:rsidRDefault="00006F01" w:rsidP="00006F01">
      <w:pPr>
        <w:rPr>
          <w:lang w:val="es-ES"/>
        </w:rPr>
      </w:pPr>
      <w:r w:rsidRPr="00660C6C">
        <w:rPr>
          <w:lang w:val="es-ES"/>
        </w:rPr>
        <w:t>660 triệu đồng x 5%/năm = 33 triệu đồng</w:t>
      </w:r>
    </w:p>
    <w:p w:rsidR="00006F01" w:rsidRPr="00660C6C" w:rsidRDefault="00006F01" w:rsidP="00006F01">
      <w:pPr>
        <w:rPr>
          <w:lang w:val="es-ES"/>
        </w:rPr>
      </w:pPr>
      <w:r w:rsidRPr="00660C6C">
        <w:rPr>
          <w:lang w:val="es-ES"/>
        </w:rPr>
        <w:t>-Thu nhập từ vốn tự có:</w:t>
      </w:r>
    </w:p>
    <w:p w:rsidR="00006F01" w:rsidRPr="00660C6C" w:rsidRDefault="00006F01" w:rsidP="00006F01">
      <w:pPr>
        <w:rPr>
          <w:lang w:val="es-ES"/>
        </w:rPr>
      </w:pPr>
      <w:r w:rsidRPr="00660C6C">
        <w:rPr>
          <w:lang w:val="es-ES"/>
        </w:rPr>
        <w:t>340 triệu đồng x 8%/năm = 27,2 triệu đồng</w:t>
      </w:r>
    </w:p>
    <w:p w:rsidR="00006F01" w:rsidRPr="00660C6C" w:rsidRDefault="00006F01" w:rsidP="00006F01">
      <w:pPr>
        <w:rPr>
          <w:lang w:val="es-ES"/>
        </w:rPr>
      </w:pPr>
      <w:r w:rsidRPr="00660C6C">
        <w:rPr>
          <w:lang w:val="es-ES"/>
        </w:rPr>
        <w:t>Như vậy, thu nhập từ việc khai thác số vốn 1.000 triệu đồng để đầu tư vào bất động sản là:</w:t>
      </w:r>
    </w:p>
    <w:p w:rsidR="00006F01" w:rsidRPr="00660C6C" w:rsidRDefault="00006F01" w:rsidP="00006F01">
      <w:pPr>
        <w:rPr>
          <w:lang w:val="es-ES"/>
        </w:rPr>
      </w:pPr>
      <w:r w:rsidRPr="00660C6C">
        <w:rPr>
          <w:lang w:val="es-ES"/>
        </w:rPr>
        <w:t>33 triệu đồng + 27, 2 triệu đồng = 60,2 triệu đồng</w:t>
      </w:r>
    </w:p>
    <w:p w:rsidR="00006F01" w:rsidRPr="00660C6C" w:rsidRDefault="00006F01" w:rsidP="00006F01">
      <w:pPr>
        <w:rPr>
          <w:lang w:val="es-ES"/>
        </w:rPr>
      </w:pPr>
      <w:r w:rsidRPr="00660C6C">
        <w:rPr>
          <w:lang w:val="es-ES"/>
        </w:rPr>
        <w:t>- Tỷ suất chiết khấu năm:</w:t>
      </w:r>
    </w:p>
    <w:p w:rsidR="00006F01" w:rsidRPr="00660C6C" w:rsidRDefault="00006F01" w:rsidP="00006F01">
      <w:pPr>
        <w:rPr>
          <w:lang w:val="es-ES"/>
        </w:rPr>
      </w:pPr>
      <w:r w:rsidRPr="00660C6C">
        <w:rPr>
          <w:lang w:val="es-ES"/>
        </w:rPr>
        <w:t>60,2/1.000 = 0,0602 hay 6,02%</w:t>
      </w:r>
    </w:p>
    <w:p w:rsidR="00006F01" w:rsidRPr="00660C6C" w:rsidRDefault="00006F01" w:rsidP="00006F01">
      <w:pPr>
        <w:rPr>
          <w:lang w:val="es-ES"/>
        </w:rPr>
      </w:pPr>
      <w:r w:rsidRPr="00660C6C">
        <w:rPr>
          <w:b/>
          <w:bCs/>
          <w:u w:val="single"/>
          <w:lang w:val="es-ES"/>
        </w:rPr>
        <w:t>Ví dụ 2:</w:t>
      </w:r>
      <w:r w:rsidRPr="00660C6C">
        <w:rPr>
          <w:lang w:val="es-ES"/>
        </w:rPr>
        <w:t xml:space="preserve"> Một doanh nghiệp cần đầu tư vào một bất động sản trị giá 10.000 triệu đồng. Giả sử thế chấp lần đầu 50% giá trị bất động sản với lãi suất 4,5%/năm; thế chấp lần hai 25% giá trị bất động sản với lãi suất 7%/năm; vốn tự có của doanh nghiệp chiếm 25% giá trị bất động sản với tỷ suất hoàn vốn 10%. Tính tỷ suất chiết khấu năm.</w:t>
      </w:r>
    </w:p>
    <w:p w:rsidR="00006F01" w:rsidRPr="00660C6C" w:rsidRDefault="00006F01" w:rsidP="00006F01">
      <w:pPr>
        <w:rPr>
          <w:lang w:val="es-ES"/>
        </w:rPr>
      </w:pPr>
      <w:r w:rsidRPr="00660C6C">
        <w:rPr>
          <w:lang w:val="es-ES"/>
        </w:rPr>
        <w:t>Lời giải:</w:t>
      </w:r>
    </w:p>
    <w:p w:rsidR="00006F01" w:rsidRPr="00660C6C" w:rsidRDefault="00006F01" w:rsidP="00006F01">
      <w:pPr>
        <w:rPr>
          <w:lang w:val="es-ES"/>
        </w:rPr>
      </w:pPr>
      <w:r w:rsidRPr="00660C6C">
        <w:rPr>
          <w:lang w:val="es-ES"/>
        </w:rPr>
        <w:t>- Thế chấp lần đầu: 5.000 triệu đồng: 50% x 4,5% = 2,25%</w:t>
      </w:r>
    </w:p>
    <w:p w:rsidR="00006F01" w:rsidRPr="00660C6C" w:rsidRDefault="00006F01" w:rsidP="00006F01">
      <w:pPr>
        <w:rPr>
          <w:lang w:val="es-ES"/>
        </w:rPr>
      </w:pPr>
      <w:r w:rsidRPr="00660C6C">
        <w:rPr>
          <w:lang w:val="es-ES"/>
        </w:rPr>
        <w:t>- Thế chấp lần hai: 2.500 triệu đồng: 25% x 7%    = 1,75%</w:t>
      </w:r>
    </w:p>
    <w:p w:rsidR="00006F01" w:rsidRPr="00660C6C" w:rsidRDefault="00006F01" w:rsidP="00006F01">
      <w:pPr>
        <w:rPr>
          <w:lang w:val="es-ES"/>
        </w:rPr>
      </w:pPr>
      <w:r w:rsidRPr="00660C6C">
        <w:rPr>
          <w:lang w:val="es-ES"/>
        </w:rPr>
        <w:t>- Vốn tự có:            2.500 triệu đồng: 25% x 10%   = 2,50%</w:t>
      </w:r>
    </w:p>
    <w:p w:rsidR="00006F01" w:rsidRPr="00660C6C" w:rsidRDefault="00006F01" w:rsidP="00006F01">
      <w:pPr>
        <w:rPr>
          <w:lang w:val="es-ES"/>
        </w:rPr>
      </w:pPr>
      <w:r w:rsidRPr="00660C6C">
        <w:rPr>
          <w:lang w:val="es-ES"/>
        </w:rPr>
        <w:t>Tỷ suất chiết khấu năm:   2,25% + 1,75% + 2,50% = 6,5%</w:t>
      </w:r>
    </w:p>
    <w:p w:rsidR="00006F01" w:rsidRPr="00B31C0C" w:rsidRDefault="00006F01" w:rsidP="00006F01">
      <w:r w:rsidRPr="00B31C0C">
        <w:rPr>
          <w:bCs/>
          <w:u w:val="single"/>
        </w:rPr>
        <w:lastRenderedPageBreak/>
        <w:t>Phương pháp 3</w:t>
      </w:r>
      <w:r w:rsidRPr="00B31C0C">
        <w:rPr>
          <w:b/>
          <w:bCs/>
        </w:rPr>
        <w:t>:</w:t>
      </w:r>
      <w:r w:rsidRPr="00B31C0C">
        <w:t xml:space="preserve"> Phương pháp so sánh:</w:t>
      </w:r>
    </w:p>
    <w:p w:rsidR="00006F01" w:rsidRPr="00B31C0C" w:rsidRDefault="00006F01" w:rsidP="00006F01">
      <w:r w:rsidRPr="00B31C0C">
        <w:rPr>
          <w:b/>
          <w:bCs/>
          <w:u w:val="single"/>
        </w:rPr>
        <w:t>Ví dụ:</w:t>
      </w:r>
      <w:r w:rsidRPr="00B31C0C">
        <w:t xml:space="preserve"> Cần xác định tỷ suất chiết khấu để ước tính giá trị của bất động sản A. Kết quả điều tra thị trường cho thấy có 03 giao dịch thành công của bất động sản tương tự với bất động sản A như sau:</w:t>
      </w:r>
    </w:p>
    <w:p w:rsidR="00006F01" w:rsidRPr="00B31C0C" w:rsidRDefault="00006F01" w:rsidP="00006F01">
      <w:r w:rsidRPr="00B31C0C">
        <w:t> </w:t>
      </w:r>
    </w:p>
    <w:tbl>
      <w:tblPr>
        <w:tblW w:w="9396" w:type="dxa"/>
        <w:tblCellMar>
          <w:left w:w="0" w:type="dxa"/>
          <w:right w:w="0" w:type="dxa"/>
        </w:tblCellMar>
        <w:tblLook w:val="0000"/>
      </w:tblPr>
      <w:tblGrid>
        <w:gridCol w:w="1728"/>
        <w:gridCol w:w="3240"/>
        <w:gridCol w:w="2214"/>
        <w:gridCol w:w="2214"/>
      </w:tblGrid>
      <w:tr w:rsidR="00006F01" w:rsidRPr="00B31C0C" w:rsidTr="00F11D6E">
        <w:tc>
          <w:tcPr>
            <w:tcW w:w="17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rPr>
                <w:b/>
                <w:bCs/>
              </w:rPr>
              <w:t>Giao dịch thành công</w:t>
            </w:r>
          </w:p>
        </w:tc>
        <w:tc>
          <w:tcPr>
            <w:tcW w:w="3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rPr>
                <w:b/>
                <w:bCs/>
              </w:rPr>
              <w:t>Thu nhập ròng sau thuế và khấu hao (triệu đồng)</w:t>
            </w:r>
          </w:p>
        </w:tc>
        <w:tc>
          <w:tcPr>
            <w:tcW w:w="22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rPr>
                <w:b/>
                <w:bCs/>
              </w:rPr>
              <w:t>Giá bán (triệu đồng)</w:t>
            </w:r>
          </w:p>
        </w:tc>
        <w:tc>
          <w:tcPr>
            <w:tcW w:w="22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rPr>
                <w:b/>
                <w:bCs/>
              </w:rPr>
              <w:t>Tỷ suất vốn hóa (%)</w:t>
            </w:r>
          </w:p>
        </w:tc>
      </w:tr>
      <w:tr w:rsidR="00006F01" w:rsidRPr="00B31C0C" w:rsidTr="00F11D6E">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B</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1.400</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10.000</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14,0</w:t>
            </w:r>
          </w:p>
        </w:tc>
      </w:tr>
      <w:tr w:rsidR="00006F01" w:rsidRPr="00B31C0C" w:rsidTr="00F11D6E">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C</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1.260</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8.870</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14,21</w:t>
            </w:r>
          </w:p>
        </w:tc>
      </w:tr>
      <w:tr w:rsidR="00006F01" w:rsidRPr="00B31C0C" w:rsidTr="00F11D6E">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D</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1.600</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11.500</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jc w:val="center"/>
            </w:pPr>
            <w:r w:rsidRPr="00B31C0C">
              <w:t>13.91</w:t>
            </w:r>
          </w:p>
        </w:tc>
      </w:tr>
    </w:tbl>
    <w:p w:rsidR="00006F01" w:rsidRPr="00B31C0C" w:rsidRDefault="00006F01" w:rsidP="00006F01">
      <w:r w:rsidRPr="00B31C0C">
        <w:t xml:space="preserve">Tỷ suất chiết khấu </w:t>
      </w:r>
      <w:r>
        <w:t>dù</w:t>
      </w:r>
      <w:r w:rsidRPr="00B31C0C">
        <w:t>ng để ước tính giá trị của bất động sản A là:</w:t>
      </w:r>
    </w:p>
    <w:p w:rsidR="00006F01" w:rsidRPr="00B31C0C" w:rsidRDefault="00006F01" w:rsidP="00006F01">
      <w:r w:rsidRPr="00B31C0C">
        <w:t>(0,14 + 0,1421 + 0,1391)/3 = 0,1404 (làm tròn 14,0%)</w:t>
      </w:r>
    </w:p>
    <w:p w:rsidR="00006F01" w:rsidRPr="00B31C0C" w:rsidRDefault="00006F01" w:rsidP="00006F01">
      <w:r w:rsidRPr="00B31C0C">
        <w:t>Nếu thu nhập ròng sau thuế và khấu hao của bất động sản A là 2.000 triệu đồng thì giá trị của bất động sản A là 14.281 triệu đồng.</w:t>
      </w:r>
    </w:p>
    <w:p w:rsidR="00006F01" w:rsidRPr="00B31C0C" w:rsidRDefault="00006F01" w:rsidP="00006F01">
      <w:r>
        <w:rPr>
          <w:b/>
          <w:bCs/>
          <w:i/>
        </w:rPr>
        <w:t>3.</w:t>
      </w:r>
      <w:r w:rsidRPr="00B31C0C">
        <w:rPr>
          <w:b/>
          <w:bCs/>
          <w:i/>
        </w:rPr>
        <w:t>5.2. Xác định tỷ suất hoàn vốn nội bộ (IRR)</w:t>
      </w:r>
      <w:r w:rsidRPr="00B31C0C">
        <w:t xml:space="preserve"> là tỷ suất chiết khấu r mà tại đó giá trị hiện tại của các dòng tiền chi phí tương lai của dự án đầu tư đó. Nói cách khác, với tỷ suất chiết khấu đó thì NPV = 0.</w:t>
      </w:r>
    </w:p>
    <w:p w:rsidR="00006F01" w:rsidRPr="00B31C0C" w:rsidRDefault="00006F01" w:rsidP="00006F01">
      <w:r w:rsidRPr="00B31C0C">
        <w:t>- Có thể tìm IRR bằng phương pháp thử:</w:t>
      </w:r>
    </w:p>
    <w:p w:rsidR="00006F01" w:rsidRPr="00B31C0C" w:rsidRDefault="00006F01" w:rsidP="00006F01">
      <w:r w:rsidRPr="00B31C0C">
        <w:t>+ Chọn ngẫu nhiên r</w:t>
      </w:r>
      <w:r w:rsidRPr="00B31C0C">
        <w:softHyphen/>
      </w:r>
      <w:r w:rsidRPr="00B31C0C">
        <w:softHyphen/>
      </w:r>
      <w:r w:rsidRPr="00B31C0C">
        <w:rPr>
          <w:vertAlign w:val="subscript"/>
        </w:rPr>
        <w:t>1</w:t>
      </w:r>
      <w:r w:rsidRPr="00B31C0C">
        <w:t xml:space="preserve"> sao cho NPV</w:t>
      </w:r>
      <w:r w:rsidRPr="00B31C0C">
        <w:rPr>
          <w:vertAlign w:val="subscript"/>
        </w:rPr>
        <w:t>1</w:t>
      </w:r>
      <w:r w:rsidRPr="00B31C0C">
        <w:t>&gt;0</w:t>
      </w:r>
    </w:p>
    <w:p w:rsidR="00006F01" w:rsidRPr="00B31C0C" w:rsidRDefault="00006F01" w:rsidP="00006F01">
      <w:r w:rsidRPr="00B31C0C">
        <w:t>+ Chọn ngẫu nhiên r</w:t>
      </w:r>
      <w:r w:rsidRPr="00B31C0C">
        <w:rPr>
          <w:vertAlign w:val="subscript"/>
        </w:rPr>
        <w:t>2</w:t>
      </w:r>
      <w:r w:rsidRPr="00B31C0C">
        <w:t xml:space="preserve"> sao cho NPV</w:t>
      </w:r>
      <w:r w:rsidRPr="00B31C0C">
        <w:rPr>
          <w:vertAlign w:val="subscript"/>
        </w:rPr>
        <w:t>2</w:t>
      </w:r>
      <w:r w:rsidRPr="00B31C0C">
        <w:t>&lt;0</w:t>
      </w:r>
    </w:p>
    <w:p w:rsidR="00006F01" w:rsidRPr="00B31C0C" w:rsidRDefault="00006F01" w:rsidP="00006F01">
      <w:r w:rsidRPr="00B31C0C">
        <w:t>Giá trị NPV</w:t>
      </w:r>
      <w:r w:rsidRPr="00B31C0C">
        <w:softHyphen/>
      </w:r>
      <w:r w:rsidRPr="00B31C0C">
        <w:rPr>
          <w:vertAlign w:val="subscript"/>
        </w:rPr>
        <w:t>1</w:t>
      </w:r>
      <w:r w:rsidRPr="00B31C0C">
        <w:t xml:space="preserve"> và NPV</w:t>
      </w:r>
      <w:r w:rsidRPr="00B31C0C">
        <w:rPr>
          <w:vertAlign w:val="subscript"/>
        </w:rPr>
        <w:t>2</w:t>
      </w:r>
      <w:r w:rsidRPr="00B31C0C">
        <w:t xml:space="preserve"> càng gần giá trị 0 thì độ chính xác của IRR càng ca0.</w:t>
      </w:r>
    </w:p>
    <w:p w:rsidR="00006F01" w:rsidRPr="00B31C0C" w:rsidRDefault="00006F01" w:rsidP="00006F01">
      <w:r w:rsidRPr="00B31C0C">
        <w:t>- Hoặc có thể tìm IRR theo công thức</w:t>
      </w:r>
    </w:p>
    <w:p w:rsidR="00006F01" w:rsidRPr="00B31C0C" w:rsidRDefault="00006F01" w:rsidP="00006F01">
      <w:r w:rsidRPr="00B31C0C">
        <w:lastRenderedPageBreak/>
        <w:t> </w:t>
      </w:r>
    </w:p>
    <w:tbl>
      <w:tblPr>
        <w:tblW w:w="0" w:type="auto"/>
        <w:tblInd w:w="856" w:type="dxa"/>
        <w:tblCellMar>
          <w:left w:w="0" w:type="dxa"/>
          <w:right w:w="0" w:type="dxa"/>
        </w:tblCellMar>
        <w:tblLook w:val="0000"/>
      </w:tblPr>
      <w:tblGrid>
        <w:gridCol w:w="752"/>
        <w:gridCol w:w="374"/>
        <w:gridCol w:w="400"/>
        <w:gridCol w:w="531"/>
        <w:gridCol w:w="2618"/>
        <w:gridCol w:w="561"/>
      </w:tblGrid>
      <w:tr w:rsidR="00006F01" w:rsidRPr="00B31C0C" w:rsidTr="00F11D6E">
        <w:trPr>
          <w:cantSplit/>
          <w:trHeight w:val="193"/>
        </w:trPr>
        <w:tc>
          <w:tcPr>
            <w:tcW w:w="752"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IRR</w:t>
            </w:r>
          </w:p>
        </w:tc>
        <w:tc>
          <w:tcPr>
            <w:tcW w:w="374"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w:t>
            </w:r>
          </w:p>
        </w:tc>
        <w:tc>
          <w:tcPr>
            <w:tcW w:w="400"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r</w:t>
            </w:r>
            <w:r w:rsidRPr="00B31C0C">
              <w:rPr>
                <w:vertAlign w:val="subscript"/>
              </w:rPr>
              <w:t>1</w:t>
            </w:r>
          </w:p>
        </w:tc>
        <w:tc>
          <w:tcPr>
            <w:tcW w:w="531"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w:t>
            </w:r>
          </w:p>
        </w:tc>
        <w:tc>
          <w:tcPr>
            <w:tcW w:w="2618"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NPV</w:t>
            </w:r>
            <w:r w:rsidRPr="00B31C0C">
              <w:rPr>
                <w:vertAlign w:val="subscript"/>
              </w:rPr>
              <w:t>1</w:t>
            </w:r>
            <w:r w:rsidRPr="00B31C0C">
              <w:t>(r</w:t>
            </w:r>
            <w:r w:rsidRPr="00B31C0C">
              <w:rPr>
                <w:vertAlign w:val="subscript"/>
              </w:rPr>
              <w:t>2</w:t>
            </w:r>
            <w:r w:rsidRPr="00B31C0C">
              <w:t xml:space="preserve"> – r</w:t>
            </w:r>
            <w:r w:rsidRPr="00B31C0C">
              <w:rPr>
                <w:vertAlign w:val="subscript"/>
              </w:rPr>
              <w:t>1</w:t>
            </w:r>
            <w:r w:rsidRPr="00B31C0C">
              <w:t>)</w:t>
            </w:r>
          </w:p>
        </w:tc>
        <w:tc>
          <w:tcPr>
            <w:tcW w:w="561" w:type="dxa"/>
            <w:vMerge w:val="restart"/>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(1)</w:t>
            </w:r>
          </w:p>
        </w:tc>
      </w:tr>
      <w:tr w:rsidR="00006F01" w:rsidRPr="00B31C0C" w:rsidTr="00F11D6E">
        <w:trPr>
          <w:cantSplit/>
          <w:trHeight w:val="193"/>
        </w:trPr>
        <w:tc>
          <w:tcPr>
            <w:tcW w:w="0" w:type="auto"/>
            <w:vMerge/>
            <w:tcBorders>
              <w:top w:val="nil"/>
              <w:left w:val="nil"/>
              <w:bottom w:val="nil"/>
              <w:right w:val="nil"/>
            </w:tcBorders>
            <w:vAlign w:val="center"/>
          </w:tcPr>
          <w:p w:rsidR="00006F01" w:rsidRPr="00B31C0C" w:rsidRDefault="00006F01" w:rsidP="00F11D6E"/>
        </w:tc>
        <w:tc>
          <w:tcPr>
            <w:tcW w:w="0" w:type="auto"/>
            <w:vMerge/>
            <w:tcBorders>
              <w:top w:val="nil"/>
              <w:left w:val="nil"/>
              <w:bottom w:val="nil"/>
              <w:right w:val="nil"/>
            </w:tcBorders>
            <w:vAlign w:val="center"/>
          </w:tcPr>
          <w:p w:rsidR="00006F01" w:rsidRPr="00B31C0C" w:rsidRDefault="00006F01" w:rsidP="00F11D6E"/>
        </w:tc>
        <w:tc>
          <w:tcPr>
            <w:tcW w:w="0" w:type="auto"/>
            <w:vMerge/>
            <w:tcBorders>
              <w:top w:val="nil"/>
              <w:left w:val="nil"/>
              <w:bottom w:val="nil"/>
              <w:right w:val="nil"/>
            </w:tcBorders>
            <w:vAlign w:val="center"/>
          </w:tcPr>
          <w:p w:rsidR="00006F01" w:rsidRPr="00B31C0C" w:rsidRDefault="00006F01" w:rsidP="00F11D6E"/>
        </w:tc>
        <w:tc>
          <w:tcPr>
            <w:tcW w:w="0" w:type="auto"/>
            <w:vMerge/>
            <w:tcBorders>
              <w:top w:val="nil"/>
              <w:left w:val="nil"/>
              <w:bottom w:val="nil"/>
              <w:right w:val="nil"/>
            </w:tcBorders>
            <w:vAlign w:val="center"/>
          </w:tcPr>
          <w:p w:rsidR="00006F01" w:rsidRPr="00B31C0C" w:rsidRDefault="00006F01" w:rsidP="00F11D6E"/>
        </w:tc>
        <w:tc>
          <w:tcPr>
            <w:tcW w:w="2618" w:type="dxa"/>
            <w:tcBorders>
              <w:top w:val="nil"/>
              <w:left w:val="nil"/>
              <w:bottom w:val="nil"/>
              <w:right w:val="nil"/>
            </w:tcBorders>
            <w:shd w:val="clear" w:color="auto" w:fill="auto"/>
            <w:tcMar>
              <w:top w:w="0" w:type="dxa"/>
              <w:left w:w="108" w:type="dxa"/>
              <w:bottom w:w="0" w:type="dxa"/>
              <w:right w:w="108" w:type="dxa"/>
            </w:tcMar>
            <w:vAlign w:val="center"/>
          </w:tcPr>
          <w:p w:rsidR="00006F01" w:rsidRPr="00B31C0C" w:rsidRDefault="00006F01" w:rsidP="00F11D6E">
            <w:pPr>
              <w:spacing w:before="100" w:beforeAutospacing="1" w:after="100" w:afterAutospacing="1"/>
              <w:jc w:val="center"/>
            </w:pPr>
            <w:r w:rsidRPr="00B31C0C">
              <w:t>│NPV</w:t>
            </w:r>
            <w:r w:rsidRPr="00B31C0C">
              <w:rPr>
                <w:vertAlign w:val="subscript"/>
              </w:rPr>
              <w:t>1</w:t>
            </w:r>
            <w:r w:rsidRPr="00B31C0C">
              <w:t>│+ │NPV</w:t>
            </w:r>
            <w:r w:rsidRPr="00B31C0C">
              <w:rPr>
                <w:vertAlign w:val="subscript"/>
              </w:rPr>
              <w:t>2</w:t>
            </w:r>
            <w:r w:rsidRPr="00B31C0C">
              <w:t>│</w:t>
            </w:r>
          </w:p>
        </w:tc>
        <w:tc>
          <w:tcPr>
            <w:tcW w:w="0" w:type="auto"/>
            <w:vMerge/>
            <w:tcBorders>
              <w:top w:val="nil"/>
              <w:left w:val="nil"/>
              <w:bottom w:val="nil"/>
              <w:right w:val="nil"/>
            </w:tcBorders>
            <w:vAlign w:val="center"/>
          </w:tcPr>
          <w:p w:rsidR="00006F01" w:rsidRPr="00B31C0C" w:rsidRDefault="00006F01" w:rsidP="00F11D6E"/>
        </w:tc>
      </w:tr>
    </w:tbl>
    <w:p w:rsidR="00006F01" w:rsidRPr="00B31C0C" w:rsidRDefault="00006F01" w:rsidP="00006F01">
      <w:r w:rsidRPr="00B31C0C">
        <w:t> </w:t>
      </w:r>
    </w:p>
    <w:p w:rsidR="00006F01" w:rsidRPr="00B31C0C" w:rsidRDefault="00006F01" w:rsidP="00006F01">
      <w:r w:rsidRPr="00B31C0C">
        <w:t>Phép tính tỷ suất hoàn vốn được sử dụng để tìm tỷ suất vốn hóa của các tài sản tương tự trên thị trường.</w:t>
      </w:r>
    </w:p>
    <w:p w:rsidR="00006F01" w:rsidRPr="00B31C0C" w:rsidRDefault="00006F01" w:rsidP="00006F01">
      <w:r w:rsidRPr="00B31C0C">
        <w:rPr>
          <w:b/>
          <w:bCs/>
          <w:u w:val="single"/>
        </w:rPr>
        <w:t xml:space="preserve">Ví dụ: </w:t>
      </w:r>
      <w:r w:rsidRPr="00B31C0C">
        <w:t>Một cửa hàng thương mại được mua với giá 196.476.273 đ. Trong 3 năm đầu đó mang lại lợi tức lần lượt là 50.000.000 đ, 52.000.000 đ, 51.000.000đ, và dự kiến lợi tức trong 2 năm tiếp theo là 53.000.000 đ, 54.000.000 đ. Hãy tính tỷ suất hoàn vốn nội bộ.</w:t>
      </w:r>
    </w:p>
    <w:tbl>
      <w:tblPr>
        <w:tblW w:w="0" w:type="auto"/>
        <w:tblInd w:w="2088" w:type="dxa"/>
        <w:tblCellMar>
          <w:left w:w="0" w:type="dxa"/>
          <w:right w:w="0" w:type="dxa"/>
        </w:tblCellMar>
        <w:tblLook w:val="0000"/>
      </w:tblPr>
      <w:tblGrid>
        <w:gridCol w:w="1620"/>
        <w:gridCol w:w="3060"/>
      </w:tblGrid>
      <w:tr w:rsidR="00006F01" w:rsidRPr="00B31C0C" w:rsidTr="00F11D6E">
        <w:tc>
          <w:tcPr>
            <w:tcW w:w="16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rPr>
                <w:b/>
                <w:bCs/>
              </w:rPr>
              <w:t>Năm</w:t>
            </w:r>
          </w:p>
        </w:tc>
        <w:tc>
          <w:tcPr>
            <w:tcW w:w="30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rPr>
                <w:b/>
                <w:bCs/>
              </w:rPr>
              <w:t>Thu nhập</w:t>
            </w:r>
          </w:p>
        </w:tc>
      </w:tr>
      <w:tr w:rsidR="00006F01" w:rsidRPr="00B31C0C" w:rsidTr="00F11D6E">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0</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right"/>
            </w:pPr>
            <w:r w:rsidRPr="00B31C0C">
              <w:t>-196.476.273 đ</w:t>
            </w:r>
          </w:p>
        </w:tc>
      </w:tr>
      <w:tr w:rsidR="00006F01" w:rsidRPr="00B31C0C" w:rsidTr="00F11D6E">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1</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right"/>
            </w:pPr>
            <w:r w:rsidRPr="00B31C0C">
              <w:t> 50.000.000 đ</w:t>
            </w:r>
          </w:p>
        </w:tc>
      </w:tr>
      <w:tr w:rsidR="00006F01" w:rsidRPr="00B31C0C" w:rsidTr="00F11D6E">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2</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right"/>
            </w:pPr>
            <w:r w:rsidRPr="00B31C0C">
              <w:t> 52.000.000 đ</w:t>
            </w:r>
          </w:p>
        </w:tc>
      </w:tr>
      <w:tr w:rsidR="00006F01" w:rsidRPr="00B31C0C" w:rsidTr="00F11D6E">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3</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right"/>
            </w:pPr>
            <w:r w:rsidRPr="00B31C0C">
              <w:t> 51.000.000 đ</w:t>
            </w:r>
          </w:p>
        </w:tc>
      </w:tr>
      <w:tr w:rsidR="00006F01" w:rsidRPr="00B31C0C" w:rsidTr="00F11D6E">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4</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right"/>
            </w:pPr>
            <w:r w:rsidRPr="00B31C0C">
              <w:t> 53.000.000 đ</w:t>
            </w:r>
          </w:p>
        </w:tc>
      </w:tr>
      <w:tr w:rsidR="00006F01" w:rsidRPr="00B31C0C" w:rsidTr="00F11D6E">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center"/>
            </w:pPr>
            <w:r w:rsidRPr="00B31C0C">
              <w:t>5</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06F01" w:rsidRPr="00B31C0C" w:rsidRDefault="00006F01" w:rsidP="00F11D6E">
            <w:pPr>
              <w:spacing w:before="100" w:beforeAutospacing="1" w:after="100" w:afterAutospacing="1"/>
              <w:jc w:val="right"/>
            </w:pPr>
            <w:r w:rsidRPr="00B31C0C">
              <w:t> 54.000.000 đ</w:t>
            </w:r>
          </w:p>
        </w:tc>
      </w:tr>
    </w:tbl>
    <w:p w:rsidR="00006F01" w:rsidRPr="00B31C0C" w:rsidRDefault="00006F01" w:rsidP="00006F01">
      <w:r w:rsidRPr="00B31C0C">
        <w:t>Với    r</w:t>
      </w:r>
      <w:r w:rsidRPr="00B31C0C">
        <w:rPr>
          <w:vertAlign w:val="subscript"/>
        </w:rPr>
        <w:t>1</w:t>
      </w:r>
      <w:r w:rsidRPr="00B31C0C">
        <w:t xml:space="preserve"> = 9% ; NPV</w:t>
      </w:r>
      <w:r w:rsidRPr="00B31C0C">
        <w:rPr>
          <w:vertAlign w:val="subscript"/>
        </w:rPr>
        <w:t>1</w:t>
      </w:r>
      <w:r w:rsidRPr="00B31C0C">
        <w:t xml:space="preserve"> = + 7.186836</w:t>
      </w:r>
      <w:r w:rsidRPr="00B31C0C">
        <w:br/>
        <w:t>                   r</w:t>
      </w:r>
      <w:r w:rsidRPr="00B31C0C">
        <w:rPr>
          <w:vertAlign w:val="subscript"/>
        </w:rPr>
        <w:t>2</w:t>
      </w:r>
      <w:r w:rsidRPr="00B31C0C">
        <w:t xml:space="preserve"> = 11% ; NPV</w:t>
      </w:r>
      <w:r w:rsidRPr="00B31C0C">
        <w:rPr>
          <w:vertAlign w:val="subscript"/>
        </w:rPr>
        <w:t>2</w:t>
      </w:r>
      <w:r w:rsidRPr="00B31C0C">
        <w:t xml:space="preserve"> = - 4.977.009</w:t>
      </w:r>
    </w:p>
    <w:p w:rsidR="00006F01" w:rsidRPr="00B31C0C" w:rsidRDefault="00006F01" w:rsidP="00006F01">
      <w:r w:rsidRPr="00B31C0C">
        <w:t>áp dụng công thức (1) nêu trên, tính ra r khoảng 10%</w:t>
      </w:r>
    </w:p>
    <w:p w:rsidR="00006F01" w:rsidRPr="00B31C0C" w:rsidRDefault="00006F01" w:rsidP="00006F01">
      <w:r>
        <w:rPr>
          <w:b/>
          <w:bCs/>
          <w:i/>
        </w:rPr>
        <w:t>3.</w:t>
      </w:r>
      <w:r w:rsidRPr="00B31C0C">
        <w:rPr>
          <w:b/>
          <w:bCs/>
          <w:i/>
        </w:rPr>
        <w:t>5.3. Xác định tỷ suất thu hồi vốn</w:t>
      </w:r>
      <w:r w:rsidRPr="00B31C0C">
        <w:rPr>
          <w:b/>
          <w:bCs/>
        </w:rPr>
        <w:t>:</w:t>
      </w:r>
      <w:r w:rsidRPr="00B31C0C">
        <w:t xml:space="preserve"> Là phần thu nhập </w:t>
      </w:r>
      <w:r>
        <w:t>từ</w:t>
      </w:r>
      <w:r w:rsidRPr="00B31C0C">
        <w:t xml:space="preserve"> đầu tư phát sinh trong khoảng thời gian kinh tế của tài sản trên đất.</w:t>
      </w:r>
    </w:p>
    <w:p w:rsidR="00006F01" w:rsidRPr="00B31C0C" w:rsidRDefault="00006F01" w:rsidP="00006F01">
      <w:r w:rsidRPr="00B31C0C">
        <w:rPr>
          <w:b/>
          <w:bCs/>
          <w:u w:val="single"/>
        </w:rPr>
        <w:t xml:space="preserve">Ví hóa: </w:t>
      </w:r>
      <w:r w:rsidRPr="00B31C0C">
        <w:t xml:space="preserve">Tổng số vốn phải thu hồi là 100%. Thời gian kinh tế còn </w:t>
      </w:r>
      <w:r>
        <w:t>lạ</w:t>
      </w:r>
      <w:r w:rsidRPr="00B31C0C">
        <w:t>i của toà nhà là 50 năm. Tính tỷ suất thu hồi vốn hàng năm.</w:t>
      </w:r>
    </w:p>
    <w:p w:rsidR="00006F01" w:rsidRPr="00B31C0C" w:rsidRDefault="00006F01" w:rsidP="00006F01">
      <w:r w:rsidRPr="00B31C0C">
        <w:lastRenderedPageBreak/>
        <w:t>Cách tính tỷ suất thu hồi vốn như sau:</w:t>
      </w:r>
    </w:p>
    <w:p w:rsidR="00006F01" w:rsidRPr="00B31C0C" w:rsidRDefault="00006F01" w:rsidP="00006F01">
      <w:r w:rsidRPr="00B31C0C">
        <w:t>Tỷ suất thu hồi vốn = (100/100)/50 = 2%/năm</w:t>
      </w:r>
    </w:p>
    <w:p w:rsidR="00006F01" w:rsidRPr="00B31C0C" w:rsidRDefault="00006F01" w:rsidP="00006F01">
      <w:r w:rsidRPr="00B31C0C">
        <w:rPr>
          <w:b/>
          <w:bCs/>
          <w:i/>
        </w:rPr>
        <w:t>5.4. Xác định tỷ suất thực tế</w:t>
      </w:r>
      <w:r w:rsidRPr="00B31C0C">
        <w:rPr>
          <w:b/>
          <w:bCs/>
        </w:rPr>
        <w:t xml:space="preserve"> </w:t>
      </w:r>
      <w:r w:rsidRPr="00B31C0C">
        <w:t>(được tính khi định giá cho các mục đích để thu thuế bất động sản): Là tỷ lệ phần trăm mức thuế thực đánh vào bất động sản so với giá thị trường của chính bất động sản đó, được tính bằng cách nhân tỷ số định giá (tỷ số chênh lệch giữa giá ước tính được trong định giá so với giá thị trường) với mức thuế suất theo quy định của Nhà nước tại mỗi thời k</w:t>
      </w:r>
      <w:r>
        <w:t>ỳ</w:t>
      </w:r>
      <w:r w:rsidRPr="00B31C0C">
        <w:t>.</w:t>
      </w:r>
    </w:p>
    <w:p w:rsidR="00006F01" w:rsidRPr="00B31C0C" w:rsidRDefault="00006F01" w:rsidP="00006F01">
      <w:r w:rsidRPr="00B31C0C">
        <w:rPr>
          <w:b/>
          <w:bCs/>
          <w:u w:val="single"/>
        </w:rPr>
        <w:t>Ví dụ:</w:t>
      </w:r>
      <w:r w:rsidRPr="00B31C0C">
        <w:t xml:space="preserve"> Một bất động sản được định giá để tính thuế bằng 60% giá thị trường của bất động sản đó. Mức thuế suất hiện hành là 2% giá trị bất động sản.</w:t>
      </w:r>
    </w:p>
    <w:p w:rsidR="00006F01" w:rsidRDefault="00006F01" w:rsidP="00006F01">
      <w:r w:rsidRPr="00B31C0C">
        <w:t>Tỷ suất thuế thực là: 0,6 x 0,02 = 0,012 hay 1,2%/năm</w:t>
      </w:r>
    </w:p>
    <w:p w:rsidR="00C40AEC" w:rsidRPr="00C40AEC" w:rsidRDefault="00C40AEC" w:rsidP="00EE386F">
      <w:pPr>
        <w:ind w:firstLine="0"/>
        <w:rPr>
          <w:b/>
        </w:rPr>
      </w:pPr>
      <w:r w:rsidRPr="00C40AEC">
        <w:rPr>
          <w:b/>
        </w:rPr>
        <w:t>4. Ưu, nhược điểm của phương pháp</w:t>
      </w:r>
    </w:p>
    <w:p w:rsidR="00C40AEC" w:rsidRPr="002F2B9A" w:rsidRDefault="00C40AEC" w:rsidP="00EE386F">
      <w:pPr>
        <w:rPr>
          <w:b/>
        </w:rPr>
      </w:pPr>
      <w:bookmarkStart w:id="5" w:name="_Toc56497875"/>
      <w:r w:rsidRPr="002F2B9A">
        <w:rPr>
          <w:b/>
        </w:rPr>
        <w:t>* Ưu điểm</w:t>
      </w:r>
    </w:p>
    <w:p w:rsidR="00C40AEC" w:rsidRPr="00B31C0C" w:rsidRDefault="00C40AEC" w:rsidP="00C40AEC">
      <w:r w:rsidRPr="00B31C0C">
        <w:tab/>
        <w:t>- Đơn giản, dễ hiểu, dễ áp dụng;</w:t>
      </w:r>
    </w:p>
    <w:p w:rsidR="00C40AEC" w:rsidRPr="00B31C0C" w:rsidRDefault="00C40AEC" w:rsidP="00C40AEC">
      <w:r w:rsidRPr="00B31C0C">
        <w:tab/>
        <w:t>- Có độ chính xác tương đối cao khi có những chứng cứ về các thương vụ có thể so sánh được để xác định thu nhập ròng.</w:t>
      </w:r>
    </w:p>
    <w:p w:rsidR="00C40AEC" w:rsidRPr="002F2B9A" w:rsidRDefault="00C40AEC" w:rsidP="00C40AEC">
      <w:pPr>
        <w:rPr>
          <w:b/>
          <w:bCs/>
        </w:rPr>
      </w:pPr>
      <w:r w:rsidRPr="002F2B9A">
        <w:rPr>
          <w:b/>
          <w:bCs/>
        </w:rPr>
        <w:t>* Hạn chế</w:t>
      </w:r>
    </w:p>
    <w:p w:rsidR="00C40AEC" w:rsidRPr="00B31C0C" w:rsidRDefault="00C40AEC" w:rsidP="00C40AEC">
      <w:r w:rsidRPr="00B31C0C">
        <w:tab/>
        <w:t>- Khi phân tích các thương vụ đầu tư cần phải điều chỉnh nhiều mặt;</w:t>
      </w:r>
    </w:p>
    <w:p w:rsidR="00C40AEC" w:rsidRPr="00B31C0C" w:rsidRDefault="00C40AEC" w:rsidP="00C40AEC">
      <w:r w:rsidRPr="00B31C0C">
        <w:tab/>
        <w:t>- Mang những thông  tin hạn chế về những giả định về dòng tiền trong tương lai;</w:t>
      </w:r>
    </w:p>
    <w:p w:rsidR="00C40AEC" w:rsidRPr="00B31C0C" w:rsidRDefault="00C40AEC" w:rsidP="00C40AEC">
      <w:r w:rsidRPr="00B31C0C">
        <w:tab/>
        <w:t>- Thường áp dụng một tỷ lệ vốn hóa cố định (trên thực tế, tỷ lệ này có những biến động theo thời gian)</w:t>
      </w:r>
    </w:p>
    <w:p w:rsidR="00C63A3A" w:rsidRDefault="00C63A3A" w:rsidP="001F0718">
      <w:pPr>
        <w:pStyle w:val="11"/>
        <w:numPr>
          <w:ilvl w:val="0"/>
          <w:numId w:val="0"/>
        </w:numPr>
        <w:spacing w:line="360" w:lineRule="auto"/>
        <w:rPr>
          <w:i w:val="0"/>
        </w:rPr>
      </w:pPr>
    </w:p>
    <w:p w:rsidR="00987813" w:rsidRDefault="00987813" w:rsidP="001F0718">
      <w:pPr>
        <w:pStyle w:val="11"/>
        <w:numPr>
          <w:ilvl w:val="0"/>
          <w:numId w:val="0"/>
        </w:numPr>
        <w:spacing w:line="360" w:lineRule="auto"/>
        <w:rPr>
          <w:i w:val="0"/>
        </w:rPr>
      </w:pPr>
    </w:p>
    <w:p w:rsidR="00987813" w:rsidRDefault="00987813" w:rsidP="001F0718">
      <w:pPr>
        <w:pStyle w:val="11"/>
        <w:numPr>
          <w:ilvl w:val="0"/>
          <w:numId w:val="0"/>
        </w:numPr>
        <w:spacing w:line="360" w:lineRule="auto"/>
        <w:rPr>
          <w:i w:val="0"/>
        </w:rPr>
      </w:pPr>
    </w:p>
    <w:p w:rsidR="00987813" w:rsidRDefault="00987813" w:rsidP="001F0718">
      <w:pPr>
        <w:pStyle w:val="11"/>
        <w:numPr>
          <w:ilvl w:val="0"/>
          <w:numId w:val="0"/>
        </w:numPr>
        <w:spacing w:line="360" w:lineRule="auto"/>
        <w:rPr>
          <w:i w:val="0"/>
        </w:rPr>
      </w:pPr>
    </w:p>
    <w:p w:rsidR="00987813" w:rsidRDefault="00987813" w:rsidP="001F0718">
      <w:pPr>
        <w:pStyle w:val="11"/>
        <w:numPr>
          <w:ilvl w:val="0"/>
          <w:numId w:val="0"/>
        </w:numPr>
        <w:spacing w:line="360" w:lineRule="auto"/>
        <w:rPr>
          <w:i w:val="0"/>
        </w:rPr>
      </w:pPr>
    </w:p>
    <w:p w:rsidR="00C63A3A" w:rsidRDefault="00C63A3A" w:rsidP="001F0718">
      <w:pPr>
        <w:pStyle w:val="11"/>
        <w:numPr>
          <w:ilvl w:val="0"/>
          <w:numId w:val="0"/>
        </w:numPr>
        <w:spacing w:line="360" w:lineRule="auto"/>
        <w:rPr>
          <w:i w:val="0"/>
        </w:rPr>
      </w:pPr>
    </w:p>
    <w:p w:rsidR="00C63A3A" w:rsidRDefault="00C63A3A" w:rsidP="001F0718">
      <w:pPr>
        <w:pStyle w:val="11"/>
        <w:numPr>
          <w:ilvl w:val="0"/>
          <w:numId w:val="0"/>
        </w:numPr>
        <w:spacing w:line="360" w:lineRule="auto"/>
        <w:rPr>
          <w:i w:val="0"/>
        </w:rPr>
      </w:pPr>
    </w:p>
    <w:p w:rsidR="004E586C" w:rsidRDefault="004E586C" w:rsidP="001F0718">
      <w:pPr>
        <w:pStyle w:val="11"/>
        <w:numPr>
          <w:ilvl w:val="0"/>
          <w:numId w:val="0"/>
        </w:numPr>
        <w:spacing w:line="360" w:lineRule="auto"/>
        <w:rPr>
          <w:i w:val="0"/>
        </w:rPr>
      </w:pPr>
    </w:p>
    <w:p w:rsidR="001F0718" w:rsidRPr="006947B7" w:rsidRDefault="001F0718" w:rsidP="001F0718">
      <w:pPr>
        <w:pStyle w:val="11"/>
        <w:numPr>
          <w:ilvl w:val="0"/>
          <w:numId w:val="0"/>
        </w:numPr>
        <w:spacing w:line="360" w:lineRule="auto"/>
        <w:jc w:val="center"/>
        <w:rPr>
          <w:i w:val="0"/>
        </w:rPr>
      </w:pPr>
      <w:r w:rsidRPr="006947B7">
        <w:rPr>
          <w:i w:val="0"/>
        </w:rPr>
        <w:t>TÀI LIỆU THAM KHẢO</w:t>
      </w:r>
      <w:bookmarkEnd w:id="5"/>
    </w:p>
    <w:p w:rsidR="001F0718" w:rsidRDefault="001F0718" w:rsidP="001F0718">
      <w:pPr>
        <w:pStyle w:val="22"/>
        <w:spacing w:before="0"/>
        <w:rPr>
          <w:b w:val="0"/>
          <w:szCs w:val="26"/>
          <w:lang w:val="en-US"/>
        </w:rPr>
      </w:pPr>
    </w:p>
    <w:tbl>
      <w:tblPr>
        <w:tblW w:w="0" w:type="auto"/>
        <w:jc w:val="right"/>
        <w:tblLook w:val="01E0"/>
      </w:tblPr>
      <w:tblGrid>
        <w:gridCol w:w="9018"/>
        <w:gridCol w:w="270"/>
      </w:tblGrid>
      <w:tr w:rsidR="00E53A3A" w:rsidRPr="00985D61" w:rsidTr="00E53A3A">
        <w:trPr>
          <w:jc w:val="right"/>
        </w:trPr>
        <w:tc>
          <w:tcPr>
            <w:tcW w:w="9018" w:type="dxa"/>
            <w:shd w:val="clear" w:color="auto" w:fill="auto"/>
          </w:tcPr>
          <w:p w:rsidR="00E53A3A" w:rsidRPr="00985D61" w:rsidRDefault="00E53A3A" w:rsidP="00EC4612">
            <w:pPr>
              <w:spacing w:line="360" w:lineRule="exact"/>
              <w:rPr>
                <w:bCs/>
                <w:iCs/>
                <w:color w:val="000000"/>
              </w:rPr>
            </w:pPr>
            <w:r w:rsidRPr="00985D61">
              <w:t>[1]. TS</w:t>
            </w:r>
            <w:r w:rsidRPr="00985D61">
              <w:rPr>
                <w:bCs/>
                <w:iCs/>
                <w:color w:val="000000"/>
              </w:rPr>
              <w:t xml:space="preserve"> Hồ Thị Lam Trà - Th.S</w:t>
            </w:r>
            <w:r w:rsidRPr="00985D61">
              <w:rPr>
                <w:bCs/>
                <w:iCs/>
                <w:color w:val="000000"/>
                <w:lang w:val="vi-VN"/>
              </w:rPr>
              <w:t xml:space="preserve"> </w:t>
            </w:r>
            <w:r w:rsidRPr="00985D61">
              <w:rPr>
                <w:bCs/>
                <w:iCs/>
                <w:color w:val="000000"/>
              </w:rPr>
              <w:t>Nguyễn Văn Quân (2006),</w:t>
            </w:r>
            <w:r w:rsidRPr="00985D61">
              <w:t xml:space="preserve"> </w:t>
            </w:r>
            <w:r w:rsidRPr="00985D61">
              <w:rPr>
                <w:bCs/>
                <w:i/>
                <w:iCs/>
                <w:color w:val="000000"/>
              </w:rPr>
              <w:t>Giáo trình định giá đất</w:t>
            </w:r>
            <w:r w:rsidRPr="00985D61">
              <w:rPr>
                <w:bCs/>
                <w:iCs/>
                <w:color w:val="000000"/>
              </w:rPr>
              <w:t xml:space="preserve"> , Nhà xuất bản Nông nghiệp</w:t>
            </w:r>
          </w:p>
          <w:p w:rsidR="00E53A3A" w:rsidRPr="00985D61" w:rsidRDefault="00E53A3A" w:rsidP="00EC4612">
            <w:pPr>
              <w:rPr>
                <w:i/>
              </w:rPr>
            </w:pPr>
            <w:r w:rsidRPr="00985D61">
              <w:t xml:space="preserve"> [3]. Th.S Đặng Thị Hoàng Nga (2014), </w:t>
            </w:r>
            <w:r w:rsidRPr="00985D61">
              <w:rPr>
                <w:i/>
              </w:rPr>
              <w:t>Bài giảng tín chỉ</w:t>
            </w:r>
            <w:r w:rsidRPr="00985D61">
              <w:t xml:space="preserve"> </w:t>
            </w:r>
            <w:r w:rsidRPr="00985D61">
              <w:rPr>
                <w:i/>
              </w:rPr>
              <w:t xml:space="preserve">định giá bất động sản, </w:t>
            </w:r>
          </w:p>
          <w:p w:rsidR="00E53A3A" w:rsidRPr="00985D61" w:rsidRDefault="00E53A3A" w:rsidP="00EC4612">
            <w:pPr>
              <w:rPr>
                <w:iCs/>
              </w:rPr>
            </w:pPr>
            <w:r w:rsidRPr="00985D61">
              <w:t>[3].</w:t>
            </w:r>
            <w:r w:rsidR="00985D61">
              <w:t xml:space="preserve"> Chính phủ (2014), </w:t>
            </w:r>
            <w:r w:rsidRPr="00985D61">
              <w:rPr>
                <w:i/>
                <w:iCs/>
                <w:lang w:val="vi-VN"/>
              </w:rPr>
              <w:t>Nghị định số 44/2014/NĐ-CP ngày 15 tháng 5 năm 2014 của Chính phủ quy định về giá đất</w:t>
            </w:r>
            <w:r w:rsidR="00985D61">
              <w:rPr>
                <w:i/>
                <w:iCs/>
                <w:lang w:val="en-US"/>
              </w:rPr>
              <w:t xml:space="preserve"> </w:t>
            </w:r>
            <w:r w:rsidRPr="00985D61">
              <w:rPr>
                <w:iCs/>
              </w:rPr>
              <w:t>.</w:t>
            </w:r>
          </w:p>
          <w:p w:rsidR="00E53A3A" w:rsidRPr="00985D61" w:rsidRDefault="00E53A3A" w:rsidP="00EC4612">
            <w:pPr>
              <w:rPr>
                <w:i/>
              </w:rPr>
            </w:pPr>
            <w:r w:rsidRPr="00985D61">
              <w:rPr>
                <w:iCs/>
              </w:rPr>
              <w:t>[4].</w:t>
            </w:r>
            <w:r w:rsidR="00985D61">
              <w:rPr>
                <w:iCs/>
              </w:rPr>
              <w:t xml:space="preserve"> Bộ Tài nguyên và Môi trường (2014)</w:t>
            </w:r>
            <w:r w:rsidRPr="00985D61">
              <w:rPr>
                <w:iCs/>
              </w:rPr>
              <w:t xml:space="preserve"> </w:t>
            </w:r>
            <w:r w:rsidRPr="00985D61">
              <w:rPr>
                <w:bCs/>
                <w:i/>
                <w:iCs/>
                <w:lang w:val="vi-VN"/>
              </w:rPr>
              <w:t xml:space="preserve">Thông tư số </w:t>
            </w:r>
            <w:r w:rsidRPr="00985D61">
              <w:rPr>
                <w:i/>
                <w:lang w:val="vi-VN"/>
              </w:rPr>
              <w:t xml:space="preserve">36/2014/TT-BTNMT </w:t>
            </w:r>
            <w:r w:rsidRPr="00985D61">
              <w:rPr>
                <w:i/>
                <w:iCs/>
                <w:lang w:val="vi-VN"/>
              </w:rPr>
              <w:t>ngày 30 tháng 6 năm 2014 của Bộ Tài nguyên và Môi trường hướng dẫn Nghị định số 44/2014/NĐ-CP.</w:t>
            </w:r>
          </w:p>
          <w:p w:rsidR="00E53A3A" w:rsidRPr="00985D61" w:rsidRDefault="00E53A3A" w:rsidP="00EC4612">
            <w:pPr>
              <w:ind w:firstLine="360"/>
            </w:pPr>
            <w:r w:rsidRPr="00985D61">
              <w:t>.</w:t>
            </w:r>
            <w:r w:rsidRPr="00985D61">
              <w:rPr>
                <w:bCs/>
              </w:rPr>
              <w:tab/>
            </w:r>
          </w:p>
        </w:tc>
        <w:tc>
          <w:tcPr>
            <w:tcW w:w="270" w:type="dxa"/>
            <w:shd w:val="clear" w:color="auto" w:fill="auto"/>
          </w:tcPr>
          <w:p w:rsidR="00E53A3A" w:rsidRPr="00985D61" w:rsidRDefault="00E53A3A" w:rsidP="00EC4612">
            <w:pPr>
              <w:pStyle w:val="Default"/>
              <w:spacing w:before="120"/>
              <w:ind w:left="260" w:hanging="260"/>
              <w:rPr>
                <w:sz w:val="28"/>
                <w:szCs w:val="28"/>
              </w:rPr>
            </w:pPr>
          </w:p>
        </w:tc>
      </w:tr>
    </w:tbl>
    <w:p w:rsidR="001F0718" w:rsidRDefault="001F0718" w:rsidP="001F0718">
      <w:pPr>
        <w:pStyle w:val="Heading1"/>
        <w:widowControl w:val="0"/>
        <w:jc w:val="both"/>
        <w:rPr>
          <w:b w:val="0"/>
          <w:bCs/>
          <w:sz w:val="26"/>
          <w:szCs w:val="26"/>
        </w:rPr>
      </w:pPr>
      <w:r>
        <w:rPr>
          <w:sz w:val="26"/>
          <w:szCs w:val="26"/>
        </w:rPr>
        <w:br w:type="page"/>
      </w:r>
    </w:p>
    <w:p w:rsidR="001F0718" w:rsidRPr="00667D83" w:rsidRDefault="001F0718" w:rsidP="001F0718">
      <w:pPr>
        <w:pStyle w:val="11"/>
        <w:numPr>
          <w:ilvl w:val="0"/>
          <w:numId w:val="0"/>
        </w:numPr>
        <w:spacing w:line="360" w:lineRule="auto"/>
        <w:ind w:left="720" w:hanging="720"/>
      </w:pPr>
    </w:p>
    <w:p w:rsidR="001F0718" w:rsidRPr="00CE5EBD" w:rsidRDefault="001F0718" w:rsidP="001F0718">
      <w:pPr>
        <w:widowControl w:val="0"/>
        <w:ind w:firstLine="567"/>
        <w:rPr>
          <w:color w:val="FF0000"/>
          <w:spacing w:val="-4"/>
          <w:sz w:val="26"/>
          <w:szCs w:val="26"/>
          <w:lang w:val="vi-VN"/>
        </w:rPr>
      </w:pPr>
    </w:p>
    <w:p w:rsidR="001F0718" w:rsidRPr="00CE5EBD" w:rsidRDefault="001F0718" w:rsidP="001F0718">
      <w:pPr>
        <w:widowControl w:val="0"/>
        <w:ind w:firstLine="567"/>
        <w:rPr>
          <w:color w:val="FF0000"/>
          <w:spacing w:val="-4"/>
          <w:sz w:val="26"/>
          <w:szCs w:val="26"/>
          <w:lang w:val="vi-VN"/>
        </w:rPr>
      </w:pPr>
    </w:p>
    <w:p w:rsidR="001F0718" w:rsidRPr="00CE5EBD" w:rsidRDefault="001F0718" w:rsidP="001F0718">
      <w:pPr>
        <w:widowControl w:val="0"/>
        <w:ind w:firstLine="567"/>
        <w:rPr>
          <w:color w:val="FF0000"/>
          <w:spacing w:val="-4"/>
          <w:sz w:val="26"/>
          <w:szCs w:val="26"/>
          <w:lang w:val="vi-VN"/>
        </w:rPr>
      </w:pPr>
    </w:p>
    <w:p w:rsidR="001F0718" w:rsidRPr="00CE5EBD" w:rsidRDefault="001F0718" w:rsidP="001F0718">
      <w:pPr>
        <w:widowControl w:val="0"/>
        <w:ind w:firstLine="567"/>
        <w:rPr>
          <w:color w:val="FF0000"/>
          <w:spacing w:val="-4"/>
          <w:sz w:val="26"/>
          <w:szCs w:val="26"/>
          <w:lang w:val="vi-VN"/>
        </w:rPr>
      </w:pPr>
    </w:p>
    <w:p w:rsidR="001F0718" w:rsidRDefault="001F0718" w:rsidP="001F0718">
      <w:pPr>
        <w:widowControl w:val="0"/>
        <w:rPr>
          <w:color w:val="FF0000"/>
          <w:spacing w:val="-4"/>
          <w:sz w:val="26"/>
          <w:szCs w:val="26"/>
        </w:rPr>
      </w:pPr>
    </w:p>
    <w:p w:rsidR="001F0718" w:rsidRDefault="001F0718" w:rsidP="001F0718">
      <w:pPr>
        <w:widowControl w:val="0"/>
        <w:rPr>
          <w:color w:val="FF0000"/>
          <w:spacing w:val="-4"/>
          <w:sz w:val="26"/>
          <w:szCs w:val="26"/>
        </w:rPr>
      </w:pPr>
    </w:p>
    <w:p w:rsidR="001F0718" w:rsidRDefault="001F0718" w:rsidP="001F0718">
      <w:pPr>
        <w:widowControl w:val="0"/>
        <w:rPr>
          <w:color w:val="FF0000"/>
          <w:spacing w:val="-4"/>
          <w:sz w:val="26"/>
          <w:szCs w:val="26"/>
        </w:rPr>
      </w:pPr>
    </w:p>
    <w:p w:rsidR="001F0718" w:rsidRDefault="001F0718" w:rsidP="001F0718">
      <w:pPr>
        <w:widowControl w:val="0"/>
        <w:rPr>
          <w:color w:val="FF0000"/>
          <w:spacing w:val="-4"/>
          <w:sz w:val="26"/>
          <w:szCs w:val="26"/>
        </w:rPr>
      </w:pPr>
    </w:p>
    <w:p w:rsidR="001F0718" w:rsidRDefault="00F955A8" w:rsidP="00F955A8">
      <w:pPr>
        <w:widowControl w:val="0"/>
        <w:tabs>
          <w:tab w:val="left" w:pos="6039"/>
        </w:tabs>
        <w:rPr>
          <w:color w:val="FF0000"/>
          <w:spacing w:val="-4"/>
          <w:sz w:val="26"/>
          <w:szCs w:val="26"/>
        </w:rPr>
      </w:pPr>
      <w:r>
        <w:rPr>
          <w:color w:val="FF0000"/>
          <w:spacing w:val="-4"/>
          <w:sz w:val="26"/>
          <w:szCs w:val="26"/>
        </w:rPr>
        <w:tab/>
      </w:r>
    </w:p>
    <w:p w:rsidR="001F0718" w:rsidRDefault="001F0718" w:rsidP="001F0718">
      <w:pPr>
        <w:widowControl w:val="0"/>
        <w:ind w:firstLine="0"/>
        <w:rPr>
          <w:color w:val="FF0000"/>
          <w:spacing w:val="-4"/>
          <w:sz w:val="26"/>
          <w:szCs w:val="26"/>
        </w:rPr>
      </w:pPr>
    </w:p>
    <w:bookmarkEnd w:id="4"/>
    <w:p w:rsidR="001F0718" w:rsidRDefault="001F0718" w:rsidP="001F0718">
      <w:pPr>
        <w:widowControl w:val="0"/>
        <w:rPr>
          <w:color w:val="FF0000"/>
          <w:spacing w:val="-4"/>
          <w:sz w:val="26"/>
          <w:szCs w:val="26"/>
        </w:rPr>
      </w:pPr>
    </w:p>
    <w:p w:rsidR="00854594" w:rsidRDefault="00854594"/>
    <w:sectPr w:rsidR="00854594" w:rsidSect="005D01DA">
      <w:footerReference w:type="default" r:id="rId8"/>
      <w:footerReference w:type="first" r:id="rId9"/>
      <w:pgSz w:w="11907" w:h="16840" w:code="9"/>
      <w:pgMar w:top="1701" w:right="1134" w:bottom="1701" w:left="1701" w:header="0" w:footer="0" w:gutter="0"/>
      <w:pgNumType w:start="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9AC" w:rsidRDefault="00B279AC" w:rsidP="00F93B99">
      <w:pPr>
        <w:spacing w:after="0" w:line="240" w:lineRule="auto"/>
      </w:pPr>
      <w:r>
        <w:separator/>
      </w:r>
    </w:p>
  </w:endnote>
  <w:endnote w:type="continuationSeparator" w:id="1">
    <w:p w:rsidR="00B279AC" w:rsidRDefault="00B279AC" w:rsidP="00F93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BC" w:rsidRDefault="00B279AC" w:rsidP="0099780A">
    <w:pPr>
      <w:pStyle w:val="BodyTextIndent"/>
    </w:pPr>
  </w:p>
  <w:p w:rsidR="00635ABC" w:rsidRDefault="00B279AC" w:rsidP="0099780A">
    <w:pPr>
      <w:pStyle w:val="BodyTextInden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3D" w:rsidRDefault="00B279AC" w:rsidP="00F40515">
    <w:pPr>
      <w:pStyle w:val="BodyTextIndent"/>
      <w:jc w:val="center"/>
    </w:pPr>
  </w:p>
  <w:p w:rsidR="00DD013D" w:rsidRDefault="00B279AC" w:rsidP="0099780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14" w:rsidRDefault="00B279AC">
    <w:pPr>
      <w:pStyle w:val="Footer"/>
      <w:jc w:val="center"/>
    </w:pPr>
  </w:p>
  <w:p w:rsidR="00DD013D" w:rsidRDefault="00B279AC" w:rsidP="009978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9AC" w:rsidRDefault="00B279AC" w:rsidP="00F93B99">
      <w:pPr>
        <w:spacing w:after="0" w:line="240" w:lineRule="auto"/>
      </w:pPr>
      <w:r>
        <w:separator/>
      </w:r>
    </w:p>
  </w:footnote>
  <w:footnote w:type="continuationSeparator" w:id="1">
    <w:p w:rsidR="00B279AC" w:rsidRDefault="00B279AC" w:rsidP="00F93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30FE"/>
    <w:multiLevelType w:val="multilevel"/>
    <w:tmpl w:val="109459CE"/>
    <w:lvl w:ilvl="0">
      <w:start w:val="1"/>
      <w:numFmt w:val="decimal"/>
      <w:lvlText w:val="%1."/>
      <w:lvlJc w:val="left"/>
      <w:pPr>
        <w:ind w:left="720" w:hanging="360"/>
      </w:pPr>
      <w:rPr>
        <w:rFonts w:hint="default"/>
        <w:b w:val="0"/>
      </w:rPr>
    </w:lvl>
    <w:lvl w:ilvl="1">
      <w:start w:val="1"/>
      <w:numFmt w:val="decimal"/>
      <w:pStyle w:val="1"/>
      <w:isLgl/>
      <w:lvlText w:val="%1.%2."/>
      <w:lvlJc w:val="left"/>
      <w:pPr>
        <w:ind w:left="720" w:hanging="360"/>
      </w:pPr>
      <w:rPr>
        <w:rFonts w:hint="default"/>
      </w:rPr>
    </w:lvl>
    <w:lvl w:ilvl="2">
      <w:start w:val="1"/>
      <w:numFmt w:val="decimal"/>
      <w:pStyle w:val="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6CC2A2F"/>
    <w:multiLevelType w:val="hybridMultilevel"/>
    <w:tmpl w:val="DFAA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72833"/>
    <w:multiLevelType w:val="hybridMultilevel"/>
    <w:tmpl w:val="7F404C1A"/>
    <w:lvl w:ilvl="0" w:tplc="1E42109C">
      <w:start w:val="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
    <w:nsid w:val="49DB15F2"/>
    <w:multiLevelType w:val="multilevel"/>
    <w:tmpl w:val="1480DDA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BAA3603"/>
    <w:multiLevelType w:val="hybridMultilevel"/>
    <w:tmpl w:val="786E79AE"/>
    <w:lvl w:ilvl="0" w:tplc="4DD66F2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843527"/>
    <w:multiLevelType w:val="multilevel"/>
    <w:tmpl w:val="3E3CCD60"/>
    <w:lvl w:ilvl="0">
      <w:start w:val="1"/>
      <w:numFmt w:val="decimal"/>
      <w:lvlText w:val="%1."/>
      <w:lvlJc w:val="left"/>
      <w:pPr>
        <w:ind w:left="360" w:hanging="360"/>
      </w:pPr>
    </w:lvl>
    <w:lvl w:ilvl="1">
      <w:start w:val="1"/>
      <w:numFmt w:val="decimal"/>
      <w:pStyle w:val="Heading2"/>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27129EF"/>
    <w:multiLevelType w:val="hybridMultilevel"/>
    <w:tmpl w:val="B298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5"/>
    <w:lvlOverride w:ilvl="0">
      <w:startOverride w:val="4"/>
    </w:lvlOverride>
  </w:num>
  <w:num w:numId="5">
    <w:abstractNumId w:val="1"/>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1F0718"/>
    <w:rsid w:val="00006F01"/>
    <w:rsid w:val="0019550A"/>
    <w:rsid w:val="001F0718"/>
    <w:rsid w:val="00257961"/>
    <w:rsid w:val="00265F5C"/>
    <w:rsid w:val="002B2AD5"/>
    <w:rsid w:val="002C20F9"/>
    <w:rsid w:val="00343D3D"/>
    <w:rsid w:val="0035654E"/>
    <w:rsid w:val="003E12AC"/>
    <w:rsid w:val="004E586C"/>
    <w:rsid w:val="00501C37"/>
    <w:rsid w:val="00550C9B"/>
    <w:rsid w:val="0060315D"/>
    <w:rsid w:val="0073574E"/>
    <w:rsid w:val="00783A2B"/>
    <w:rsid w:val="00795685"/>
    <w:rsid w:val="008117B5"/>
    <w:rsid w:val="00813516"/>
    <w:rsid w:val="00853FE7"/>
    <w:rsid w:val="00854594"/>
    <w:rsid w:val="008C694B"/>
    <w:rsid w:val="009106AB"/>
    <w:rsid w:val="009130AB"/>
    <w:rsid w:val="00977478"/>
    <w:rsid w:val="00985D61"/>
    <w:rsid w:val="00987813"/>
    <w:rsid w:val="009977F6"/>
    <w:rsid w:val="00A621C0"/>
    <w:rsid w:val="00AC367E"/>
    <w:rsid w:val="00B075BE"/>
    <w:rsid w:val="00B279AC"/>
    <w:rsid w:val="00BF6DC4"/>
    <w:rsid w:val="00C40AEC"/>
    <w:rsid w:val="00C63A3A"/>
    <w:rsid w:val="00CB7C6F"/>
    <w:rsid w:val="00CD4338"/>
    <w:rsid w:val="00D17F1B"/>
    <w:rsid w:val="00D32C33"/>
    <w:rsid w:val="00D7752C"/>
    <w:rsid w:val="00E26FC6"/>
    <w:rsid w:val="00E53A3A"/>
    <w:rsid w:val="00EE386F"/>
    <w:rsid w:val="00F21F35"/>
    <w:rsid w:val="00F53697"/>
    <w:rsid w:val="00F93B99"/>
    <w:rsid w:val="00F955A8"/>
    <w:rsid w:val="00FA2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18"/>
    <w:pPr>
      <w:spacing w:after="120" w:line="360" w:lineRule="auto"/>
      <w:ind w:firstLine="720"/>
      <w:jc w:val="both"/>
    </w:pPr>
    <w:rPr>
      <w:rFonts w:ascii="Times New Roman" w:eastAsia="Times New Roman" w:hAnsi="Times New Roman" w:cs="Times New Roman"/>
      <w:sz w:val="28"/>
      <w:szCs w:val="28"/>
      <w:lang w:val="nl-NL"/>
    </w:rPr>
  </w:style>
  <w:style w:type="paragraph" w:styleId="Heading1">
    <w:name w:val="heading 1"/>
    <w:basedOn w:val="Normal"/>
    <w:next w:val="Normal"/>
    <w:link w:val="Heading1Char"/>
    <w:qFormat/>
    <w:rsid w:val="001F0718"/>
    <w:pPr>
      <w:keepNext/>
      <w:spacing w:after="240"/>
      <w:ind w:firstLine="0"/>
      <w:jc w:val="center"/>
      <w:outlineLvl w:val="0"/>
    </w:pPr>
    <w:rPr>
      <w:b/>
      <w:kern w:val="32"/>
      <w:szCs w:val="20"/>
    </w:rPr>
  </w:style>
  <w:style w:type="paragraph" w:styleId="Heading2">
    <w:name w:val="heading 2"/>
    <w:basedOn w:val="Heading3"/>
    <w:next w:val="Normal"/>
    <w:link w:val="Heading2Char"/>
    <w:uiPriority w:val="9"/>
    <w:qFormat/>
    <w:rsid w:val="001F0718"/>
    <w:pPr>
      <w:keepLines w:val="0"/>
      <w:numPr>
        <w:ilvl w:val="1"/>
        <w:numId w:val="1"/>
      </w:numPr>
      <w:spacing w:before="80" w:line="288" w:lineRule="auto"/>
      <w:outlineLvl w:val="1"/>
    </w:pPr>
    <w:rPr>
      <w:rFonts w:ascii="Times New Roman" w:eastAsia="Times New Roman" w:hAnsi="Times New Roman" w:cs="Times New Roman"/>
      <w:bCs w:val="0"/>
      <w:szCs w:val="20"/>
      <w:lang w:eastAsia="zh-CN"/>
    </w:rPr>
  </w:style>
  <w:style w:type="paragraph" w:styleId="Heading3">
    <w:name w:val="heading 3"/>
    <w:basedOn w:val="Normal"/>
    <w:next w:val="Normal"/>
    <w:link w:val="Heading3Char"/>
    <w:uiPriority w:val="9"/>
    <w:semiHidden/>
    <w:unhideWhenUsed/>
    <w:qFormat/>
    <w:rsid w:val="001F07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718"/>
    <w:rPr>
      <w:rFonts w:ascii="Times New Roman" w:eastAsia="Times New Roman" w:hAnsi="Times New Roman" w:cs="Times New Roman"/>
      <w:b/>
      <w:kern w:val="32"/>
      <w:sz w:val="28"/>
      <w:szCs w:val="20"/>
      <w:lang w:val="nl-NL"/>
    </w:rPr>
  </w:style>
  <w:style w:type="character" w:customStyle="1" w:styleId="Heading2Char">
    <w:name w:val="Heading 2 Char"/>
    <w:basedOn w:val="DefaultParagraphFont"/>
    <w:link w:val="Heading2"/>
    <w:uiPriority w:val="9"/>
    <w:rsid w:val="001F0718"/>
    <w:rPr>
      <w:rFonts w:ascii="Times New Roman" w:eastAsia="Times New Roman" w:hAnsi="Times New Roman" w:cs="Times New Roman"/>
      <w:b/>
      <w:color w:val="4F81BD" w:themeColor="accent1"/>
      <w:sz w:val="28"/>
      <w:szCs w:val="20"/>
      <w:lang w:val="nl-NL" w:eastAsia="zh-CN"/>
    </w:rPr>
  </w:style>
  <w:style w:type="paragraph" w:styleId="Footer">
    <w:name w:val="footer"/>
    <w:basedOn w:val="Normal"/>
    <w:link w:val="FooterChar"/>
    <w:uiPriority w:val="99"/>
    <w:rsid w:val="001F0718"/>
    <w:pPr>
      <w:tabs>
        <w:tab w:val="center" w:pos="4320"/>
        <w:tab w:val="right" w:pos="8640"/>
      </w:tabs>
      <w:spacing w:line="264" w:lineRule="auto"/>
    </w:pPr>
    <w:rPr>
      <w:rFonts w:ascii=".VnTime" w:hAnsi=".VnTime"/>
      <w:szCs w:val="20"/>
    </w:rPr>
  </w:style>
  <w:style w:type="character" w:customStyle="1" w:styleId="FooterChar">
    <w:name w:val="Footer Char"/>
    <w:basedOn w:val="DefaultParagraphFont"/>
    <w:link w:val="Footer"/>
    <w:uiPriority w:val="99"/>
    <w:rsid w:val="001F0718"/>
    <w:rPr>
      <w:rFonts w:ascii=".VnTime" w:eastAsia="Times New Roman" w:hAnsi=".VnTime" w:cs="Times New Roman"/>
      <w:sz w:val="28"/>
      <w:szCs w:val="20"/>
      <w:lang w:val="nl-NL"/>
    </w:rPr>
  </w:style>
  <w:style w:type="paragraph" w:styleId="BodyTextIndent">
    <w:name w:val="Body Text Indent"/>
    <w:basedOn w:val="Normal"/>
    <w:link w:val="BodyTextIndentChar"/>
    <w:rsid w:val="001F0718"/>
    <w:rPr>
      <w:rFonts w:ascii=".VnTime" w:hAnsi=".VnTime"/>
      <w:spacing w:val="4"/>
      <w:szCs w:val="20"/>
    </w:rPr>
  </w:style>
  <w:style w:type="character" w:customStyle="1" w:styleId="BodyTextIndentChar">
    <w:name w:val="Body Text Indent Char"/>
    <w:basedOn w:val="DefaultParagraphFont"/>
    <w:link w:val="BodyTextIndent"/>
    <w:rsid w:val="001F0718"/>
    <w:rPr>
      <w:rFonts w:ascii=".VnTime" w:eastAsia="Times New Roman" w:hAnsi=".VnTime" w:cs="Times New Roman"/>
      <w:spacing w:val="4"/>
      <w:sz w:val="28"/>
      <w:szCs w:val="20"/>
      <w:lang w:val="nl-NL"/>
    </w:rPr>
  </w:style>
  <w:style w:type="paragraph" w:styleId="ListParagraph">
    <w:name w:val="List Paragraph"/>
    <w:basedOn w:val="Normal"/>
    <w:uiPriority w:val="34"/>
    <w:qFormat/>
    <w:rsid w:val="001F0718"/>
    <w:pPr>
      <w:ind w:left="720"/>
      <w:contextualSpacing/>
    </w:pPr>
  </w:style>
  <w:style w:type="paragraph" w:customStyle="1" w:styleId="1">
    <w:name w:val="1"/>
    <w:basedOn w:val="Normal"/>
    <w:rsid w:val="001F0718"/>
    <w:pPr>
      <w:numPr>
        <w:ilvl w:val="1"/>
        <w:numId w:val="2"/>
      </w:numPr>
      <w:spacing w:line="276" w:lineRule="auto"/>
      <w:ind w:left="0" w:firstLine="0"/>
      <w:jc w:val="left"/>
    </w:pPr>
    <w:rPr>
      <w:b/>
    </w:rPr>
  </w:style>
  <w:style w:type="paragraph" w:customStyle="1" w:styleId="11">
    <w:name w:val="11"/>
    <w:basedOn w:val="Normal"/>
    <w:uiPriority w:val="1"/>
    <w:qFormat/>
    <w:rsid w:val="001F0718"/>
    <w:pPr>
      <w:numPr>
        <w:ilvl w:val="2"/>
        <w:numId w:val="2"/>
      </w:numPr>
      <w:spacing w:line="276" w:lineRule="auto"/>
      <w:ind w:left="720"/>
      <w:jc w:val="left"/>
    </w:pPr>
    <w:rPr>
      <w:b/>
      <w:i/>
    </w:rPr>
  </w:style>
  <w:style w:type="paragraph" w:customStyle="1" w:styleId="Muc1">
    <w:name w:val="Muc 1"/>
    <w:basedOn w:val="Heading1"/>
    <w:link w:val="Muc1Char"/>
    <w:uiPriority w:val="1"/>
    <w:qFormat/>
    <w:rsid w:val="001F0718"/>
    <w:pPr>
      <w:keepNext w:val="0"/>
      <w:spacing w:after="0" w:line="336" w:lineRule="auto"/>
    </w:pPr>
    <w:rPr>
      <w:rFonts w:asciiTheme="majorHAnsi" w:eastAsiaTheme="majorEastAsia" w:hAnsiTheme="majorHAnsi" w:cstheme="majorHAnsi"/>
      <w:bCs/>
      <w:spacing w:val="-6"/>
      <w:kern w:val="0"/>
      <w:szCs w:val="28"/>
      <w:lang w:val="tr-TR" w:eastAsia="vi-VN"/>
    </w:rPr>
  </w:style>
  <w:style w:type="character" w:customStyle="1" w:styleId="Muc1Char">
    <w:name w:val="Muc 1 Char"/>
    <w:basedOn w:val="Heading1Char"/>
    <w:link w:val="Muc1"/>
    <w:uiPriority w:val="1"/>
    <w:rsid w:val="001F0718"/>
    <w:rPr>
      <w:rFonts w:asciiTheme="majorHAnsi" w:eastAsiaTheme="majorEastAsia" w:hAnsiTheme="majorHAnsi" w:cstheme="majorHAnsi"/>
      <w:bCs/>
      <w:spacing w:val="-6"/>
      <w:szCs w:val="28"/>
      <w:lang w:val="tr-TR" w:eastAsia="vi-VN"/>
    </w:rPr>
  </w:style>
  <w:style w:type="paragraph" w:customStyle="1" w:styleId="Muc2">
    <w:name w:val="Muc 2"/>
    <w:basedOn w:val="Heading1"/>
    <w:link w:val="Muc2Char"/>
    <w:uiPriority w:val="1"/>
    <w:qFormat/>
    <w:rsid w:val="001F0718"/>
    <w:pPr>
      <w:keepNext w:val="0"/>
      <w:spacing w:after="0" w:line="336" w:lineRule="auto"/>
      <w:jc w:val="left"/>
    </w:pPr>
    <w:rPr>
      <w:rFonts w:asciiTheme="majorHAnsi" w:eastAsiaTheme="majorEastAsia" w:hAnsiTheme="majorHAnsi" w:cstheme="majorHAnsi"/>
      <w:bCs/>
      <w:spacing w:val="-6"/>
      <w:kern w:val="0"/>
      <w:szCs w:val="28"/>
      <w:lang w:val="tr-TR" w:eastAsia="vi-VN"/>
    </w:rPr>
  </w:style>
  <w:style w:type="character" w:customStyle="1" w:styleId="Muc2Char">
    <w:name w:val="Muc 2 Char"/>
    <w:basedOn w:val="Heading1Char"/>
    <w:link w:val="Muc2"/>
    <w:uiPriority w:val="1"/>
    <w:rsid w:val="001F0718"/>
    <w:rPr>
      <w:rFonts w:asciiTheme="majorHAnsi" w:eastAsiaTheme="majorEastAsia" w:hAnsiTheme="majorHAnsi" w:cstheme="majorHAnsi"/>
      <w:bCs/>
      <w:spacing w:val="-6"/>
      <w:szCs w:val="28"/>
      <w:lang w:val="tr-TR" w:eastAsia="vi-VN"/>
    </w:rPr>
  </w:style>
  <w:style w:type="paragraph" w:customStyle="1" w:styleId="Bang1">
    <w:name w:val="Bang 1"/>
    <w:basedOn w:val="Normal"/>
    <w:link w:val="Bang1Char"/>
    <w:uiPriority w:val="1"/>
    <w:qFormat/>
    <w:rsid w:val="001F0718"/>
    <w:pPr>
      <w:spacing w:after="0"/>
      <w:ind w:firstLine="0"/>
      <w:jc w:val="center"/>
    </w:pPr>
    <w:rPr>
      <w:b/>
      <w:i/>
      <w:szCs w:val="22"/>
      <w:lang w:val="en-US"/>
    </w:rPr>
  </w:style>
  <w:style w:type="character" w:customStyle="1" w:styleId="Bang1Char">
    <w:name w:val="Bang 1 Char"/>
    <w:basedOn w:val="DefaultParagraphFont"/>
    <w:link w:val="Bang1"/>
    <w:uiPriority w:val="1"/>
    <w:rsid w:val="001F0718"/>
    <w:rPr>
      <w:rFonts w:ascii="Times New Roman" w:eastAsia="Times New Roman" w:hAnsi="Times New Roman" w:cs="Times New Roman"/>
      <w:b/>
      <w:i/>
      <w:sz w:val="28"/>
    </w:rPr>
  </w:style>
  <w:style w:type="paragraph" w:customStyle="1" w:styleId="22">
    <w:name w:val="22"/>
    <w:basedOn w:val="Normal"/>
    <w:rsid w:val="001F0718"/>
    <w:pPr>
      <w:widowControl w:val="0"/>
      <w:spacing w:before="60" w:after="0"/>
      <w:ind w:firstLine="0"/>
    </w:pPr>
    <w:rPr>
      <w:rFonts w:eastAsia="MS Mincho"/>
      <w:b/>
      <w:bCs/>
      <w:iCs/>
      <w:sz w:val="26"/>
    </w:rPr>
  </w:style>
  <w:style w:type="character" w:customStyle="1" w:styleId="Heading3Char">
    <w:name w:val="Heading 3 Char"/>
    <w:basedOn w:val="DefaultParagraphFont"/>
    <w:link w:val="Heading3"/>
    <w:uiPriority w:val="9"/>
    <w:semiHidden/>
    <w:rsid w:val="001F0718"/>
    <w:rPr>
      <w:rFonts w:asciiTheme="majorHAnsi" w:eastAsiaTheme="majorEastAsia" w:hAnsiTheme="majorHAnsi" w:cstheme="majorBidi"/>
      <w:b/>
      <w:bCs/>
      <w:color w:val="4F81BD" w:themeColor="accent1"/>
      <w:sz w:val="28"/>
      <w:szCs w:val="28"/>
      <w:lang w:val="nl-NL"/>
    </w:rPr>
  </w:style>
  <w:style w:type="paragraph" w:customStyle="1" w:styleId="pbody">
    <w:name w:val="pbody"/>
    <w:basedOn w:val="Normal"/>
    <w:rsid w:val="0035654E"/>
    <w:pPr>
      <w:spacing w:before="100" w:beforeAutospacing="1" w:after="100" w:afterAutospacing="1" w:line="240" w:lineRule="auto"/>
      <w:ind w:firstLine="0"/>
      <w:jc w:val="left"/>
    </w:pPr>
    <w:rPr>
      <w:sz w:val="24"/>
      <w:szCs w:val="24"/>
      <w:lang w:val="en-US"/>
    </w:rPr>
  </w:style>
  <w:style w:type="paragraph" w:customStyle="1" w:styleId="Default">
    <w:name w:val="Default"/>
    <w:rsid w:val="00E53A3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15</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11</cp:revision>
  <dcterms:created xsi:type="dcterms:W3CDTF">2021-11-29T04:03:00Z</dcterms:created>
  <dcterms:modified xsi:type="dcterms:W3CDTF">2022-05-26T14:11:00Z</dcterms:modified>
</cp:coreProperties>
</file>