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13822" w14:textId="041A7CC2" w:rsidR="00492F6F" w:rsidRPr="00A637C1" w:rsidRDefault="00A637C1" w:rsidP="00A637C1">
      <w:pPr>
        <w:pStyle w:val="Listenabsatz"/>
        <w:numPr>
          <w:ilvl w:val="0"/>
          <w:numId w:val="3"/>
        </w:numPr>
        <w:tabs>
          <w:tab w:val="center" w:pos="4252"/>
        </w:tabs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637C1">
        <w:rPr>
          <w:rFonts w:ascii="Times New Roman" w:hAnsi="Times New Roman" w:cs="Times New Roman"/>
          <w:b/>
          <w:bCs/>
          <w:sz w:val="28"/>
          <w:szCs w:val="28"/>
        </w:rPr>
        <w:t>Đặt</w:t>
      </w:r>
      <w:proofErr w:type="spellEnd"/>
      <w:r w:rsidRPr="00A63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92F6F" w:rsidRPr="00A637C1">
        <w:rPr>
          <w:rFonts w:ascii="Times New Roman" w:hAnsi="Times New Roman" w:cs="Times New Roman"/>
          <w:b/>
          <w:bCs/>
          <w:sz w:val="28"/>
          <w:szCs w:val="28"/>
        </w:rPr>
        <w:t>vấn</w:t>
      </w:r>
      <w:proofErr w:type="spellEnd"/>
      <w:r w:rsidR="00492F6F" w:rsidRPr="00A637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92F6F" w:rsidRPr="00A637C1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</w:p>
    <w:p w14:paraId="3CC6FFEF" w14:textId="237D7230" w:rsidR="00492F6F" w:rsidRDefault="00492F6F" w:rsidP="003C52CE">
      <w:pPr>
        <w:spacing w:before="100" w:beforeAutospacing="1" w:after="100" w:afterAutospacing="1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ấn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tạp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điểm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tốt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nối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, chia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sẻ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kinh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nghiệm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nghiệp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tăng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cường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hiểu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chuyên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ngoại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ngữ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hóa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v.v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Cùng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tiêu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chuẩn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chuyên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đội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ngũ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ngày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càng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đời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sống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kinh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khá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lên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cũng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khiến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nhiều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27EB">
        <w:rPr>
          <w:rFonts w:ascii="Times New Roman" w:hAnsi="Times New Roman" w:cs="Times New Roman"/>
          <w:sz w:val="28"/>
          <w:szCs w:val="28"/>
          <w:lang w:val="en-US"/>
        </w:rPr>
        <w:t>hơn</w:t>
      </w:r>
      <w:proofErr w:type="spellEnd"/>
      <w:r w:rsidR="003F27E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E924DF1" w14:textId="4ECF1B1A" w:rsidR="003F27EB" w:rsidRDefault="003F27EB" w:rsidP="003C52CE">
      <w:pPr>
        <w:spacing w:before="100" w:beforeAutospacing="1" w:after="100" w:afterAutospacing="1" w:line="312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khó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khăn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lựa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chọn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tổ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chức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ngoài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phù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tiêu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chí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chuyên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cũng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yếu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tố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. Do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đó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trao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đổi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, chia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sẻ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kinh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nghiệm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thiết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nhằm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hỗ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trợ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cán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giảng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đặc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biệt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giảng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trẻ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, Khoa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chủ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chuyên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thiết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phù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bối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cảnh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37C1"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 w:rsidR="00A637C1">
        <w:rPr>
          <w:rFonts w:ascii="Times New Roman" w:hAnsi="Times New Roman" w:cs="Times New Roman"/>
          <w:sz w:val="28"/>
          <w:szCs w:val="28"/>
          <w:lang w:val="en-US"/>
        </w:rPr>
        <w:t xml:space="preserve"> nay. </w:t>
      </w:r>
    </w:p>
    <w:p w14:paraId="48C61316" w14:textId="046F74BE" w:rsidR="00492F6F" w:rsidRPr="003C52CE" w:rsidRDefault="00492F6F" w:rsidP="00A637C1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</w:t>
      </w:r>
      <w:proofErr w:type="spellEnd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dung </w:t>
      </w: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chính</w:t>
      </w:r>
      <w:proofErr w:type="spellEnd"/>
    </w:p>
    <w:p w14:paraId="42DE518C" w14:textId="011E964E" w:rsidR="00A637C1" w:rsidRDefault="00A637C1" w:rsidP="003C52CE">
      <w:pPr>
        <w:spacing w:before="100" w:beforeAutospacing="1" w:after="100" w:afterAutospacing="1" w:line="312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1A19"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 w:rsid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1A19">
        <w:rPr>
          <w:rFonts w:ascii="Times New Roman" w:hAnsi="Times New Roman" w:cs="Times New Roman"/>
          <w:sz w:val="28"/>
          <w:szCs w:val="28"/>
          <w:lang w:val="en-US"/>
        </w:rPr>
        <w:t>trung</w:t>
      </w:r>
      <w:proofErr w:type="spellEnd"/>
      <w:r w:rsid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1A19"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 w:rsid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1A19"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 w:rsid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1A19">
        <w:rPr>
          <w:rFonts w:ascii="Times New Roman" w:hAnsi="Times New Roman" w:cs="Times New Roman"/>
          <w:sz w:val="28"/>
          <w:szCs w:val="28"/>
          <w:lang w:val="en-US"/>
        </w:rPr>
        <w:t>vấn</w:t>
      </w:r>
      <w:proofErr w:type="spellEnd"/>
      <w:r w:rsid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1A19">
        <w:rPr>
          <w:rFonts w:ascii="Times New Roman" w:hAnsi="Times New Roman" w:cs="Times New Roman"/>
          <w:sz w:val="28"/>
          <w:szCs w:val="28"/>
          <w:lang w:val="en-US"/>
        </w:rPr>
        <w:t>đề</w:t>
      </w:r>
      <w:proofErr w:type="spellEnd"/>
      <w:r w:rsid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1A19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E1A19">
        <w:rPr>
          <w:rFonts w:ascii="Times New Roman" w:hAnsi="Times New Roman" w:cs="Times New Roman"/>
          <w:sz w:val="28"/>
          <w:szCs w:val="28"/>
          <w:lang w:val="en-US"/>
        </w:rPr>
        <w:t>đây</w:t>
      </w:r>
      <w:proofErr w:type="spellEnd"/>
      <w:r w:rsidR="00AE1A1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D78D2D4" w14:textId="4F717D51" w:rsidR="00AE1A19" w:rsidRDefault="00AE1A19" w:rsidP="003C52CE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kiếm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</w:p>
    <w:p w14:paraId="4FE16630" w14:textId="2688C7D1" w:rsidR="00AE1A19" w:rsidRDefault="00AE1A19" w:rsidP="003C52CE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Quy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</w:p>
    <w:p w14:paraId="6866642E" w14:textId="27AE963D" w:rsidR="00AE1A19" w:rsidRDefault="00AE1A19" w:rsidP="003C52CE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</w:p>
    <w:p w14:paraId="6FC6728E" w14:textId="2B6F4142" w:rsidR="00AE1A19" w:rsidRDefault="00AE1A19" w:rsidP="003C52CE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E1A19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P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1A19">
        <w:rPr>
          <w:rFonts w:ascii="Times New Roman" w:hAnsi="Times New Roman" w:cs="Times New Roman"/>
          <w:sz w:val="28"/>
          <w:szCs w:val="28"/>
          <w:lang w:val="en-US"/>
        </w:rPr>
        <w:t>nối</w:t>
      </w:r>
      <w:proofErr w:type="spellEnd"/>
      <w:r w:rsidRP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1A19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1A19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1A19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1A19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AE1A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1A19">
        <w:rPr>
          <w:rFonts w:ascii="Times New Roman" w:hAnsi="Times New Roman" w:cs="Times New Roman"/>
          <w:sz w:val="28"/>
          <w:szCs w:val="28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>ảo</w:t>
      </w:r>
      <w:proofErr w:type="spellEnd"/>
    </w:p>
    <w:p w14:paraId="66275139" w14:textId="37012B73" w:rsidR="00AE1A19" w:rsidRDefault="00AE1A19" w:rsidP="003C52CE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</w:p>
    <w:p w14:paraId="42ECA508" w14:textId="67DE09FA" w:rsidR="00AE1A19" w:rsidRPr="003C52CE" w:rsidRDefault="00AE1A19" w:rsidP="003C52CE">
      <w:pPr>
        <w:pStyle w:val="Listenabsatz"/>
        <w:numPr>
          <w:ilvl w:val="1"/>
          <w:numId w:val="3"/>
        </w:numPr>
        <w:spacing w:before="100" w:beforeAutospacing="1" w:after="100" w:afterAutospacing="1" w:line="312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3C52C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Tìm</w:t>
      </w:r>
      <w:proofErr w:type="spellEnd"/>
      <w:r w:rsidRPr="003C52C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C52C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kiếm</w:t>
      </w:r>
      <w:proofErr w:type="spellEnd"/>
      <w:r w:rsidRPr="003C52C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C52C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thông</w:t>
      </w:r>
      <w:proofErr w:type="spellEnd"/>
      <w:r w:rsidRPr="003C52C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tin </w:t>
      </w:r>
      <w:proofErr w:type="spellStart"/>
      <w:r w:rsidRPr="003C52C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hội</w:t>
      </w:r>
      <w:proofErr w:type="spellEnd"/>
      <w:r w:rsidRPr="003C52C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C52C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thảo</w:t>
      </w:r>
      <w:proofErr w:type="spellEnd"/>
    </w:p>
    <w:p w14:paraId="4C31AAF0" w14:textId="19AEE114" w:rsidR="00AE1A19" w:rsidRDefault="00AE1A19" w:rsidP="003C52CE">
      <w:pPr>
        <w:spacing w:before="100" w:beforeAutospacing="1" w:after="100" w:afterAutospacing="1" w:line="312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kiếm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nhờ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website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dõi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phương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dàng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kênh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nữa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tin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tín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tin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cậy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website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đại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cùng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chuyên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F28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340F2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8B6C61" w14:textId="722281A9" w:rsidR="00340F28" w:rsidRDefault="00340F28" w:rsidP="003C52CE">
      <w:pPr>
        <w:spacing w:before="100" w:beforeAutospacing="1" w:after="100" w:afterAutospacing="1" w:line="312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0F28">
        <w:rPr>
          <w:rFonts w:ascii="Times New Roman" w:hAnsi="Times New Roman" w:cs="Times New Roman"/>
          <w:sz w:val="28"/>
          <w:szCs w:val="28"/>
          <w:lang w:val="en-US"/>
        </w:rPr>
        <w:t xml:space="preserve">Sau </w:t>
      </w:r>
      <w:proofErr w:type="spellStart"/>
      <w:r w:rsidRPr="00340F28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0F28">
        <w:rPr>
          <w:rFonts w:ascii="Times New Roman" w:hAnsi="Times New Roman" w:cs="Times New Roman"/>
          <w:sz w:val="28"/>
          <w:szCs w:val="28"/>
          <w:lang w:val="en-US"/>
        </w:rPr>
        <w:t>nhận</w:t>
      </w:r>
      <w:proofErr w:type="spellEnd"/>
      <w:r w:rsidRPr="00340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0F28"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 w:rsidRPr="00340F28">
        <w:rPr>
          <w:rFonts w:ascii="Times New Roman" w:hAnsi="Times New Roman" w:cs="Times New Roman"/>
          <w:sz w:val="28"/>
          <w:szCs w:val="28"/>
          <w:lang w:val="en-US"/>
        </w:rPr>
        <w:t xml:space="preserve"> tin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sàng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tin,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tin.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qua email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domain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tránh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khoản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ISBN,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tạp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tạp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tín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0D522A9" w14:textId="03AF9561" w:rsidR="00340F28" w:rsidRPr="00340F28" w:rsidRDefault="00340F28" w:rsidP="003C52CE">
      <w:pPr>
        <w:spacing w:before="100" w:beforeAutospacing="1" w:after="100" w:afterAutospacing="1" w:line="312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Khi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rõ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ràng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lợi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ích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chi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phí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cân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nhắc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lợi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ích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bên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cạnh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chuyên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trước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mắt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còn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cân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nhắc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hướng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lâu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dài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mở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rộng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network,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lịch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bạn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v.v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chi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phí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toán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phí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ăn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ở,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vé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máy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bay, visa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chi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phí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hiểm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thăm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2CE">
        <w:rPr>
          <w:rFonts w:ascii="Times New Roman" w:hAnsi="Times New Roman" w:cs="Times New Roman"/>
          <w:sz w:val="28"/>
          <w:szCs w:val="28"/>
          <w:lang w:val="en-US"/>
        </w:rPr>
        <w:t>v.v</w:t>
      </w:r>
      <w:proofErr w:type="spellEnd"/>
      <w:r w:rsidR="003C52CE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</w:p>
    <w:p w14:paraId="63A48C35" w14:textId="38C29AE1" w:rsidR="00AE1A19" w:rsidRDefault="00AE1A19" w:rsidP="00AE1A19">
      <w:pPr>
        <w:pStyle w:val="Listenabsatz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Quy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</w:p>
    <w:p w14:paraId="1CBC89A6" w14:textId="55A61A2D" w:rsidR="003C52CE" w:rsidRDefault="003C52CE" w:rsidP="003C52C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C52C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76FBFEB" wp14:editId="0D259695">
            <wp:extent cx="4319098" cy="1779373"/>
            <wp:effectExtent l="0" t="0" r="24765" b="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5085AB69-6561-4537-8A07-F9D48EA380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0472323" w14:textId="6A35AF61" w:rsidR="003C52CE" w:rsidRPr="003C52CE" w:rsidRDefault="003C52CE" w:rsidP="003C52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Hình</w:t>
      </w:r>
      <w:proofErr w:type="spellEnd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1. Quy </w:t>
      </w: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trình</w:t>
      </w:r>
      <w:proofErr w:type="spellEnd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phổ</w:t>
      </w:r>
      <w:proofErr w:type="spellEnd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biến</w:t>
      </w:r>
      <w:proofErr w:type="spellEnd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trong</w:t>
      </w:r>
      <w:proofErr w:type="spellEnd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đăng</w:t>
      </w:r>
      <w:proofErr w:type="spellEnd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hội</w:t>
      </w:r>
      <w:proofErr w:type="spellEnd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nghị</w:t>
      </w:r>
      <w:proofErr w:type="spellEnd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quốc</w:t>
      </w:r>
      <w:proofErr w:type="spellEnd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C52CE">
        <w:rPr>
          <w:rFonts w:ascii="Times New Roman" w:hAnsi="Times New Roman" w:cs="Times New Roman"/>
          <w:b/>
          <w:bCs/>
          <w:sz w:val="28"/>
          <w:szCs w:val="28"/>
          <w:lang w:val="en-US"/>
        </w:rPr>
        <w:t>tế</w:t>
      </w:r>
      <w:proofErr w:type="spellEnd"/>
    </w:p>
    <w:p w14:paraId="28960BBC" w14:textId="1FAD61A6" w:rsidR="003C52CE" w:rsidRPr="003C52CE" w:rsidRDefault="00995D6D" w:rsidP="00995D6D">
      <w:pPr>
        <w:spacing w:before="100" w:beforeAutospacing="1" w:after="100" w:afterAutospacing="1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v.v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… Sau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tạp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nay,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ràng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buộc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chậm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khiến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vẫn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B8FF253" w14:textId="0887ACE2" w:rsidR="00AE1A19" w:rsidRPr="00EA202E" w:rsidRDefault="00AE1A19" w:rsidP="00AE1A19">
      <w:pPr>
        <w:pStyle w:val="Listenabsatz"/>
        <w:numPr>
          <w:ilvl w:val="1"/>
          <w:numId w:val="3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lastRenderedPageBreak/>
        <w:t>Chuẩn</w:t>
      </w:r>
      <w:proofErr w:type="spellEnd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bị</w:t>
      </w:r>
      <w:proofErr w:type="spellEnd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tham</w:t>
      </w:r>
      <w:proofErr w:type="spellEnd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gia</w:t>
      </w:r>
      <w:proofErr w:type="spellEnd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hội</w:t>
      </w:r>
      <w:proofErr w:type="spellEnd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thảo</w:t>
      </w:r>
      <w:proofErr w:type="spellEnd"/>
    </w:p>
    <w:p w14:paraId="5800204F" w14:textId="057F167A" w:rsidR="00995D6D" w:rsidRDefault="00995D6D" w:rsidP="00995D6D">
      <w:pPr>
        <w:spacing w:before="100" w:beforeAutospacing="1" w:after="100" w:afterAutospacing="1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đòi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tưởng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78DF73F" w14:textId="44E11DE4" w:rsidR="00995D6D" w:rsidRDefault="00995D6D" w:rsidP="00995D6D">
      <w:pPr>
        <w:spacing w:before="100" w:beforeAutospacing="1" w:after="100" w:afterAutospacing="1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B447C23" w14:textId="434A6C27" w:rsidR="00995D6D" w:rsidRDefault="00995D6D" w:rsidP="00995D6D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lĩnh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Nam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ở Đông Nam Á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Á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giới</w:t>
      </w:r>
      <w:proofErr w:type="spellEnd"/>
      <w:r w:rsidR="00397E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23FFC5" w14:textId="7866093B" w:rsidR="00397E9A" w:rsidRDefault="00397E9A" w:rsidP="00995D6D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lựa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lĩnh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v.v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7D1D02" w14:textId="075F0559" w:rsidR="00397E9A" w:rsidRDefault="00397E9A" w:rsidP="00995D6D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E9A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397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E9A"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 w:rsidRPr="00397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E9A"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 w:rsidRPr="00397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E9A">
        <w:rPr>
          <w:rFonts w:ascii="Times New Roman" w:hAnsi="Times New Roman" w:cs="Times New Roman"/>
          <w:sz w:val="28"/>
          <w:szCs w:val="28"/>
          <w:lang w:val="en-US"/>
        </w:rPr>
        <w:t>tuân</w:t>
      </w:r>
      <w:proofErr w:type="spellEnd"/>
      <w:r w:rsidRPr="00397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E9A">
        <w:rPr>
          <w:rFonts w:ascii="Times New Roman" w:hAnsi="Times New Roman" w:cs="Times New Roman"/>
          <w:sz w:val="28"/>
          <w:szCs w:val="28"/>
          <w:lang w:val="en-US"/>
        </w:rPr>
        <w:t>thủ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qua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5CE825" w14:textId="4FAD4869" w:rsidR="00397E9A" w:rsidRDefault="00397E9A" w:rsidP="00995D6D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E9A"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 w:rsidRPr="00397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E9A">
        <w:rPr>
          <w:rFonts w:ascii="Times New Roman" w:hAnsi="Times New Roman" w:cs="Times New Roman"/>
          <w:sz w:val="28"/>
          <w:szCs w:val="28"/>
          <w:lang w:val="en-US"/>
        </w:rPr>
        <w:t>nộp</w:t>
      </w:r>
      <w:proofErr w:type="spellEnd"/>
      <w:r w:rsidRPr="00397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E9A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Pr="00397E9A">
        <w:rPr>
          <w:rFonts w:ascii="Times New Roman" w:hAnsi="Times New Roman" w:cs="Times New Roman"/>
          <w:sz w:val="28"/>
          <w:szCs w:val="28"/>
          <w:lang w:val="en-US"/>
        </w:rPr>
        <w:t xml:space="preserve"> qua email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lỗi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qua website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BFB8BD" w14:textId="63FC053B" w:rsidR="00397E9A" w:rsidRDefault="00397E9A" w:rsidP="00995D6D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logic,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súc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khoa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hấp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ấn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logo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logo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logo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 slide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nhằm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61880B" w14:textId="2BE19CD5" w:rsidR="00397E9A" w:rsidRDefault="00397E9A" w:rsidP="00995D6D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poster,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thuyết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poster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4A71D2" w14:textId="4501B7D5" w:rsidR="00397E9A" w:rsidRDefault="00397E9A" w:rsidP="00995D6D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Khi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ngôn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cảnh</w:t>
      </w:r>
      <w:proofErr w:type="spellEnd"/>
    </w:p>
    <w:p w14:paraId="6DF63CD8" w14:textId="41CA6765" w:rsidR="00397E9A" w:rsidRDefault="00397E9A" w:rsidP="00397E9A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sớm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visa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bay,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bay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mình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niệm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uống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thuốc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tín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trắc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A055F6" w14:textId="2FE2B422" w:rsidR="00397E9A" w:rsidRPr="00EA202E" w:rsidRDefault="00397E9A" w:rsidP="00397E9A">
      <w:pPr>
        <w:pStyle w:val="Listenabsatz"/>
        <w:numPr>
          <w:ilvl w:val="1"/>
          <w:numId w:val="3"/>
        </w:numPr>
        <w:spacing w:before="100" w:beforeAutospacing="1" w:after="100" w:afterAutospacing="1" w:line="312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Tham</w:t>
      </w:r>
      <w:proofErr w:type="spellEnd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gia</w:t>
      </w:r>
      <w:proofErr w:type="spellEnd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hội</w:t>
      </w:r>
      <w:proofErr w:type="spellEnd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EA202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thảo</w:t>
      </w:r>
      <w:proofErr w:type="spellEnd"/>
    </w:p>
    <w:p w14:paraId="034577CD" w14:textId="0C8FE7EE" w:rsidR="00CB49F9" w:rsidRPr="00397E9A" w:rsidRDefault="00EA202E" w:rsidP="00CB49F9">
      <w:pPr>
        <w:spacing w:before="100" w:beforeAutospacing="1" w:after="100" w:afterAutospacing="1" w:line="312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v.v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Trước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nên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kiểm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tra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chiếu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làm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quen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thiết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. Sau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nên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lại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dự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giả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Việc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dự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nhiều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phiên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liên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đến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hướng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mình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giúp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bổ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sung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thêm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kiến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thức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gợi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ý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hướng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mới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cũng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nắm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bắt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hướng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đang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tâm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thế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49F9">
        <w:rPr>
          <w:rFonts w:ascii="Times New Roman" w:hAnsi="Times New Roman" w:cs="Times New Roman"/>
          <w:sz w:val="28"/>
          <w:szCs w:val="28"/>
          <w:lang w:val="en-US"/>
        </w:rPr>
        <w:t>giới</w:t>
      </w:r>
      <w:proofErr w:type="spellEnd"/>
      <w:r w:rsidR="00CB49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E28D7B2" w14:textId="66BD4D2D" w:rsidR="00AE1A19" w:rsidRPr="00CB49F9" w:rsidRDefault="00AE1A19" w:rsidP="00CB49F9">
      <w:pPr>
        <w:pStyle w:val="Listenabsatz"/>
        <w:numPr>
          <w:ilvl w:val="1"/>
          <w:numId w:val="3"/>
        </w:numPr>
        <w:spacing w:before="100" w:beforeAutospacing="1" w:after="100" w:afterAutospacing="1" w:line="312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Kết</w:t>
      </w:r>
      <w:proofErr w:type="spellEnd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nối</w:t>
      </w:r>
      <w:proofErr w:type="spellEnd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trong</w:t>
      </w:r>
      <w:proofErr w:type="spellEnd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và</w:t>
      </w:r>
      <w:proofErr w:type="spellEnd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sau</w:t>
      </w:r>
      <w:proofErr w:type="spellEnd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hội</w:t>
      </w:r>
      <w:proofErr w:type="spellEnd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thảo</w:t>
      </w:r>
      <w:proofErr w:type="spellEnd"/>
    </w:p>
    <w:p w14:paraId="07C14B90" w14:textId="77777777" w:rsidR="00CB49F9" w:rsidRPr="00CB49F9" w:rsidRDefault="00CB49F9" w:rsidP="00F673D7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dự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nên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trao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đổi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diễn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giả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người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dự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mở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rộng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network,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bên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cạnh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tận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trao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đổi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giờ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giải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lao,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ăn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trưa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ăn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tối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đi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v.v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0746B455" w14:textId="3A9E51A5" w:rsidR="00CB49F9" w:rsidRDefault="00CB49F9" w:rsidP="00F673D7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Ngoài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phiên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bên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lề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khác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trước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đi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thăm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v.v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cũng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tạo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cơ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nối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tăng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cường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hiểu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49F9">
        <w:rPr>
          <w:rFonts w:ascii="Times New Roman" w:hAnsi="Times New Roman" w:cs="Times New Roman"/>
          <w:sz w:val="28"/>
          <w:szCs w:val="28"/>
          <w:lang w:val="en-US"/>
        </w:rPr>
        <w:t>biết</w:t>
      </w:r>
      <w:proofErr w:type="spellEnd"/>
      <w:r w:rsidRPr="00CB49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AEEA86" w14:textId="3FFE77BE" w:rsidR="00CB49F9" w:rsidRDefault="00CB49F9" w:rsidP="00F673D7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email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email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tâm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Nếu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nên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giới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thiệu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đồng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nghiệp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cùng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chuyên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khả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năng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tương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673D7">
        <w:rPr>
          <w:rFonts w:ascii="Times New Roman" w:hAnsi="Times New Roman" w:cs="Times New Roman"/>
          <w:sz w:val="28"/>
          <w:szCs w:val="28"/>
          <w:lang w:val="en-US"/>
        </w:rPr>
        <w:t>tự</w:t>
      </w:r>
      <w:proofErr w:type="spellEnd"/>
      <w:r w:rsidR="00F673D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bên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nối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nhau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phụ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thuộc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nỗ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may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mắn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00A2">
        <w:rPr>
          <w:rFonts w:ascii="Times New Roman" w:hAnsi="Times New Roman" w:cs="Times New Roman"/>
          <w:sz w:val="28"/>
          <w:szCs w:val="28"/>
          <w:lang w:val="en-US"/>
        </w:rPr>
        <w:t>bên</w:t>
      </w:r>
      <w:proofErr w:type="spellEnd"/>
      <w:r w:rsidR="009700A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04494C2" w14:textId="389423C8" w:rsidR="009700A2" w:rsidRDefault="009700A2" w:rsidP="00F673D7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00A2">
        <w:rPr>
          <w:rFonts w:ascii="Times New Roman" w:hAnsi="Times New Roman" w:cs="Times New Roman"/>
          <w:sz w:val="28"/>
          <w:szCs w:val="28"/>
          <w:lang w:val="en-US"/>
        </w:rPr>
        <w:t xml:space="preserve">Sau </w:t>
      </w:r>
      <w:proofErr w:type="spellStart"/>
      <w:r w:rsidRPr="009700A2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P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0A2"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tạp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phí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62D878D" w14:textId="3B928C55" w:rsidR="009700A2" w:rsidRDefault="009700A2" w:rsidP="00F673D7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Đối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01E72DF" w14:textId="2590B90D" w:rsidR="009700A2" w:rsidRDefault="009700A2" w:rsidP="00F673D7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Title</w:t>
      </w:r>
    </w:p>
    <w:p w14:paraId="3C17F9EB" w14:textId="74DC7D1B" w:rsidR="009700A2" w:rsidRDefault="009700A2" w:rsidP="00F673D7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Abstract</w:t>
      </w:r>
    </w:p>
    <w:p w14:paraId="49B86055" w14:textId="1BF6DFD1" w:rsidR="009700A2" w:rsidRDefault="009700A2" w:rsidP="00F673D7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Keywords (3 – 5 key words)</w:t>
      </w:r>
    </w:p>
    <w:p w14:paraId="68F50A7F" w14:textId="1EF28DED" w:rsidR="009700A2" w:rsidRDefault="009700A2" w:rsidP="00F673D7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IMRaD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(*)</w:t>
      </w:r>
    </w:p>
    <w:p w14:paraId="3EB2B1EF" w14:textId="5249FDF5" w:rsidR="009700A2" w:rsidRDefault="009700A2" w:rsidP="00F673D7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Conclusions</w:t>
      </w:r>
    </w:p>
    <w:p w14:paraId="7BA07259" w14:textId="50443B70" w:rsidR="009700A2" w:rsidRDefault="009700A2" w:rsidP="00F673D7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 Acknowledgements</w:t>
      </w:r>
    </w:p>
    <w:p w14:paraId="64A90935" w14:textId="5A3B784A" w:rsidR="009700A2" w:rsidRDefault="009700A2" w:rsidP="00F673D7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References</w:t>
      </w:r>
    </w:p>
    <w:p w14:paraId="64986B3F" w14:textId="07FC8953" w:rsidR="009700A2" w:rsidRDefault="009700A2" w:rsidP="009700A2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IMRaD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Introduction/Methods/Results/and Discussion,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4108F77D" w14:textId="1C18642D" w:rsidR="009700A2" w:rsidRDefault="009700A2" w:rsidP="009700A2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ind w:left="1134"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00A2">
        <w:rPr>
          <w:rFonts w:ascii="Times New Roman" w:hAnsi="Times New Roman" w:cs="Times New Roman"/>
          <w:sz w:val="28"/>
          <w:szCs w:val="28"/>
          <w:lang w:val="en-US"/>
        </w:rPr>
        <w:t xml:space="preserve">Introduction: Why was the study undertaken? Why was the research question, the tested </w:t>
      </w:r>
      <w:proofErr w:type="gramStart"/>
      <w:r w:rsidRPr="009700A2">
        <w:rPr>
          <w:rFonts w:ascii="Times New Roman" w:hAnsi="Times New Roman" w:cs="Times New Roman"/>
          <w:sz w:val="28"/>
          <w:szCs w:val="28"/>
          <w:lang w:val="en-US"/>
        </w:rPr>
        <w:t>hypothesis</w:t>
      </w:r>
      <w:proofErr w:type="gramEnd"/>
      <w:r w:rsidRPr="009700A2">
        <w:rPr>
          <w:rFonts w:ascii="Times New Roman" w:hAnsi="Times New Roman" w:cs="Times New Roman"/>
          <w:sz w:val="28"/>
          <w:szCs w:val="28"/>
          <w:lang w:val="en-US"/>
        </w:rPr>
        <w:t xml:space="preserve"> or the purpose of the research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80A20F8" w14:textId="77777777" w:rsidR="009700A2" w:rsidRDefault="009700A2" w:rsidP="009700A2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ind w:left="1134"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00A2">
        <w:rPr>
          <w:rFonts w:ascii="Times New Roman" w:hAnsi="Times New Roman" w:cs="Times New Roman"/>
          <w:sz w:val="28"/>
          <w:szCs w:val="28"/>
          <w:lang w:val="en-US"/>
        </w:rPr>
        <w:t xml:space="preserve">Methods: When, where, and how was the study done? What materials were used? </w:t>
      </w:r>
    </w:p>
    <w:p w14:paraId="3C359012" w14:textId="279F9A92" w:rsidR="009700A2" w:rsidRPr="009700A2" w:rsidRDefault="009700A2" w:rsidP="009700A2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ind w:left="1134" w:firstLine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00A2">
        <w:rPr>
          <w:rFonts w:ascii="Times New Roman" w:hAnsi="Times New Roman" w:cs="Times New Roman"/>
          <w:sz w:val="28"/>
          <w:szCs w:val="28"/>
          <w:lang w:val="en-US"/>
        </w:rPr>
        <w:t xml:space="preserve">Results: What answer was found to the research questions, what did the study find? Was the tested </w:t>
      </w:r>
      <w:proofErr w:type="spellStart"/>
      <w:r w:rsidRPr="009700A2">
        <w:rPr>
          <w:rFonts w:ascii="Times New Roman" w:hAnsi="Times New Roman" w:cs="Times New Roman"/>
          <w:sz w:val="28"/>
          <w:szCs w:val="28"/>
          <w:lang w:val="en-US"/>
        </w:rPr>
        <w:t>hyphothesis</w:t>
      </w:r>
      <w:proofErr w:type="spellEnd"/>
      <w:r w:rsidRPr="009700A2">
        <w:rPr>
          <w:rFonts w:ascii="Times New Roman" w:hAnsi="Times New Roman" w:cs="Times New Roman"/>
          <w:sz w:val="28"/>
          <w:szCs w:val="28"/>
          <w:lang w:val="en-US"/>
        </w:rPr>
        <w:t xml:space="preserve"> true?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DE4E930" w14:textId="2BA68F1F" w:rsidR="009700A2" w:rsidRPr="009700A2" w:rsidRDefault="009700A2" w:rsidP="009700A2">
      <w:pPr>
        <w:spacing w:before="100" w:beforeAutospacing="1" w:after="100" w:afterAutospacing="1"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00A2">
        <w:rPr>
          <w:rFonts w:ascii="Times New Roman" w:hAnsi="Times New Roman" w:cs="Times New Roman"/>
          <w:sz w:val="28"/>
          <w:szCs w:val="28"/>
          <w:lang w:val="en-US"/>
        </w:rPr>
        <w:t>And</w:t>
      </w:r>
    </w:p>
    <w:p w14:paraId="01D2D0CD" w14:textId="0A17FDED" w:rsidR="009700A2" w:rsidRPr="009700A2" w:rsidRDefault="009700A2" w:rsidP="009700A2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00A2">
        <w:rPr>
          <w:rFonts w:ascii="Times New Roman" w:hAnsi="Times New Roman" w:cs="Times New Roman"/>
          <w:sz w:val="28"/>
          <w:szCs w:val="28"/>
          <w:lang w:val="en-US"/>
        </w:rPr>
        <w:t xml:space="preserve">Discussion: What might the answer imply and why does it matter? How does it fit in with what other researchers have found? </w:t>
      </w:r>
      <w:proofErr w:type="spellStart"/>
      <w:r w:rsidRPr="009700A2">
        <w:rPr>
          <w:rFonts w:ascii="Times New Roman" w:hAnsi="Times New Roman" w:cs="Times New Roman"/>
          <w:sz w:val="28"/>
          <w:szCs w:val="28"/>
          <w:lang w:val="en-US"/>
        </w:rPr>
        <w:t>What</w:t>
      </w:r>
      <w:proofErr w:type="spellEnd"/>
      <w:r w:rsidRP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0A2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spellEnd"/>
      <w:r w:rsidRP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0A2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spellEnd"/>
      <w:r w:rsidRPr="009700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0A2">
        <w:rPr>
          <w:rFonts w:ascii="Times New Roman" w:hAnsi="Times New Roman" w:cs="Times New Roman"/>
          <w:sz w:val="28"/>
          <w:szCs w:val="28"/>
          <w:lang w:val="en-US"/>
        </w:rPr>
        <w:t>perspectives</w:t>
      </w:r>
      <w:proofErr w:type="spellEnd"/>
      <w:r w:rsidRPr="009700A2">
        <w:rPr>
          <w:rFonts w:ascii="Times New Roman" w:hAnsi="Times New Roman" w:cs="Times New Roman"/>
          <w:sz w:val="28"/>
          <w:szCs w:val="28"/>
          <w:lang w:val="en-US"/>
        </w:rPr>
        <w:t xml:space="preserve"> for the future research?</w:t>
      </w:r>
    </w:p>
    <w:p w14:paraId="352426BC" w14:textId="741F05B9" w:rsidR="00AE1A19" w:rsidRPr="009700A2" w:rsidRDefault="00AE1A19" w:rsidP="00CB49F9">
      <w:pPr>
        <w:pStyle w:val="Listenabsatz"/>
        <w:numPr>
          <w:ilvl w:val="1"/>
          <w:numId w:val="3"/>
        </w:numPr>
        <w:spacing w:before="100" w:beforeAutospacing="1" w:after="100" w:afterAutospacing="1" w:line="312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kinh</w:t>
      </w:r>
      <w:proofErr w:type="spellEnd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nghiệm</w:t>
      </w:r>
      <w:proofErr w:type="spellEnd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</w:t>
      </w:r>
      <w:proofErr w:type="spellEnd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nhân</w:t>
      </w:r>
      <w:proofErr w:type="spellEnd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cần</w:t>
      </w:r>
      <w:proofErr w:type="spellEnd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tổng</w:t>
      </w:r>
      <w:proofErr w:type="spellEnd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700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kết</w:t>
      </w:r>
      <w:proofErr w:type="spellEnd"/>
    </w:p>
    <w:p w14:paraId="2407443D" w14:textId="77777777" w:rsidR="00711345" w:rsidRDefault="00711345" w:rsidP="00711345">
      <w:pPr>
        <w:spacing w:before="100" w:beforeAutospacing="1" w:after="100" w:afterAutospacing="1" w:line="312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52B8BC2" w14:textId="143A0CC2" w:rsidR="009700A2" w:rsidRDefault="00711345" w:rsidP="00711345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345">
        <w:rPr>
          <w:rFonts w:ascii="Times New Roman" w:hAnsi="Times New Roman" w:cs="Times New Roman"/>
          <w:sz w:val="28"/>
          <w:szCs w:val="28"/>
        </w:rPr>
        <w:lastRenderedPageBreak/>
        <w:t>Hội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th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ảo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hay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chi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hay</w:t>
      </w:r>
      <w:proofErr w:type="spellEnd"/>
      <w:r w:rsidRPr="00711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345">
        <w:rPr>
          <w:rFonts w:ascii="Times New Roman" w:hAnsi="Times New Roman" w:cs="Times New Roman"/>
          <w:sz w:val="28"/>
          <w:szCs w:val="28"/>
        </w:rPr>
        <w:t>không</w:t>
      </w:r>
      <w:proofErr w:type="spellEnd"/>
    </w:p>
    <w:p w14:paraId="1208269A" w14:textId="2346241C" w:rsidR="00711345" w:rsidRDefault="00711345" w:rsidP="00711345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</w:p>
    <w:p w14:paraId="54E3F9F2" w14:textId="10678308" w:rsidR="00711345" w:rsidRDefault="00711345" w:rsidP="00711345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D0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D0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D0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D0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D0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D0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D0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="00D0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D0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D0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0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D061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12D">
        <w:rPr>
          <w:rFonts w:ascii="Times New Roman" w:hAnsi="Times New Roman" w:cs="Times New Roman"/>
          <w:sz w:val="28"/>
          <w:szCs w:val="28"/>
        </w:rPr>
        <w:t>bạc</w:t>
      </w:r>
      <w:proofErr w:type="spellEnd"/>
    </w:p>
    <w:p w14:paraId="6E1A9608" w14:textId="139E4E80" w:rsidR="00D0612D" w:rsidRDefault="00D0612D" w:rsidP="00711345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92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 w:rsidRPr="00D2692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D2692C" w:rsidRP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 w:rsidRPr="00D2692C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D2692C" w:rsidRP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 w:rsidRPr="00D2692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D2692C" w:rsidRP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 w:rsidRPr="00D2692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2692C" w:rsidRP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 w:rsidRPr="00D2692C">
        <w:rPr>
          <w:rFonts w:ascii="Times New Roman" w:hAnsi="Times New Roman" w:cs="Times New Roman"/>
          <w:sz w:val="28"/>
          <w:szCs w:val="28"/>
        </w:rPr>
        <w:t>proceedings</w:t>
      </w:r>
      <w:proofErr w:type="spellEnd"/>
      <w:r w:rsidR="00D2692C" w:rsidRP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 w:rsidRPr="00D2692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2692C" w:rsidRPr="00D2692C">
        <w:rPr>
          <w:rFonts w:ascii="Times New Roman" w:hAnsi="Times New Roman" w:cs="Times New Roman"/>
          <w:sz w:val="28"/>
          <w:szCs w:val="28"/>
        </w:rPr>
        <w:t xml:space="preserve"> ISBN</w:t>
      </w:r>
      <w:r w:rsidR="00D26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sung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D2692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D2692C">
        <w:rPr>
          <w:rFonts w:ascii="Times New Roman" w:hAnsi="Times New Roman" w:cs="Times New Roman"/>
          <w:sz w:val="28"/>
          <w:szCs w:val="28"/>
        </w:rPr>
        <w:t>đâu</w:t>
      </w:r>
      <w:proofErr w:type="spellEnd"/>
    </w:p>
    <w:p w14:paraId="3B3641B8" w14:textId="62A38FE3" w:rsidR="00D2692C" w:rsidRPr="00D2692C" w:rsidRDefault="00D2692C" w:rsidP="00711345">
      <w:pPr>
        <w:pStyle w:val="Listenabsatz"/>
        <w:numPr>
          <w:ilvl w:val="0"/>
          <w:numId w:val="4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v.v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4C141BE4" w14:textId="2229FB6F" w:rsidR="00492F6F" w:rsidRPr="00F20340" w:rsidRDefault="00492F6F" w:rsidP="00CB49F9">
      <w:pPr>
        <w:pStyle w:val="Listenabsatz"/>
        <w:numPr>
          <w:ilvl w:val="0"/>
          <w:numId w:val="3"/>
        </w:numPr>
        <w:spacing w:before="100" w:beforeAutospacing="1" w:after="100" w:afterAutospacing="1" w:line="312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20340">
        <w:rPr>
          <w:rFonts w:ascii="Times New Roman" w:hAnsi="Times New Roman" w:cs="Times New Roman"/>
          <w:b/>
          <w:bCs/>
          <w:sz w:val="28"/>
          <w:szCs w:val="28"/>
          <w:lang w:val="en-US"/>
        </w:rPr>
        <w:t>Kết</w:t>
      </w:r>
      <w:proofErr w:type="spellEnd"/>
      <w:r w:rsidRPr="00F203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20340">
        <w:rPr>
          <w:rFonts w:ascii="Times New Roman" w:hAnsi="Times New Roman" w:cs="Times New Roman"/>
          <w:b/>
          <w:bCs/>
          <w:sz w:val="28"/>
          <w:szCs w:val="28"/>
          <w:lang w:val="en-US"/>
        </w:rPr>
        <w:t>luận</w:t>
      </w:r>
      <w:proofErr w:type="spellEnd"/>
    </w:p>
    <w:p w14:paraId="3F9F8CAB" w14:textId="1F44BAA0" w:rsidR="00D2692C" w:rsidRPr="00D2692C" w:rsidRDefault="00D2692C" w:rsidP="00D2692C">
      <w:pPr>
        <w:spacing w:before="100" w:beforeAutospacing="1" w:after="100" w:afterAutospacing="1" w:line="312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khoa</w:t>
      </w:r>
      <w:r w:rsidR="00F20340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tiềm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Trường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network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vững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chắc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hỗ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bố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Sự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gia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hội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nghị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quốc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tổ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chức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Việt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Nam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đã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cho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cán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giảng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môn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QTDN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Mỏ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riêng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, khoa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Kinh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tế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- QTKD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nói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chung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những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kinh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nghiệm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bày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cáo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nâng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hơn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nữa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khả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năng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nghiên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cứu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viết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công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bố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báo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trình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độ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hơn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cán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bộ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giảng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viên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cũng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cần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dần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dần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chủ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tham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dự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kết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nối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các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hoạt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khoa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học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ở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vị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thế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340">
        <w:rPr>
          <w:rFonts w:ascii="Times New Roman" w:hAnsi="Times New Roman" w:cs="Times New Roman"/>
          <w:sz w:val="28"/>
          <w:szCs w:val="28"/>
          <w:lang w:val="en-US"/>
        </w:rPr>
        <w:t>mới</w:t>
      </w:r>
      <w:proofErr w:type="spellEnd"/>
      <w:r w:rsidR="00F20340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sectPr w:rsidR="00D2692C" w:rsidRPr="00D2692C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CB336" w14:textId="77777777" w:rsidR="00B57C2A" w:rsidRDefault="00B57C2A" w:rsidP="00A637C1">
      <w:pPr>
        <w:spacing w:after="0" w:line="240" w:lineRule="auto"/>
      </w:pPr>
      <w:r>
        <w:separator/>
      </w:r>
    </w:p>
  </w:endnote>
  <w:endnote w:type="continuationSeparator" w:id="0">
    <w:p w14:paraId="44343D69" w14:textId="77777777" w:rsidR="00B57C2A" w:rsidRDefault="00B57C2A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5482647"/>
      <w:docPartObj>
        <w:docPartGallery w:val="Page Numbers (Bottom of Page)"/>
        <w:docPartUnique/>
      </w:docPartObj>
    </w:sdtPr>
    <w:sdtContent>
      <w:p w14:paraId="3AC31FF2" w14:textId="17F2A2F6" w:rsidR="00D0612D" w:rsidRDefault="00D0612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FC2A59" w14:textId="77777777" w:rsidR="00D0612D" w:rsidRDefault="00D061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E079D" w14:textId="77777777" w:rsidR="00B57C2A" w:rsidRDefault="00B57C2A" w:rsidP="00A637C1">
      <w:pPr>
        <w:spacing w:after="0" w:line="240" w:lineRule="auto"/>
      </w:pPr>
      <w:r>
        <w:separator/>
      </w:r>
    </w:p>
  </w:footnote>
  <w:footnote w:type="continuationSeparator" w:id="0">
    <w:p w14:paraId="648D81AC" w14:textId="77777777" w:rsidR="00B57C2A" w:rsidRDefault="00B57C2A" w:rsidP="00A6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075A2"/>
    <w:multiLevelType w:val="multilevel"/>
    <w:tmpl w:val="A9DAB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5B2612"/>
    <w:multiLevelType w:val="hybridMultilevel"/>
    <w:tmpl w:val="E8C80408"/>
    <w:lvl w:ilvl="0" w:tplc="6602DA3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00000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633DA"/>
    <w:multiLevelType w:val="hybridMultilevel"/>
    <w:tmpl w:val="0F72E1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33740"/>
    <w:multiLevelType w:val="hybridMultilevel"/>
    <w:tmpl w:val="227A2DEA"/>
    <w:lvl w:ilvl="0" w:tplc="8FBCB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D6"/>
    <w:rsid w:val="00340F28"/>
    <w:rsid w:val="00397E9A"/>
    <w:rsid w:val="003C52CE"/>
    <w:rsid w:val="003F27EB"/>
    <w:rsid w:val="004236A4"/>
    <w:rsid w:val="00492F6F"/>
    <w:rsid w:val="00711345"/>
    <w:rsid w:val="00960AD6"/>
    <w:rsid w:val="009700A2"/>
    <w:rsid w:val="009846AB"/>
    <w:rsid w:val="00984F76"/>
    <w:rsid w:val="00995D6D"/>
    <w:rsid w:val="00A637C1"/>
    <w:rsid w:val="00AE1A19"/>
    <w:rsid w:val="00B57C2A"/>
    <w:rsid w:val="00CB49F9"/>
    <w:rsid w:val="00D0612D"/>
    <w:rsid w:val="00D2692C"/>
    <w:rsid w:val="00EA202E"/>
    <w:rsid w:val="00F20340"/>
    <w:rsid w:val="00F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ED97"/>
  <w15:chartTrackingRefBased/>
  <w15:docId w15:val="{60493856-6C03-44C8-B6E5-472F5026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2F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63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37C1"/>
  </w:style>
  <w:style w:type="paragraph" w:styleId="Fuzeile">
    <w:name w:val="footer"/>
    <w:basedOn w:val="Standard"/>
    <w:link w:val="FuzeileZchn"/>
    <w:uiPriority w:val="99"/>
    <w:unhideWhenUsed/>
    <w:rsid w:val="00A63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9B3BAE-CEEA-4CDB-A816-A32C3E83B9CD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AAFD362E-F606-4D03-9A43-8D9A49FE4D64}">
      <dgm:prSet phldrT="[Text]"/>
      <dgm:spPr/>
      <dgm:t>
        <a:bodyPr/>
        <a:lstStyle/>
        <a:p>
          <a:pPr algn="ctr"/>
          <a:r>
            <a:rPr lang="de-DE" dirty="0"/>
            <a:t>Abstract (</a:t>
          </a:r>
          <a:r>
            <a:rPr lang="de-DE" dirty="0" err="1"/>
            <a:t>extended</a:t>
          </a:r>
          <a:r>
            <a:rPr lang="de-DE" dirty="0"/>
            <a:t> </a:t>
          </a:r>
          <a:r>
            <a:rPr lang="de-DE" dirty="0" err="1"/>
            <a:t>abstract</a:t>
          </a:r>
          <a:r>
            <a:rPr lang="de-DE" dirty="0"/>
            <a:t>)</a:t>
          </a:r>
        </a:p>
      </dgm:t>
    </dgm:pt>
    <dgm:pt modelId="{610E73E0-F22C-4576-B99B-D78FA33D6697}" type="parTrans" cxnId="{7659E34E-9212-4226-9693-012C519B6F72}">
      <dgm:prSet/>
      <dgm:spPr/>
      <dgm:t>
        <a:bodyPr/>
        <a:lstStyle/>
        <a:p>
          <a:pPr algn="ctr"/>
          <a:endParaRPr lang="de-DE"/>
        </a:p>
      </dgm:t>
    </dgm:pt>
    <dgm:pt modelId="{52A92C49-8ADA-4121-A6C6-6F5FB71BF69E}" type="sibTrans" cxnId="{7659E34E-9212-4226-9693-012C519B6F72}">
      <dgm:prSet/>
      <dgm:spPr/>
      <dgm:t>
        <a:bodyPr/>
        <a:lstStyle/>
        <a:p>
          <a:pPr algn="ctr"/>
          <a:endParaRPr lang="de-DE"/>
        </a:p>
      </dgm:t>
    </dgm:pt>
    <dgm:pt modelId="{8ED9CECF-B0DB-4457-91A6-C32791E5A0F9}">
      <dgm:prSet phldrT="[Text]"/>
      <dgm:spPr/>
      <dgm:t>
        <a:bodyPr/>
        <a:lstStyle/>
        <a:p>
          <a:pPr algn="ctr"/>
          <a:r>
            <a:rPr lang="de-DE" dirty="0" err="1"/>
            <a:t>Full</a:t>
          </a:r>
          <a:r>
            <a:rPr lang="de-DE" dirty="0"/>
            <a:t> </a:t>
          </a:r>
          <a:r>
            <a:rPr lang="de-DE" dirty="0" err="1"/>
            <a:t>paper</a:t>
          </a:r>
          <a:r>
            <a:rPr lang="de-DE" dirty="0"/>
            <a:t> (</a:t>
          </a:r>
          <a:r>
            <a:rPr lang="de-DE" dirty="0" err="1"/>
            <a:t>manuscript</a:t>
          </a:r>
          <a:r>
            <a:rPr lang="de-DE" dirty="0"/>
            <a:t> </a:t>
          </a:r>
          <a:r>
            <a:rPr lang="de-DE" dirty="0" err="1"/>
            <a:t>ready</a:t>
          </a:r>
          <a:r>
            <a:rPr lang="de-DE" dirty="0"/>
            <a:t>)</a:t>
          </a:r>
        </a:p>
      </dgm:t>
    </dgm:pt>
    <dgm:pt modelId="{2530E3A6-EEF0-4E09-9B6A-80E88F2287FF}" type="parTrans" cxnId="{19D31B0E-1AB3-4A43-BF7C-4B1CB2BC68F6}">
      <dgm:prSet/>
      <dgm:spPr/>
      <dgm:t>
        <a:bodyPr/>
        <a:lstStyle/>
        <a:p>
          <a:pPr algn="ctr"/>
          <a:endParaRPr lang="de-DE"/>
        </a:p>
      </dgm:t>
    </dgm:pt>
    <dgm:pt modelId="{2649F1E7-0B01-4806-A32E-1E7CF22BC5FE}" type="sibTrans" cxnId="{19D31B0E-1AB3-4A43-BF7C-4B1CB2BC68F6}">
      <dgm:prSet/>
      <dgm:spPr/>
      <dgm:t>
        <a:bodyPr/>
        <a:lstStyle/>
        <a:p>
          <a:pPr algn="ctr"/>
          <a:endParaRPr lang="de-DE"/>
        </a:p>
      </dgm:t>
    </dgm:pt>
    <dgm:pt modelId="{AD8DBF52-C266-40DF-BB37-DA4961552D0F}">
      <dgm:prSet phldrT="[Text]"/>
      <dgm:spPr/>
      <dgm:t>
        <a:bodyPr/>
        <a:lstStyle/>
        <a:p>
          <a:pPr algn="ctr"/>
          <a:r>
            <a:rPr lang="de-DE" dirty="0" err="1"/>
            <a:t>Presentation</a:t>
          </a:r>
          <a:r>
            <a:rPr lang="de-DE" dirty="0"/>
            <a:t> </a:t>
          </a:r>
        </a:p>
      </dgm:t>
    </dgm:pt>
    <dgm:pt modelId="{6AC4B3A8-5035-4310-89FE-1EEBB3BB7C3D}" type="parTrans" cxnId="{137CDE4D-3196-40C6-83C0-035270A1DE34}">
      <dgm:prSet/>
      <dgm:spPr/>
      <dgm:t>
        <a:bodyPr/>
        <a:lstStyle/>
        <a:p>
          <a:pPr algn="ctr"/>
          <a:endParaRPr lang="de-DE"/>
        </a:p>
      </dgm:t>
    </dgm:pt>
    <dgm:pt modelId="{80B1B505-4BF8-4CA5-B292-B7DC26BB1C4F}" type="sibTrans" cxnId="{137CDE4D-3196-40C6-83C0-035270A1DE34}">
      <dgm:prSet/>
      <dgm:spPr/>
      <dgm:t>
        <a:bodyPr/>
        <a:lstStyle/>
        <a:p>
          <a:pPr algn="ctr"/>
          <a:endParaRPr lang="de-DE"/>
        </a:p>
      </dgm:t>
    </dgm:pt>
    <dgm:pt modelId="{1F879810-01AC-40CE-AE2F-50A912C6DD49}">
      <dgm:prSet/>
      <dgm:spPr/>
      <dgm:t>
        <a:bodyPr/>
        <a:lstStyle/>
        <a:p>
          <a:pPr algn="ctr"/>
          <a:r>
            <a:rPr lang="de-DE" dirty="0" err="1"/>
            <a:t>Developing</a:t>
          </a:r>
          <a:r>
            <a:rPr lang="de-DE" dirty="0"/>
            <a:t> </a:t>
          </a:r>
          <a:r>
            <a:rPr lang="de-DE" dirty="0" err="1"/>
            <a:t>paper</a:t>
          </a:r>
          <a:endParaRPr lang="de-DE" dirty="0"/>
        </a:p>
      </dgm:t>
    </dgm:pt>
    <dgm:pt modelId="{B64F192A-4F44-4212-BEB5-BFA4E45A4B0E}" type="parTrans" cxnId="{38B62B4C-4792-42AC-98F7-FF9DC442E0DC}">
      <dgm:prSet/>
      <dgm:spPr/>
      <dgm:t>
        <a:bodyPr/>
        <a:lstStyle/>
        <a:p>
          <a:pPr algn="ctr"/>
          <a:endParaRPr lang="de-DE"/>
        </a:p>
      </dgm:t>
    </dgm:pt>
    <dgm:pt modelId="{5199E179-2706-4585-81BE-75F07F95870B}" type="sibTrans" cxnId="{38B62B4C-4792-42AC-98F7-FF9DC442E0DC}">
      <dgm:prSet/>
      <dgm:spPr/>
      <dgm:t>
        <a:bodyPr/>
        <a:lstStyle/>
        <a:p>
          <a:pPr algn="ctr"/>
          <a:endParaRPr lang="de-DE"/>
        </a:p>
      </dgm:t>
    </dgm:pt>
    <dgm:pt modelId="{83124231-3E5C-4848-9794-4AE5D4FF5B87}" type="pres">
      <dgm:prSet presAssocID="{939B3BAE-CEEA-4CDB-A816-A32C3E83B9CD}" presName="CompostProcess" presStyleCnt="0">
        <dgm:presLayoutVars>
          <dgm:dir/>
          <dgm:resizeHandles val="exact"/>
        </dgm:presLayoutVars>
      </dgm:prSet>
      <dgm:spPr/>
    </dgm:pt>
    <dgm:pt modelId="{CC25A2C7-D601-43F6-B516-C452F86CFA9B}" type="pres">
      <dgm:prSet presAssocID="{939B3BAE-CEEA-4CDB-A816-A32C3E83B9CD}" presName="arrow" presStyleLbl="bgShp" presStyleIdx="0" presStyleCnt="1"/>
      <dgm:spPr/>
    </dgm:pt>
    <dgm:pt modelId="{4D1CEE8A-DAF1-454C-82FD-F6B42DF7E990}" type="pres">
      <dgm:prSet presAssocID="{939B3BAE-CEEA-4CDB-A816-A32C3E83B9CD}" presName="linearProcess" presStyleCnt="0"/>
      <dgm:spPr/>
    </dgm:pt>
    <dgm:pt modelId="{8F08D3A2-313B-4822-A2AE-C80565A03217}" type="pres">
      <dgm:prSet presAssocID="{AAFD362E-F606-4D03-9A43-8D9A49FE4D64}" presName="textNode" presStyleLbl="node1" presStyleIdx="0" presStyleCnt="4">
        <dgm:presLayoutVars>
          <dgm:bulletEnabled val="1"/>
        </dgm:presLayoutVars>
      </dgm:prSet>
      <dgm:spPr/>
    </dgm:pt>
    <dgm:pt modelId="{979FE58F-E2BC-4E28-8F08-3C4AA16D97CF}" type="pres">
      <dgm:prSet presAssocID="{52A92C49-8ADA-4121-A6C6-6F5FB71BF69E}" presName="sibTrans" presStyleCnt="0"/>
      <dgm:spPr/>
    </dgm:pt>
    <dgm:pt modelId="{48469E83-6EC4-4141-80E2-BF5B079D9E17}" type="pres">
      <dgm:prSet presAssocID="{8ED9CECF-B0DB-4457-91A6-C32791E5A0F9}" presName="textNode" presStyleLbl="node1" presStyleIdx="1" presStyleCnt="4">
        <dgm:presLayoutVars>
          <dgm:bulletEnabled val="1"/>
        </dgm:presLayoutVars>
      </dgm:prSet>
      <dgm:spPr/>
    </dgm:pt>
    <dgm:pt modelId="{D19E51E2-64CE-47E9-A3F7-7C104468809D}" type="pres">
      <dgm:prSet presAssocID="{2649F1E7-0B01-4806-A32E-1E7CF22BC5FE}" presName="sibTrans" presStyleCnt="0"/>
      <dgm:spPr/>
    </dgm:pt>
    <dgm:pt modelId="{F9746F36-CEED-43AA-AA13-D5B5C462D910}" type="pres">
      <dgm:prSet presAssocID="{AD8DBF52-C266-40DF-BB37-DA4961552D0F}" presName="textNode" presStyleLbl="node1" presStyleIdx="2" presStyleCnt="4">
        <dgm:presLayoutVars>
          <dgm:bulletEnabled val="1"/>
        </dgm:presLayoutVars>
      </dgm:prSet>
      <dgm:spPr/>
    </dgm:pt>
    <dgm:pt modelId="{9BB27F5E-1158-46FF-8C04-921FBE035981}" type="pres">
      <dgm:prSet presAssocID="{80B1B505-4BF8-4CA5-B292-B7DC26BB1C4F}" presName="sibTrans" presStyleCnt="0"/>
      <dgm:spPr/>
    </dgm:pt>
    <dgm:pt modelId="{FB4F0E81-BC6C-48E7-9C20-5AD4AE428E8C}" type="pres">
      <dgm:prSet presAssocID="{1F879810-01AC-40CE-AE2F-50A912C6DD49}" presName="textNode" presStyleLbl="node1" presStyleIdx="3" presStyleCnt="4">
        <dgm:presLayoutVars>
          <dgm:bulletEnabled val="1"/>
        </dgm:presLayoutVars>
      </dgm:prSet>
      <dgm:spPr/>
    </dgm:pt>
  </dgm:ptLst>
  <dgm:cxnLst>
    <dgm:cxn modelId="{19D31B0E-1AB3-4A43-BF7C-4B1CB2BC68F6}" srcId="{939B3BAE-CEEA-4CDB-A816-A32C3E83B9CD}" destId="{8ED9CECF-B0DB-4457-91A6-C32791E5A0F9}" srcOrd="1" destOrd="0" parTransId="{2530E3A6-EEF0-4E09-9B6A-80E88F2287FF}" sibTransId="{2649F1E7-0B01-4806-A32E-1E7CF22BC5FE}"/>
    <dgm:cxn modelId="{5BC1381B-CD68-4FE5-8AFD-E5D40F0E743A}" type="presOf" srcId="{939B3BAE-CEEA-4CDB-A816-A32C3E83B9CD}" destId="{83124231-3E5C-4848-9794-4AE5D4FF5B87}" srcOrd="0" destOrd="0" presId="urn:microsoft.com/office/officeart/2005/8/layout/hProcess9"/>
    <dgm:cxn modelId="{6FE33042-659C-4E27-933B-93D6D6C85FEE}" type="presOf" srcId="{8ED9CECF-B0DB-4457-91A6-C32791E5A0F9}" destId="{48469E83-6EC4-4141-80E2-BF5B079D9E17}" srcOrd="0" destOrd="0" presId="urn:microsoft.com/office/officeart/2005/8/layout/hProcess9"/>
    <dgm:cxn modelId="{38B62B4C-4792-42AC-98F7-FF9DC442E0DC}" srcId="{939B3BAE-CEEA-4CDB-A816-A32C3E83B9CD}" destId="{1F879810-01AC-40CE-AE2F-50A912C6DD49}" srcOrd="3" destOrd="0" parTransId="{B64F192A-4F44-4212-BEB5-BFA4E45A4B0E}" sibTransId="{5199E179-2706-4585-81BE-75F07F95870B}"/>
    <dgm:cxn modelId="{137CDE4D-3196-40C6-83C0-035270A1DE34}" srcId="{939B3BAE-CEEA-4CDB-A816-A32C3E83B9CD}" destId="{AD8DBF52-C266-40DF-BB37-DA4961552D0F}" srcOrd="2" destOrd="0" parTransId="{6AC4B3A8-5035-4310-89FE-1EEBB3BB7C3D}" sibTransId="{80B1B505-4BF8-4CA5-B292-B7DC26BB1C4F}"/>
    <dgm:cxn modelId="{7659E34E-9212-4226-9693-012C519B6F72}" srcId="{939B3BAE-CEEA-4CDB-A816-A32C3E83B9CD}" destId="{AAFD362E-F606-4D03-9A43-8D9A49FE4D64}" srcOrd="0" destOrd="0" parTransId="{610E73E0-F22C-4576-B99B-D78FA33D6697}" sibTransId="{52A92C49-8ADA-4121-A6C6-6F5FB71BF69E}"/>
    <dgm:cxn modelId="{25953A78-5B68-47CD-A992-A2415CB19D85}" type="presOf" srcId="{AAFD362E-F606-4D03-9A43-8D9A49FE4D64}" destId="{8F08D3A2-313B-4822-A2AE-C80565A03217}" srcOrd="0" destOrd="0" presId="urn:microsoft.com/office/officeart/2005/8/layout/hProcess9"/>
    <dgm:cxn modelId="{D5EE377A-9CC3-4AA4-99A8-6AA3D1EC458F}" type="presOf" srcId="{1F879810-01AC-40CE-AE2F-50A912C6DD49}" destId="{FB4F0E81-BC6C-48E7-9C20-5AD4AE428E8C}" srcOrd="0" destOrd="0" presId="urn:microsoft.com/office/officeart/2005/8/layout/hProcess9"/>
    <dgm:cxn modelId="{48B317BF-9A04-4932-B904-B1B0D759804E}" type="presOf" srcId="{AD8DBF52-C266-40DF-BB37-DA4961552D0F}" destId="{F9746F36-CEED-43AA-AA13-D5B5C462D910}" srcOrd="0" destOrd="0" presId="urn:microsoft.com/office/officeart/2005/8/layout/hProcess9"/>
    <dgm:cxn modelId="{D80F7101-0C8E-49B3-A4BB-EE57974BF147}" type="presParOf" srcId="{83124231-3E5C-4848-9794-4AE5D4FF5B87}" destId="{CC25A2C7-D601-43F6-B516-C452F86CFA9B}" srcOrd="0" destOrd="0" presId="urn:microsoft.com/office/officeart/2005/8/layout/hProcess9"/>
    <dgm:cxn modelId="{5CCECEAF-1874-4404-A915-3B631D692FFA}" type="presParOf" srcId="{83124231-3E5C-4848-9794-4AE5D4FF5B87}" destId="{4D1CEE8A-DAF1-454C-82FD-F6B42DF7E990}" srcOrd="1" destOrd="0" presId="urn:microsoft.com/office/officeart/2005/8/layout/hProcess9"/>
    <dgm:cxn modelId="{4E836CEC-270E-495F-AB2A-7445C23F5F86}" type="presParOf" srcId="{4D1CEE8A-DAF1-454C-82FD-F6B42DF7E990}" destId="{8F08D3A2-313B-4822-A2AE-C80565A03217}" srcOrd="0" destOrd="0" presId="urn:microsoft.com/office/officeart/2005/8/layout/hProcess9"/>
    <dgm:cxn modelId="{02E99A2F-C199-4DF6-A6B1-2C615E8F0001}" type="presParOf" srcId="{4D1CEE8A-DAF1-454C-82FD-F6B42DF7E990}" destId="{979FE58F-E2BC-4E28-8F08-3C4AA16D97CF}" srcOrd="1" destOrd="0" presId="urn:microsoft.com/office/officeart/2005/8/layout/hProcess9"/>
    <dgm:cxn modelId="{EE74EBF0-AA56-4075-AEB5-A223A8BA0FD0}" type="presParOf" srcId="{4D1CEE8A-DAF1-454C-82FD-F6B42DF7E990}" destId="{48469E83-6EC4-4141-80E2-BF5B079D9E17}" srcOrd="2" destOrd="0" presId="urn:microsoft.com/office/officeart/2005/8/layout/hProcess9"/>
    <dgm:cxn modelId="{5E282130-08C1-40C5-AB9D-DAAC7A5D237D}" type="presParOf" srcId="{4D1CEE8A-DAF1-454C-82FD-F6B42DF7E990}" destId="{D19E51E2-64CE-47E9-A3F7-7C104468809D}" srcOrd="3" destOrd="0" presId="urn:microsoft.com/office/officeart/2005/8/layout/hProcess9"/>
    <dgm:cxn modelId="{705258C3-5A41-4E68-9A43-EF28D55B78A6}" type="presParOf" srcId="{4D1CEE8A-DAF1-454C-82FD-F6B42DF7E990}" destId="{F9746F36-CEED-43AA-AA13-D5B5C462D910}" srcOrd="4" destOrd="0" presId="urn:microsoft.com/office/officeart/2005/8/layout/hProcess9"/>
    <dgm:cxn modelId="{F353B553-0E20-418D-8752-E654FB509A8A}" type="presParOf" srcId="{4D1CEE8A-DAF1-454C-82FD-F6B42DF7E990}" destId="{9BB27F5E-1158-46FF-8C04-921FBE035981}" srcOrd="5" destOrd="0" presId="urn:microsoft.com/office/officeart/2005/8/layout/hProcess9"/>
    <dgm:cxn modelId="{E3F949A3-8766-409A-991C-7D8814683FB3}" type="presParOf" srcId="{4D1CEE8A-DAF1-454C-82FD-F6B42DF7E990}" destId="{FB4F0E81-BC6C-48E7-9C20-5AD4AE428E8C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25A2C7-D601-43F6-B516-C452F86CFA9B}">
      <dsp:nvSpPr>
        <dsp:cNvPr id="0" name=""/>
        <dsp:cNvSpPr/>
      </dsp:nvSpPr>
      <dsp:spPr>
        <a:xfrm>
          <a:off x="323932" y="0"/>
          <a:ext cx="3671233" cy="1779373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08D3A2-313B-4822-A2AE-C80565A03217}">
      <dsp:nvSpPr>
        <dsp:cNvPr id="0" name=""/>
        <dsp:cNvSpPr/>
      </dsp:nvSpPr>
      <dsp:spPr>
        <a:xfrm>
          <a:off x="2161" y="533811"/>
          <a:ext cx="1039704" cy="7117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 dirty="0"/>
            <a:t>Abstract (</a:t>
          </a:r>
          <a:r>
            <a:rPr lang="de-DE" sz="1200" kern="1200" dirty="0" err="1"/>
            <a:t>extended</a:t>
          </a:r>
          <a:r>
            <a:rPr lang="de-DE" sz="1200" kern="1200" dirty="0"/>
            <a:t> </a:t>
          </a:r>
          <a:r>
            <a:rPr lang="de-DE" sz="1200" kern="1200" dirty="0" err="1"/>
            <a:t>abstract</a:t>
          </a:r>
          <a:r>
            <a:rPr lang="de-DE" sz="1200" kern="1200" dirty="0"/>
            <a:t>)</a:t>
          </a:r>
        </a:p>
      </dsp:txBody>
      <dsp:txXfrm>
        <a:off x="36906" y="568556"/>
        <a:ext cx="970214" cy="642259"/>
      </dsp:txXfrm>
    </dsp:sp>
    <dsp:sp modelId="{48469E83-6EC4-4141-80E2-BF5B079D9E17}">
      <dsp:nvSpPr>
        <dsp:cNvPr id="0" name=""/>
        <dsp:cNvSpPr/>
      </dsp:nvSpPr>
      <dsp:spPr>
        <a:xfrm>
          <a:off x="1093851" y="533811"/>
          <a:ext cx="1039704" cy="7117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 dirty="0" err="1"/>
            <a:t>Full</a:t>
          </a:r>
          <a:r>
            <a:rPr lang="de-DE" sz="1200" kern="1200" dirty="0"/>
            <a:t> </a:t>
          </a:r>
          <a:r>
            <a:rPr lang="de-DE" sz="1200" kern="1200" dirty="0" err="1"/>
            <a:t>paper</a:t>
          </a:r>
          <a:r>
            <a:rPr lang="de-DE" sz="1200" kern="1200" dirty="0"/>
            <a:t> (</a:t>
          </a:r>
          <a:r>
            <a:rPr lang="de-DE" sz="1200" kern="1200" dirty="0" err="1"/>
            <a:t>manuscript</a:t>
          </a:r>
          <a:r>
            <a:rPr lang="de-DE" sz="1200" kern="1200" dirty="0"/>
            <a:t> </a:t>
          </a:r>
          <a:r>
            <a:rPr lang="de-DE" sz="1200" kern="1200" dirty="0" err="1"/>
            <a:t>ready</a:t>
          </a:r>
          <a:r>
            <a:rPr lang="de-DE" sz="1200" kern="1200" dirty="0"/>
            <a:t>)</a:t>
          </a:r>
        </a:p>
      </dsp:txBody>
      <dsp:txXfrm>
        <a:off x="1128596" y="568556"/>
        <a:ext cx="970214" cy="642259"/>
      </dsp:txXfrm>
    </dsp:sp>
    <dsp:sp modelId="{F9746F36-CEED-43AA-AA13-D5B5C462D910}">
      <dsp:nvSpPr>
        <dsp:cNvPr id="0" name=""/>
        <dsp:cNvSpPr/>
      </dsp:nvSpPr>
      <dsp:spPr>
        <a:xfrm>
          <a:off x="2185541" y="533811"/>
          <a:ext cx="1039704" cy="7117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 dirty="0" err="1"/>
            <a:t>Presentation</a:t>
          </a:r>
          <a:r>
            <a:rPr lang="de-DE" sz="1200" kern="1200" dirty="0"/>
            <a:t> </a:t>
          </a:r>
        </a:p>
      </dsp:txBody>
      <dsp:txXfrm>
        <a:off x="2220286" y="568556"/>
        <a:ext cx="970214" cy="642259"/>
      </dsp:txXfrm>
    </dsp:sp>
    <dsp:sp modelId="{FB4F0E81-BC6C-48E7-9C20-5AD4AE428E8C}">
      <dsp:nvSpPr>
        <dsp:cNvPr id="0" name=""/>
        <dsp:cNvSpPr/>
      </dsp:nvSpPr>
      <dsp:spPr>
        <a:xfrm>
          <a:off x="3277231" y="533811"/>
          <a:ext cx="1039704" cy="7117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 dirty="0" err="1"/>
            <a:t>Developing</a:t>
          </a:r>
          <a:r>
            <a:rPr lang="de-DE" sz="1200" kern="1200" dirty="0"/>
            <a:t> </a:t>
          </a:r>
          <a:r>
            <a:rPr lang="de-DE" sz="1200" kern="1200" dirty="0" err="1"/>
            <a:t>paper</a:t>
          </a:r>
          <a:endParaRPr lang="de-DE" sz="1200" kern="1200" dirty="0"/>
        </a:p>
      </dsp:txBody>
      <dsp:txXfrm>
        <a:off x="3311976" y="568556"/>
        <a:ext cx="970214" cy="642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EA74-8C8A-42BE-B5D1-37BE408A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1281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HoaiNga Nguyen</dc:creator>
  <cp:keywords/>
  <dc:description/>
  <cp:lastModifiedBy>HoaiNga Nguyen</cp:lastModifiedBy>
  <cp:revision>5</cp:revision>
  <dcterms:created xsi:type="dcterms:W3CDTF">2020-06-17T06:19:00Z</dcterms:created>
  <dcterms:modified xsi:type="dcterms:W3CDTF">2020-06-17T12:37:00Z</dcterms:modified>
</cp:coreProperties>
</file>