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0DC" w:rsidRPr="00EA0E0B" w:rsidRDefault="005E6E0F" w:rsidP="005E6E0F">
      <w:pPr>
        <w:pStyle w:val="Els-Title"/>
        <w:spacing w:line="240" w:lineRule="auto"/>
        <w:rPr>
          <w:sz w:val="30"/>
        </w:rPr>
      </w:pPr>
      <w:r w:rsidRPr="005E6E0F">
        <w:rPr>
          <w:sz w:val="30"/>
        </w:rPr>
        <w:t xml:space="preserve">Amplitude anomalies in </w:t>
      </w:r>
      <w:r>
        <w:rPr>
          <w:sz w:val="30"/>
        </w:rPr>
        <w:t xml:space="preserve">the </w:t>
      </w:r>
      <w:r w:rsidRPr="005E6E0F">
        <w:rPr>
          <w:sz w:val="30"/>
        </w:rPr>
        <w:t>central Song Hong basin</w:t>
      </w:r>
    </w:p>
    <w:p w:rsidR="00337C54" w:rsidRPr="00EA0E0B" w:rsidRDefault="00337C54" w:rsidP="008E2512">
      <w:pPr>
        <w:jc w:val="center"/>
        <w:rPr>
          <w:szCs w:val="26"/>
          <w:lang w:val="fr-FR"/>
        </w:rPr>
      </w:pPr>
    </w:p>
    <w:p w:rsidR="005E6E0F" w:rsidRPr="00EA0E0B" w:rsidRDefault="005E6E0F" w:rsidP="005E6E0F">
      <w:pPr>
        <w:pStyle w:val="2Tcgi"/>
        <w:rPr>
          <w:vertAlign w:val="superscript"/>
          <w:lang w:val="fr-FR"/>
        </w:rPr>
      </w:pPr>
      <w:r>
        <w:rPr>
          <w:lang w:val="fr-FR"/>
        </w:rPr>
        <w:t>Anh Ngoc Le</w:t>
      </w:r>
      <w:r w:rsidRPr="00EA0E0B">
        <w:rPr>
          <w:vertAlign w:val="superscript"/>
          <w:lang w:val="fr-FR"/>
        </w:rPr>
        <w:t>1</w:t>
      </w:r>
      <w:r>
        <w:rPr>
          <w:vertAlign w:val="superscript"/>
          <w:lang w:val="fr-FR"/>
        </w:rPr>
        <w:t>*</w:t>
      </w:r>
      <w:r w:rsidRPr="00EA0E0B">
        <w:rPr>
          <w:lang w:val="fr-FR"/>
        </w:rPr>
        <w:t xml:space="preserve">, </w:t>
      </w:r>
      <w:r>
        <w:rPr>
          <w:lang w:val="fr-FR"/>
        </w:rPr>
        <w:t>Ngan Thi Bui</w:t>
      </w:r>
      <w:r>
        <w:rPr>
          <w:vertAlign w:val="superscript"/>
          <w:lang w:val="fr-FR"/>
        </w:rPr>
        <w:t>1</w:t>
      </w:r>
      <w:r w:rsidRPr="00EA0E0B">
        <w:rPr>
          <w:vertAlign w:val="subscript"/>
          <w:lang w:val="fr-FR"/>
        </w:rPr>
        <w:t>,</w:t>
      </w:r>
      <w:r w:rsidRPr="00EA0E0B">
        <w:rPr>
          <w:lang w:val="fr-FR"/>
        </w:rPr>
        <w:t xml:space="preserve"> </w:t>
      </w:r>
      <w:r>
        <w:rPr>
          <w:lang w:val="fr-FR"/>
        </w:rPr>
        <w:t>Oanh Thi Tran</w:t>
      </w:r>
      <w:r w:rsidRPr="001C30EC">
        <w:rPr>
          <w:vertAlign w:val="superscript"/>
          <w:lang w:val="fr-FR"/>
        </w:rPr>
        <w:t>2</w:t>
      </w:r>
      <w:r w:rsidRPr="001C30EC">
        <w:rPr>
          <w:lang w:val="fr-FR"/>
        </w:rPr>
        <w:t>,</w:t>
      </w:r>
      <w:r>
        <w:rPr>
          <w:lang w:val="fr-FR"/>
        </w:rPr>
        <w:t xml:space="preserve"> Hang Thu Thi Nguyen</w:t>
      </w:r>
      <w:r>
        <w:rPr>
          <w:vertAlign w:val="superscript"/>
          <w:lang w:val="fr-FR"/>
        </w:rPr>
        <w:t>1</w:t>
      </w:r>
      <w:r>
        <w:rPr>
          <w:lang w:val="fr-FR"/>
        </w:rPr>
        <w:t>, Hiep Quoc Le</w:t>
      </w:r>
      <w:r>
        <w:rPr>
          <w:vertAlign w:val="superscript"/>
          <w:lang w:val="fr-FR"/>
        </w:rPr>
        <w:t>1</w:t>
      </w:r>
    </w:p>
    <w:p w:rsidR="005E6E0F" w:rsidRPr="00EA0E0B" w:rsidRDefault="005E6E0F" w:rsidP="005E6E0F">
      <w:pPr>
        <w:pStyle w:val="3ach"/>
      </w:pPr>
      <w:r w:rsidRPr="00EA0E0B">
        <w:rPr>
          <w:vertAlign w:val="superscript"/>
        </w:rPr>
        <w:t>1</w:t>
      </w:r>
      <w:r w:rsidRPr="00EA0E0B">
        <w:t xml:space="preserve"> Hanoi University of Mining and Geology</w:t>
      </w:r>
    </w:p>
    <w:p w:rsidR="005E6E0F" w:rsidRPr="00EA0E0B" w:rsidRDefault="005E6E0F" w:rsidP="005E6E0F">
      <w:pPr>
        <w:pStyle w:val="3ach"/>
        <w:rPr>
          <w:rStyle w:val="A7"/>
          <w:i w:val="0"/>
          <w:szCs w:val="20"/>
        </w:rPr>
      </w:pPr>
      <w:r w:rsidRPr="00EA0E0B">
        <w:rPr>
          <w:color w:val="000000" w:themeColor="text1"/>
          <w:vertAlign w:val="superscript"/>
        </w:rPr>
        <w:t>2</w:t>
      </w:r>
      <w:r w:rsidRPr="00EA0E0B">
        <w:rPr>
          <w:color w:val="000000" w:themeColor="text1"/>
        </w:rPr>
        <w:t xml:space="preserve"> </w:t>
      </w:r>
      <w:r w:rsidRPr="001B6FA9">
        <w:rPr>
          <w:color w:val="000000" w:themeColor="text1"/>
        </w:rPr>
        <w:t>PetroVietnam University</w:t>
      </w:r>
    </w:p>
    <w:p w:rsidR="008E2512" w:rsidRPr="00EA0E0B" w:rsidRDefault="008E2512" w:rsidP="008E2512">
      <w:pPr>
        <w:jc w:val="center"/>
        <w:rPr>
          <w:rStyle w:val="A7"/>
          <w:rFonts w:cs="Times New Roman"/>
          <w:i/>
          <w:sz w:val="20"/>
          <w:szCs w:val="20"/>
        </w:rPr>
      </w:pPr>
    </w:p>
    <w:p w:rsidR="00ED275E" w:rsidRPr="00EA0E0B" w:rsidRDefault="00ED275E" w:rsidP="00ED275E">
      <w:pPr>
        <w:jc w:val="center"/>
        <w:rPr>
          <w:color w:val="000000" w:themeColor="text1"/>
          <w:lang w:val="en-US"/>
        </w:rPr>
      </w:pPr>
    </w:p>
    <w:p w:rsidR="008E2512" w:rsidRPr="00EA0E0B" w:rsidRDefault="005E6E0F" w:rsidP="00706DC5">
      <w:pPr>
        <w:pStyle w:val="Els-Abstract-head"/>
        <w:pBdr>
          <w:top w:val="single" w:sz="4" w:space="1" w:color="auto"/>
          <w:bottom w:val="single" w:sz="4" w:space="1" w:color="auto"/>
        </w:pBdr>
        <w:spacing w:before="120" w:after="120" w:line="240" w:lineRule="auto"/>
        <w:jc w:val="both"/>
        <w:rPr>
          <w:szCs w:val="18"/>
        </w:rPr>
      </w:pPr>
      <w:r w:rsidRPr="005E6E0F">
        <w:rPr>
          <w:szCs w:val="18"/>
        </w:rPr>
        <w:t xml:space="preserve">ABSTRACT </w:t>
      </w:r>
    </w:p>
    <w:p w:rsidR="008E2512" w:rsidRPr="00EA0E0B" w:rsidRDefault="005E6E0F" w:rsidP="00DD099D">
      <w:pPr>
        <w:pBdr>
          <w:top w:val="single" w:sz="4" w:space="1" w:color="auto"/>
          <w:bottom w:val="single" w:sz="4" w:space="1" w:color="auto"/>
        </w:pBdr>
        <w:jc w:val="both"/>
        <w:rPr>
          <w:rStyle w:val="A7"/>
          <w:rFonts w:cs="Times New Roman"/>
          <w:sz w:val="20"/>
        </w:rPr>
      </w:pPr>
      <w:r w:rsidRPr="005E6E0F">
        <w:rPr>
          <w:rFonts w:eastAsiaTheme="minorHAnsi"/>
        </w:rPr>
        <w:t xml:space="preserve">Gas hydrates are found in many sedimentary basins, on the sub-oceanic sediments in the Polar Regions (shallow water) and in continental slope sediments (deep water), where suitable pressure and temperature conditions make them stable. Bottom simulating reflection (BSR) is known as a direct hydrocarbon indicator and also the base of the gas hydrate stability zone (GHSZ). This study, for the first time, investigates the occurrence of amplitude anomalies which </w:t>
      </w:r>
      <w:r w:rsidR="001D4ADA">
        <w:rPr>
          <w:rFonts w:eastAsiaTheme="minorHAnsi"/>
        </w:rPr>
        <w:t>are</w:t>
      </w:r>
      <w:r w:rsidRPr="005E6E0F">
        <w:rPr>
          <w:rFonts w:eastAsiaTheme="minorHAnsi"/>
        </w:rPr>
        <w:t xml:space="preserve"> inferred to the occurrence of gas hydrate in the central Song Hong basin based on 2D seismic data. The study us</w:t>
      </w:r>
      <w:r w:rsidR="00B46669">
        <w:rPr>
          <w:rFonts w:eastAsiaTheme="minorHAnsi"/>
        </w:rPr>
        <w:t>ed</w:t>
      </w:r>
      <w:r w:rsidRPr="005E6E0F">
        <w:rPr>
          <w:rFonts w:eastAsiaTheme="minorHAnsi"/>
        </w:rPr>
        <w:t xml:space="preserve"> 4 seismic lines located in the cent</w:t>
      </w:r>
      <w:r w:rsidR="001D4ADA">
        <w:rPr>
          <w:rFonts w:eastAsiaTheme="minorHAnsi"/>
        </w:rPr>
        <w:t>er</w:t>
      </w:r>
      <w:r w:rsidRPr="005E6E0F">
        <w:rPr>
          <w:rFonts w:eastAsiaTheme="minorHAnsi"/>
        </w:rPr>
        <w:t xml:space="preserve"> of the Song Hong basin, covering an area of c. 3900 km</w:t>
      </w:r>
      <w:r w:rsidRPr="00B46669">
        <w:rPr>
          <w:rFonts w:eastAsiaTheme="minorHAnsi"/>
          <w:vertAlign w:val="superscript"/>
        </w:rPr>
        <w:t>2</w:t>
      </w:r>
      <w:r w:rsidRPr="005E6E0F">
        <w:rPr>
          <w:rFonts w:eastAsiaTheme="minorHAnsi"/>
        </w:rPr>
        <w:t>. The BSR has been detected in the area of 150 km</w:t>
      </w:r>
      <w:r w:rsidRPr="00B46669">
        <w:rPr>
          <w:rFonts w:eastAsiaTheme="minorHAnsi"/>
          <w:vertAlign w:val="superscript"/>
        </w:rPr>
        <w:t>2</w:t>
      </w:r>
      <w:r w:rsidRPr="005E6E0F">
        <w:rPr>
          <w:rFonts w:eastAsiaTheme="minorHAnsi"/>
        </w:rPr>
        <w:t>, below the seafloor, parallel the seafloor</w:t>
      </w:r>
      <w:r w:rsidR="001D4ADA">
        <w:rPr>
          <w:rFonts w:eastAsiaTheme="minorHAnsi"/>
        </w:rPr>
        <w:t>,</w:t>
      </w:r>
      <w:r w:rsidRPr="005E6E0F">
        <w:rPr>
          <w:rFonts w:eastAsiaTheme="minorHAnsi"/>
        </w:rPr>
        <w:t xml:space="preserve"> and reserved seafloor polarity. The BSR </w:t>
      </w:r>
      <w:r w:rsidR="001D4ADA">
        <w:rPr>
          <w:rFonts w:eastAsiaTheme="minorHAnsi"/>
        </w:rPr>
        <w:t xml:space="preserve">is </w:t>
      </w:r>
      <w:r w:rsidRPr="005E6E0F">
        <w:rPr>
          <w:rFonts w:eastAsiaTheme="minorHAnsi"/>
        </w:rPr>
        <w:t xml:space="preserve">associated with the shale diapir and it tends to cross the shale diapir indicating the shale diapir </w:t>
      </w:r>
      <w:r w:rsidR="001D4ADA">
        <w:rPr>
          <w:rFonts w:eastAsiaTheme="minorHAnsi"/>
        </w:rPr>
        <w:t xml:space="preserve">is </w:t>
      </w:r>
      <w:r w:rsidRPr="005E6E0F">
        <w:rPr>
          <w:rFonts w:eastAsiaTheme="minorHAnsi"/>
        </w:rPr>
        <w:t>in the passive phase and the BSR has been formed after the latest phase of diapir</w:t>
      </w:r>
      <w:r w:rsidR="00B46669">
        <w:rPr>
          <w:rFonts w:eastAsiaTheme="minorHAnsi"/>
        </w:rPr>
        <w:t>is</w:t>
      </w:r>
      <w:r w:rsidRPr="005E6E0F">
        <w:rPr>
          <w:rFonts w:eastAsiaTheme="minorHAnsi"/>
        </w:rPr>
        <w:t>m. The existence of the BSR refer</w:t>
      </w:r>
      <w:r w:rsidR="00B46669">
        <w:rPr>
          <w:rFonts w:eastAsiaTheme="minorHAnsi"/>
        </w:rPr>
        <w:t>s</w:t>
      </w:r>
      <w:r w:rsidRPr="005E6E0F">
        <w:rPr>
          <w:rFonts w:eastAsiaTheme="minorHAnsi"/>
        </w:rPr>
        <w:t xml:space="preserve"> to the gas hydrate</w:t>
      </w:r>
      <w:r w:rsidR="00D6156C">
        <w:rPr>
          <w:rFonts w:eastAsiaTheme="minorHAnsi"/>
        </w:rPr>
        <w:t xml:space="preserve"> potential</w:t>
      </w:r>
      <w:r w:rsidRPr="005E6E0F">
        <w:rPr>
          <w:rFonts w:eastAsiaTheme="minorHAnsi"/>
        </w:rPr>
        <w:t xml:space="preserve">. Once the gas hydrate has been confirmed by well, it will open a new direction </w:t>
      </w:r>
      <w:r w:rsidR="001D4ADA">
        <w:rPr>
          <w:rFonts w:eastAsiaTheme="minorHAnsi"/>
        </w:rPr>
        <w:t>for</w:t>
      </w:r>
      <w:r w:rsidRPr="005E6E0F">
        <w:rPr>
          <w:rFonts w:eastAsiaTheme="minorHAnsi"/>
        </w:rPr>
        <w:t xml:space="preserve"> unconventional hydrocarbon exploration in the Song Hong basin.  </w:t>
      </w:r>
    </w:p>
    <w:p w:rsidR="006542EC" w:rsidRPr="00EA0E0B" w:rsidRDefault="006542EC" w:rsidP="00DD099D">
      <w:pPr>
        <w:pBdr>
          <w:top w:val="single" w:sz="4" w:space="1" w:color="auto"/>
          <w:bottom w:val="single" w:sz="4" w:space="1" w:color="auto"/>
        </w:pBdr>
        <w:jc w:val="both"/>
        <w:rPr>
          <w:rStyle w:val="A7"/>
          <w:rFonts w:cs="Times New Roman"/>
          <w:sz w:val="20"/>
        </w:rPr>
      </w:pPr>
    </w:p>
    <w:p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5E6E0F" w:rsidRPr="005E6E0F">
        <w:rPr>
          <w:rFonts w:eastAsiaTheme="minorHAnsi"/>
        </w:rPr>
        <w:t>Gas hydrate, 2D seismic, Bottom simulating reflection, Song Hong basin.</w:t>
      </w:r>
    </w:p>
    <w:p w:rsidR="008E2512" w:rsidRPr="00EA0E0B" w:rsidRDefault="005E6E0F" w:rsidP="005E6E0F">
      <w:pPr>
        <w:pStyle w:val="ListParagraph"/>
        <w:widowControl w:val="0"/>
        <w:numPr>
          <w:ilvl w:val="0"/>
          <w:numId w:val="9"/>
        </w:numPr>
        <w:spacing w:before="120" w:after="120" w:line="240" w:lineRule="auto"/>
        <w:rPr>
          <w:rFonts w:ascii="Times New Roman" w:hAnsi="Times New Roman" w:cs="Times New Roman"/>
          <w:noProof/>
          <w:sz w:val="20"/>
          <w:szCs w:val="20"/>
          <w:lang w:val="en-US"/>
        </w:rPr>
      </w:pPr>
      <w:r w:rsidRPr="005E6E0F">
        <w:rPr>
          <w:rFonts w:ascii="Times New Roman" w:hAnsi="Times New Roman" w:cs="Times New Roman"/>
          <w:b/>
          <w:noProof/>
          <w:sz w:val="20"/>
          <w:szCs w:val="20"/>
          <w:lang w:val="en-US"/>
        </w:rPr>
        <w:t>Introduction</w:t>
      </w:r>
    </w:p>
    <w:p w:rsidR="005E6E0F" w:rsidRPr="005E6E0F" w:rsidRDefault="005E6E0F" w:rsidP="005E6E0F">
      <w:pPr>
        <w:widowControl/>
        <w:autoSpaceDE w:val="0"/>
        <w:autoSpaceDN w:val="0"/>
        <w:adjustRightInd w:val="0"/>
        <w:ind w:firstLine="227"/>
        <w:jc w:val="both"/>
        <w:rPr>
          <w:rFonts w:eastAsiaTheme="minorHAnsi"/>
        </w:rPr>
      </w:pPr>
      <w:r w:rsidRPr="005E6E0F">
        <w:rPr>
          <w:rFonts w:eastAsiaTheme="minorHAnsi"/>
        </w:rPr>
        <w:t>The bottom simulating reflector (BSR) is a seismic reflector that cross-cut</w:t>
      </w:r>
      <w:r w:rsidR="001D4ADA">
        <w:rPr>
          <w:rFonts w:eastAsiaTheme="minorHAnsi"/>
        </w:rPr>
        <w:t>s</w:t>
      </w:r>
      <w:r w:rsidRPr="005E6E0F">
        <w:rPr>
          <w:rFonts w:eastAsiaTheme="minorHAnsi"/>
        </w:rPr>
        <w:t xml:space="preserve"> the primary sedimentary strata and form</w:t>
      </w:r>
      <w:r w:rsidR="001D4ADA">
        <w:rPr>
          <w:rFonts w:eastAsiaTheme="minorHAnsi"/>
        </w:rPr>
        <w:t>s</w:t>
      </w:r>
      <w:r w:rsidRPr="005E6E0F">
        <w:rPr>
          <w:rFonts w:eastAsiaTheme="minorHAnsi"/>
        </w:rPr>
        <w:t xml:space="preserve"> as a result of a geological process that occur</w:t>
      </w:r>
      <w:r w:rsidR="001D4ADA">
        <w:rPr>
          <w:rFonts w:eastAsiaTheme="minorHAnsi"/>
        </w:rPr>
        <w:t>s</w:t>
      </w:r>
      <w:r w:rsidRPr="005E6E0F">
        <w:rPr>
          <w:rFonts w:eastAsiaTheme="minorHAnsi"/>
        </w:rPr>
        <w:t xml:space="preserve"> after </w:t>
      </w:r>
      <w:r w:rsidR="001D4ADA">
        <w:rPr>
          <w:rFonts w:eastAsiaTheme="minorHAnsi"/>
        </w:rPr>
        <w:t xml:space="preserve">the </w:t>
      </w:r>
      <w:r w:rsidRPr="005E6E0F">
        <w:rPr>
          <w:rFonts w:eastAsiaTheme="minorHAnsi"/>
        </w:rPr>
        <w:t>deposition of sediment (Berndt et al., 2004). Gas hydrate-related BSR is formed at the transition from hydrate</w:t>
      </w:r>
      <w:r w:rsidR="00B46669">
        <w:rPr>
          <w:rFonts w:eastAsiaTheme="minorHAnsi"/>
        </w:rPr>
        <w:t>-</w:t>
      </w:r>
      <w:r w:rsidRPr="005E6E0F">
        <w:rPr>
          <w:rFonts w:eastAsiaTheme="minorHAnsi"/>
        </w:rPr>
        <w:t xml:space="preserve">bearing sediment to sediment containing </w:t>
      </w:r>
      <w:r w:rsidR="001D4ADA">
        <w:rPr>
          <w:rFonts w:eastAsiaTheme="minorHAnsi"/>
        </w:rPr>
        <w:t xml:space="preserve">a </w:t>
      </w:r>
      <w:r w:rsidRPr="005E6E0F">
        <w:rPr>
          <w:rFonts w:eastAsiaTheme="minorHAnsi"/>
        </w:rPr>
        <w:t>few percent of free gas below. Thus, it marks the base of the gas hydrate stability zone (GHSZ). The occurrence of gas hydrate is controlled by the temperate and pressure. Generally</w:t>
      </w:r>
      <w:r w:rsidR="001D4ADA">
        <w:rPr>
          <w:rFonts w:eastAsiaTheme="minorHAnsi"/>
        </w:rPr>
        <w:t>,</w:t>
      </w:r>
      <w:r w:rsidRPr="005E6E0F">
        <w:rPr>
          <w:rFonts w:eastAsiaTheme="minorHAnsi"/>
        </w:rPr>
        <w:t xml:space="preserve"> gas hydrate </w:t>
      </w:r>
      <w:r w:rsidR="001D4ADA">
        <w:rPr>
          <w:rFonts w:eastAsiaTheme="minorHAnsi"/>
        </w:rPr>
        <w:t xml:space="preserve">is </w:t>
      </w:r>
      <w:r w:rsidRPr="005E6E0F">
        <w:rPr>
          <w:rFonts w:eastAsiaTheme="minorHAnsi"/>
        </w:rPr>
        <w:t>stable at high pressure and low temperature (less than 25</w:t>
      </w:r>
      <w:r w:rsidRPr="007B53A3">
        <w:rPr>
          <w:rFonts w:eastAsiaTheme="minorHAnsi"/>
          <w:vertAlign w:val="superscript"/>
        </w:rPr>
        <w:t>o</w:t>
      </w:r>
      <w:r w:rsidRPr="005E6E0F">
        <w:rPr>
          <w:rFonts w:eastAsiaTheme="minorHAnsi"/>
        </w:rPr>
        <w:t xml:space="preserve">C). The BSR or base of the GHSZ may change its depth with time if the stability conditions </w:t>
      </w:r>
      <w:r w:rsidR="00B46669">
        <w:rPr>
          <w:rFonts w:eastAsiaTheme="minorHAnsi"/>
        </w:rPr>
        <w:t>are</w:t>
      </w:r>
      <w:r w:rsidRPr="005E6E0F">
        <w:rPr>
          <w:rFonts w:eastAsiaTheme="minorHAnsi"/>
        </w:rPr>
        <w:t xml:space="preserve"> not constant. It may shift up or down to re-establish the stability condition. This will follow </w:t>
      </w:r>
      <w:r w:rsidR="00B46669">
        <w:rPr>
          <w:rFonts w:eastAsiaTheme="minorHAnsi"/>
        </w:rPr>
        <w:t xml:space="preserve">the </w:t>
      </w:r>
      <w:r w:rsidRPr="005E6E0F">
        <w:rPr>
          <w:rFonts w:eastAsiaTheme="minorHAnsi"/>
        </w:rPr>
        <w:t>phase diagram of gas hydrate stability (Holbrook et al., 1996; Hovland et al., 1997; Berndt et al., 2004).</w:t>
      </w:r>
    </w:p>
    <w:p w:rsidR="005E6E0F" w:rsidRPr="005E6E0F" w:rsidRDefault="005E6E0F" w:rsidP="005E6E0F">
      <w:pPr>
        <w:widowControl/>
        <w:autoSpaceDE w:val="0"/>
        <w:autoSpaceDN w:val="0"/>
        <w:adjustRightInd w:val="0"/>
        <w:ind w:firstLine="227"/>
        <w:jc w:val="both"/>
        <w:rPr>
          <w:rFonts w:eastAsiaTheme="minorHAnsi"/>
        </w:rPr>
      </w:pPr>
      <w:r w:rsidRPr="005E6E0F">
        <w:rPr>
          <w:rFonts w:eastAsiaTheme="minorHAnsi"/>
        </w:rPr>
        <w:t>Song Hong basin is located within 105</w:t>
      </w:r>
      <w:r w:rsidRPr="007B53A3">
        <w:rPr>
          <w:rFonts w:eastAsiaTheme="minorHAnsi"/>
          <w:vertAlign w:val="superscript"/>
        </w:rPr>
        <w:t>o</w:t>
      </w:r>
      <w:r w:rsidRPr="005E6E0F">
        <w:rPr>
          <w:rFonts w:eastAsiaTheme="minorHAnsi"/>
        </w:rPr>
        <w:t>30’- 110</w:t>
      </w:r>
      <w:r w:rsidRPr="007B53A3">
        <w:rPr>
          <w:rFonts w:eastAsiaTheme="minorHAnsi"/>
          <w:vertAlign w:val="superscript"/>
        </w:rPr>
        <w:t>o</w:t>
      </w:r>
      <w:r w:rsidRPr="005E6E0F">
        <w:rPr>
          <w:rFonts w:eastAsiaTheme="minorHAnsi"/>
        </w:rPr>
        <w:t>30’E longitude and 14</w:t>
      </w:r>
      <w:r w:rsidRPr="007B53A3">
        <w:rPr>
          <w:rFonts w:eastAsiaTheme="minorHAnsi"/>
          <w:vertAlign w:val="superscript"/>
        </w:rPr>
        <w:t>o</w:t>
      </w:r>
      <w:r w:rsidRPr="005E6E0F">
        <w:rPr>
          <w:rFonts w:eastAsiaTheme="minorHAnsi"/>
        </w:rPr>
        <w:t>30’- 21</w:t>
      </w:r>
      <w:r w:rsidRPr="007B53A3">
        <w:rPr>
          <w:rFonts w:eastAsiaTheme="minorHAnsi"/>
          <w:vertAlign w:val="superscript"/>
        </w:rPr>
        <w:t>o</w:t>
      </w:r>
      <w:r w:rsidRPr="005E6E0F">
        <w:rPr>
          <w:rFonts w:eastAsiaTheme="minorHAnsi"/>
        </w:rPr>
        <w:t>00’N latitude, covering approximately 220,000 km</w:t>
      </w:r>
      <w:r w:rsidRPr="007B53A3">
        <w:rPr>
          <w:rFonts w:eastAsiaTheme="minorHAnsi"/>
          <w:vertAlign w:val="superscript"/>
        </w:rPr>
        <w:t>2</w:t>
      </w:r>
      <w:r w:rsidRPr="005E6E0F">
        <w:rPr>
          <w:rFonts w:eastAsiaTheme="minorHAnsi"/>
        </w:rPr>
        <w:t xml:space="preserve"> of surface area; in Vietnamese territory, it occupies 126,000 km</w:t>
      </w:r>
      <w:r w:rsidRPr="00E962E7">
        <w:rPr>
          <w:rFonts w:eastAsiaTheme="minorHAnsi"/>
          <w:vertAlign w:val="superscript"/>
        </w:rPr>
        <w:t>2</w:t>
      </w:r>
      <w:r w:rsidRPr="005E6E0F">
        <w:rPr>
          <w:rFonts w:eastAsiaTheme="minorHAnsi"/>
        </w:rPr>
        <w:t>, 4000 km</w:t>
      </w:r>
      <w:r w:rsidRPr="00E962E7">
        <w:rPr>
          <w:rFonts w:eastAsiaTheme="minorHAnsi"/>
          <w:vertAlign w:val="superscript"/>
        </w:rPr>
        <w:t>2</w:t>
      </w:r>
      <w:r w:rsidRPr="005E6E0F">
        <w:rPr>
          <w:rFonts w:eastAsiaTheme="minorHAnsi"/>
        </w:rPr>
        <w:t xml:space="preserve"> of which belongs to the onshore Hanoi trough and the shallow marine littoral area. The basin is pull-apart type, extending from the Hanoi trough to the Gulf of Bac Bo and the Central coastlines (Fig. 1) with Tertiary (Paleogene to Quaternary) sediment thickness exceeding 14 km. Mesozoic</w:t>
      </w:r>
      <w:r w:rsidR="00B46669">
        <w:rPr>
          <w:rFonts w:eastAsiaTheme="minorHAnsi"/>
        </w:rPr>
        <w:t xml:space="preserve"> </w:t>
      </w:r>
      <w:r w:rsidRPr="005E6E0F">
        <w:rPr>
          <w:rFonts w:eastAsiaTheme="minorHAnsi"/>
        </w:rPr>
        <w:t>-</w:t>
      </w:r>
      <w:r w:rsidR="00B46669">
        <w:rPr>
          <w:rFonts w:eastAsiaTheme="minorHAnsi"/>
        </w:rPr>
        <w:t xml:space="preserve"> </w:t>
      </w:r>
      <w:r w:rsidRPr="005E6E0F">
        <w:rPr>
          <w:rFonts w:eastAsiaTheme="minorHAnsi"/>
        </w:rPr>
        <w:t>Paleozoic basement is exposed along the western and eastern flanks of the basin (Nguyen Hiep, 2019).</w:t>
      </w:r>
    </w:p>
    <w:p w:rsidR="005E6E0F" w:rsidRPr="005E6E0F" w:rsidRDefault="005E6E0F" w:rsidP="005E6E0F">
      <w:pPr>
        <w:widowControl/>
        <w:autoSpaceDE w:val="0"/>
        <w:autoSpaceDN w:val="0"/>
        <w:adjustRightInd w:val="0"/>
        <w:ind w:firstLine="227"/>
        <w:jc w:val="both"/>
        <w:rPr>
          <w:rFonts w:eastAsiaTheme="minorHAnsi"/>
        </w:rPr>
      </w:pPr>
      <w:r w:rsidRPr="005E6E0F">
        <w:rPr>
          <w:rFonts w:eastAsiaTheme="minorHAnsi"/>
        </w:rPr>
        <w:t xml:space="preserve">The study area </w:t>
      </w:r>
      <w:r w:rsidR="00B46669">
        <w:rPr>
          <w:rFonts w:eastAsiaTheme="minorHAnsi"/>
        </w:rPr>
        <w:t xml:space="preserve">is </w:t>
      </w:r>
      <w:r w:rsidRPr="005E6E0F">
        <w:rPr>
          <w:rFonts w:eastAsiaTheme="minorHAnsi"/>
        </w:rPr>
        <w:t xml:space="preserve">located in the central part of </w:t>
      </w:r>
      <w:r w:rsidR="00B46669">
        <w:rPr>
          <w:rFonts w:eastAsiaTheme="minorHAnsi"/>
        </w:rPr>
        <w:t xml:space="preserve">the </w:t>
      </w:r>
      <w:r w:rsidRPr="005E6E0F">
        <w:rPr>
          <w:rFonts w:eastAsiaTheme="minorHAnsi"/>
        </w:rPr>
        <w:t>Song Hong basin. The central basin area extends from blocks 107 - 108 to blocks 114 - 115 with water depth</w:t>
      </w:r>
      <w:r w:rsidR="00B46669">
        <w:rPr>
          <w:rFonts w:eastAsiaTheme="minorHAnsi"/>
        </w:rPr>
        <w:t>s</w:t>
      </w:r>
      <w:r w:rsidRPr="005E6E0F">
        <w:rPr>
          <w:rFonts w:eastAsiaTheme="minorHAnsi"/>
        </w:rPr>
        <w:t xml:space="preserve"> ranging from 20 to 90 m. This region's structure is extremely complicated, particularly in the Hue-Da Nang sub-basin. The basement gently dips towards the depocenter where the thickness of </w:t>
      </w:r>
      <w:r w:rsidR="00B46669">
        <w:rPr>
          <w:rFonts w:eastAsiaTheme="minorHAnsi"/>
        </w:rPr>
        <w:t xml:space="preserve">the </w:t>
      </w:r>
      <w:r w:rsidRPr="005E6E0F">
        <w:rPr>
          <w:rFonts w:eastAsiaTheme="minorHAnsi"/>
        </w:rPr>
        <w:t>Tertiary section exceeds 14 km. Structures range from drape-over (overlapping the basement) in the West to shale diapirs in the basin center (Nguyen Hiep, 2019). Song Hong basin has been prove</w:t>
      </w:r>
      <w:r w:rsidR="001D4ADA">
        <w:rPr>
          <w:rFonts w:eastAsiaTheme="minorHAnsi"/>
        </w:rPr>
        <w:t>n</w:t>
      </w:r>
      <w:r w:rsidRPr="005E6E0F">
        <w:rPr>
          <w:rFonts w:eastAsiaTheme="minorHAnsi"/>
        </w:rPr>
        <w:t xml:space="preserve"> for an active petroleum system by many gas field</w:t>
      </w:r>
      <w:r w:rsidR="00B46669">
        <w:rPr>
          <w:rFonts w:eastAsiaTheme="minorHAnsi"/>
        </w:rPr>
        <w:t>s</w:t>
      </w:r>
      <w:r w:rsidRPr="005E6E0F">
        <w:rPr>
          <w:rFonts w:eastAsiaTheme="minorHAnsi"/>
        </w:rPr>
        <w:t xml:space="preserve"> discovered in late Miocene-Early Pliocene sand. </w:t>
      </w:r>
    </w:p>
    <w:p w:rsidR="008E2512" w:rsidRDefault="005E6E0F" w:rsidP="005E6E0F">
      <w:pPr>
        <w:widowControl/>
        <w:autoSpaceDE w:val="0"/>
        <w:autoSpaceDN w:val="0"/>
        <w:adjustRightInd w:val="0"/>
        <w:ind w:firstLine="227"/>
        <w:jc w:val="both"/>
        <w:rPr>
          <w:rFonts w:eastAsiaTheme="minorHAnsi"/>
        </w:rPr>
      </w:pPr>
      <w:r w:rsidRPr="005E6E0F">
        <w:rPr>
          <w:rFonts w:eastAsiaTheme="minorHAnsi"/>
        </w:rPr>
        <w:t>Gas hydrate-related BSR has been documented in some basins in the southern part of Vietnam (Nguyen Hiep, 2019). However, it has not been documented in the Song Hong basin. Because most gas hydrate study is based on several seismic lines or only based on the temperature and pressure condition (gas hydrate phase) to predict the occurrence of the gas hydrate-related BSR. In this study, for the first time, we are going to investigate the existence of the amplitude anomalies/BSR in the Song Hong basin, using the 2D seismic data.</w:t>
      </w:r>
    </w:p>
    <w:p w:rsidR="005E6E0F" w:rsidRDefault="005E6E0F" w:rsidP="005E6E0F">
      <w:pPr>
        <w:widowControl/>
        <w:autoSpaceDE w:val="0"/>
        <w:autoSpaceDN w:val="0"/>
        <w:adjustRightInd w:val="0"/>
        <w:ind w:firstLine="227"/>
        <w:jc w:val="both"/>
        <w:rPr>
          <w:rFonts w:eastAsiaTheme="minorHAnsi"/>
        </w:rPr>
      </w:pPr>
      <w:r>
        <w:rPr>
          <w:noProof/>
          <w:lang w:val="en-US"/>
        </w:rPr>
        <w:lastRenderedPageBreak/>
        <w:drawing>
          <wp:inline distT="0" distB="0" distL="0" distR="0" wp14:anchorId="20FEC53C" wp14:editId="68E14D36">
            <wp:extent cx="5221363" cy="33570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5552" cy="3359766"/>
                    </a:xfrm>
                    <a:prstGeom prst="rect">
                      <a:avLst/>
                    </a:prstGeom>
                  </pic:spPr>
                </pic:pic>
              </a:graphicData>
            </a:graphic>
          </wp:inline>
        </w:drawing>
      </w:r>
    </w:p>
    <w:p w:rsidR="005E6E0F" w:rsidRPr="005E6E0F" w:rsidRDefault="005E6E0F" w:rsidP="005E6E0F">
      <w:pPr>
        <w:pStyle w:val="Default"/>
        <w:ind w:right="475"/>
        <w:jc w:val="center"/>
        <w:rPr>
          <w:i/>
          <w:color w:val="211D1E"/>
          <w:sz w:val="20"/>
        </w:rPr>
      </w:pPr>
      <w:r w:rsidRPr="005E6E0F">
        <w:rPr>
          <w:bCs/>
          <w:i/>
          <w:color w:val="211D1E"/>
          <w:sz w:val="20"/>
        </w:rPr>
        <w:t>Figure 1.</w:t>
      </w:r>
      <w:r w:rsidRPr="005E6E0F">
        <w:rPr>
          <w:b/>
          <w:bCs/>
          <w:i/>
          <w:color w:val="211D1E"/>
          <w:sz w:val="20"/>
        </w:rPr>
        <w:t xml:space="preserve"> </w:t>
      </w:r>
      <w:r w:rsidRPr="005E6E0F">
        <w:rPr>
          <w:i/>
          <w:color w:val="211D1E"/>
          <w:sz w:val="20"/>
        </w:rPr>
        <w:t>Schematic map of three geological provinces: (1) Northwest area, (2) Central basin area, (3) South area. The study area is located in the central part covering an area of 3900 km</w:t>
      </w:r>
      <w:r w:rsidRPr="005E6E0F">
        <w:rPr>
          <w:i/>
          <w:color w:val="211D1E"/>
          <w:sz w:val="20"/>
          <w:vertAlign w:val="superscript"/>
        </w:rPr>
        <w:t>2</w:t>
      </w:r>
      <w:r w:rsidRPr="005E6E0F">
        <w:rPr>
          <w:i/>
          <w:color w:val="211D1E"/>
          <w:sz w:val="20"/>
        </w:rPr>
        <w:t>, bounded by 4 seismic lines named from line 1 to line 4.</w:t>
      </w:r>
    </w:p>
    <w:p w:rsidR="008E2512" w:rsidRPr="00EA0E0B" w:rsidRDefault="005E6E0F" w:rsidP="005E6E0F">
      <w:pPr>
        <w:pStyle w:val="ListParagraph"/>
        <w:widowControl w:val="0"/>
        <w:numPr>
          <w:ilvl w:val="0"/>
          <w:numId w:val="9"/>
        </w:numPr>
        <w:spacing w:before="120" w:after="120" w:line="240" w:lineRule="auto"/>
        <w:rPr>
          <w:rFonts w:ascii="Times New Roman" w:hAnsi="Times New Roman" w:cs="Times New Roman"/>
          <w:color w:val="000000"/>
          <w:sz w:val="20"/>
          <w:szCs w:val="20"/>
        </w:rPr>
      </w:pPr>
      <w:r w:rsidRPr="005E6E0F">
        <w:rPr>
          <w:rFonts w:ascii="Times New Roman" w:hAnsi="Times New Roman" w:cs="Times New Roman"/>
          <w:b/>
          <w:noProof/>
          <w:sz w:val="20"/>
          <w:szCs w:val="20"/>
          <w:lang w:val="en-US"/>
        </w:rPr>
        <w:t xml:space="preserve">Dataset and methodology </w:t>
      </w:r>
    </w:p>
    <w:p w:rsidR="00F7261F" w:rsidRDefault="005E6E0F" w:rsidP="00884E3A">
      <w:pPr>
        <w:widowControl/>
        <w:autoSpaceDE w:val="0"/>
        <w:autoSpaceDN w:val="0"/>
        <w:adjustRightInd w:val="0"/>
        <w:ind w:firstLine="227"/>
        <w:jc w:val="both"/>
        <w:rPr>
          <w:rFonts w:eastAsiaTheme="minorHAnsi"/>
        </w:rPr>
      </w:pPr>
      <w:r w:rsidRPr="005E6E0F">
        <w:rPr>
          <w:rFonts w:eastAsiaTheme="minorHAnsi"/>
        </w:rPr>
        <w:t>This study us</w:t>
      </w:r>
      <w:r w:rsidR="00760558">
        <w:rPr>
          <w:rFonts w:eastAsiaTheme="minorHAnsi"/>
        </w:rPr>
        <w:t>es</w:t>
      </w:r>
      <w:r w:rsidRPr="005E6E0F">
        <w:rPr>
          <w:rFonts w:eastAsiaTheme="minorHAnsi"/>
        </w:rPr>
        <w:t xml:space="preserve"> 2D seismic lines located in the cent</w:t>
      </w:r>
      <w:r w:rsidR="00760558">
        <w:rPr>
          <w:rFonts w:eastAsiaTheme="minorHAnsi"/>
        </w:rPr>
        <w:t>er</w:t>
      </w:r>
      <w:r w:rsidRPr="005E6E0F">
        <w:rPr>
          <w:rFonts w:eastAsiaTheme="minorHAnsi"/>
        </w:rPr>
        <w:t xml:space="preserve"> of the Song Hong basin. The seismic data has high quality covering an area of c. 3900 km</w:t>
      </w:r>
      <w:r w:rsidRPr="007B53A3">
        <w:rPr>
          <w:rFonts w:eastAsiaTheme="minorHAnsi"/>
          <w:vertAlign w:val="superscript"/>
        </w:rPr>
        <w:t>2</w:t>
      </w:r>
      <w:r w:rsidRPr="005E6E0F">
        <w:rPr>
          <w:rFonts w:eastAsiaTheme="minorHAnsi"/>
        </w:rPr>
        <w:t xml:space="preserve">, located c. 130 km offshore (Fig. 1). The study interval is in </w:t>
      </w:r>
      <w:r w:rsidR="00760558">
        <w:rPr>
          <w:rFonts w:eastAsiaTheme="minorHAnsi"/>
        </w:rPr>
        <w:t xml:space="preserve">the </w:t>
      </w:r>
      <w:r w:rsidRPr="005E6E0F">
        <w:rPr>
          <w:rFonts w:eastAsiaTheme="minorHAnsi"/>
        </w:rPr>
        <w:t xml:space="preserve">Pleistocene sequence which is c. 300 ms below the seafloor. The interpretation has been carried out based on the concept of Berndt et al. (2004). The gas hydrate-related BSR can be recognized on seismic based on several criteria: (i) the gas hydrate-related BSR shows a clear phase reversal compared with the seafloor due to the free gas beneath gas hydrates, (ii) gas hydrate-related BSR </w:t>
      </w:r>
      <w:r w:rsidR="00B46669">
        <w:rPr>
          <w:rFonts w:eastAsiaTheme="minorHAnsi"/>
        </w:rPr>
        <w:t>is</w:t>
      </w:r>
      <w:r w:rsidRPr="005E6E0F">
        <w:rPr>
          <w:rFonts w:eastAsiaTheme="minorHAnsi"/>
        </w:rPr>
        <w:t xml:space="preserve"> characterized by an increase of depth below seafloor with greater water depth, which is controlled by the gas hydrate stability conditions, (iii) the gas hydrates are generally not stable above 25</w:t>
      </w:r>
      <w:r w:rsidRPr="007B53A3">
        <w:rPr>
          <w:rFonts w:eastAsiaTheme="minorHAnsi"/>
          <w:vertAlign w:val="superscript"/>
        </w:rPr>
        <w:t>o</w:t>
      </w:r>
      <w:r w:rsidRPr="005E6E0F">
        <w:rPr>
          <w:rFonts w:eastAsiaTheme="minorHAnsi"/>
        </w:rPr>
        <w:t>C, (iv) gas hydrate-related BSR do</w:t>
      </w:r>
      <w:r w:rsidR="001D4ADA">
        <w:rPr>
          <w:rFonts w:eastAsiaTheme="minorHAnsi"/>
        </w:rPr>
        <w:t>es</w:t>
      </w:r>
      <w:r w:rsidRPr="005E6E0F">
        <w:rPr>
          <w:rFonts w:eastAsiaTheme="minorHAnsi"/>
        </w:rPr>
        <w:t xml:space="preserve"> not develop within glacigenic debris flow deposits or very fine</w:t>
      </w:r>
      <w:r w:rsidR="00B46669">
        <w:rPr>
          <w:rFonts w:eastAsiaTheme="minorHAnsi"/>
        </w:rPr>
        <w:t>-</w:t>
      </w:r>
      <w:r w:rsidRPr="005E6E0F">
        <w:rPr>
          <w:rFonts w:eastAsiaTheme="minorHAnsi"/>
        </w:rPr>
        <w:t>grained sediments. In this study</w:t>
      </w:r>
      <w:r w:rsidR="00760558">
        <w:rPr>
          <w:rFonts w:eastAsiaTheme="minorHAnsi"/>
        </w:rPr>
        <w:t>,</w:t>
      </w:r>
      <w:r w:rsidRPr="005E6E0F">
        <w:rPr>
          <w:rFonts w:eastAsiaTheme="minorHAnsi"/>
        </w:rPr>
        <w:t xml:space="preserve"> we are going to apply this concept to investigate the occurrence of gas hydrate-related BSR</w:t>
      </w:r>
      <w:r w:rsidR="00F949D9" w:rsidRPr="00EA0E0B">
        <w:rPr>
          <w:rFonts w:eastAsiaTheme="minorHAnsi"/>
        </w:rPr>
        <w:t xml:space="preserve">. </w:t>
      </w:r>
    </w:p>
    <w:p w:rsidR="003B6AF3" w:rsidRDefault="003B6AF3" w:rsidP="00884E3A">
      <w:pPr>
        <w:widowControl/>
        <w:autoSpaceDE w:val="0"/>
        <w:autoSpaceDN w:val="0"/>
        <w:adjustRightInd w:val="0"/>
        <w:ind w:firstLine="227"/>
        <w:jc w:val="both"/>
        <w:rPr>
          <w:rFonts w:eastAsiaTheme="minorHAnsi"/>
        </w:rPr>
      </w:pPr>
    </w:p>
    <w:p w:rsidR="005E6E0F" w:rsidRDefault="005E6E0F" w:rsidP="005E6E0F">
      <w:pPr>
        <w:widowControl/>
        <w:autoSpaceDE w:val="0"/>
        <w:autoSpaceDN w:val="0"/>
        <w:adjustRightInd w:val="0"/>
        <w:ind w:firstLine="227"/>
        <w:jc w:val="center"/>
        <w:rPr>
          <w:rFonts w:eastAsiaTheme="minorHAnsi"/>
        </w:rPr>
      </w:pPr>
      <w:r w:rsidRPr="004729E8">
        <w:rPr>
          <w:noProof/>
          <w:lang w:val="en-US"/>
        </w:rPr>
        <w:drawing>
          <wp:inline distT="0" distB="0" distL="0" distR="0" wp14:anchorId="2026F976" wp14:editId="123CF9AA">
            <wp:extent cx="4489448" cy="22958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775"/>
                    <a:stretch/>
                  </pic:blipFill>
                  <pic:spPr bwMode="auto">
                    <a:xfrm>
                      <a:off x="0" y="0"/>
                      <a:ext cx="4494517" cy="2298445"/>
                    </a:xfrm>
                    <a:prstGeom prst="rect">
                      <a:avLst/>
                    </a:prstGeom>
                    <a:noFill/>
                    <a:ln>
                      <a:noFill/>
                    </a:ln>
                    <a:extLst>
                      <a:ext uri="{53640926-AAD7-44D8-BBD7-CCE9431645EC}">
                        <a14:shadowObscured xmlns:a14="http://schemas.microsoft.com/office/drawing/2010/main"/>
                      </a:ext>
                    </a:extLst>
                  </pic:spPr>
                </pic:pic>
              </a:graphicData>
            </a:graphic>
          </wp:inline>
        </w:drawing>
      </w:r>
    </w:p>
    <w:p w:rsidR="005E6E0F" w:rsidRPr="00EA0E0B" w:rsidRDefault="005E6E0F" w:rsidP="005E6E0F">
      <w:pPr>
        <w:pStyle w:val="5NDTmtt"/>
        <w:spacing w:before="120" w:after="120"/>
        <w:jc w:val="center"/>
      </w:pPr>
      <w:r w:rsidRPr="005E6E0F">
        <w:rPr>
          <w:i/>
        </w:rPr>
        <w:t>Figure 2. Sketch demonstrating the changes in acoustic impedance and their causes. The temperature bar is schematic and indicate</w:t>
      </w:r>
      <w:r w:rsidR="001D4ADA">
        <w:rPr>
          <w:i/>
        </w:rPr>
        <w:t>s</w:t>
      </w:r>
      <w:r w:rsidRPr="005E6E0F">
        <w:rPr>
          <w:i/>
        </w:rPr>
        <w:t xml:space="preserve"> typical temperatures for the processes described in the text (Berndt et al., 2004).</w:t>
      </w:r>
      <w:r>
        <w:tab/>
      </w:r>
    </w:p>
    <w:p w:rsidR="00137DB4" w:rsidRPr="00EA0E0B" w:rsidRDefault="001D4ADA"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Pr>
          <w:rFonts w:ascii="Times New Roman" w:hAnsi="Times New Roman" w:cs="Times New Roman"/>
          <w:b/>
          <w:sz w:val="20"/>
          <w:szCs w:val="20"/>
          <w:lang w:val="pt-BR"/>
        </w:rPr>
        <w:lastRenderedPageBreak/>
        <w:t>Results and D</w:t>
      </w:r>
      <w:r w:rsidR="007B53A3">
        <w:rPr>
          <w:rFonts w:ascii="Times New Roman" w:hAnsi="Times New Roman" w:cs="Times New Roman"/>
          <w:b/>
          <w:sz w:val="20"/>
          <w:szCs w:val="20"/>
          <w:lang w:val="pt-BR"/>
        </w:rPr>
        <w:t>iscussion</w:t>
      </w:r>
      <w:r w:rsidR="00586F77" w:rsidRPr="00EA0E0B">
        <w:rPr>
          <w:rFonts w:ascii="Times New Roman" w:hAnsi="Times New Roman" w:cs="Times New Roman"/>
          <w:b/>
          <w:sz w:val="20"/>
          <w:szCs w:val="20"/>
          <w:lang w:val="pt-BR"/>
        </w:rPr>
        <w:t xml:space="preserve"> </w:t>
      </w:r>
    </w:p>
    <w:p w:rsidR="005E6E0F" w:rsidRPr="005E6E0F" w:rsidRDefault="005E6E0F" w:rsidP="005E6E0F">
      <w:pPr>
        <w:ind w:firstLine="227"/>
        <w:jc w:val="both"/>
        <w:rPr>
          <w:lang w:val="pt-BR"/>
        </w:rPr>
      </w:pPr>
      <w:r w:rsidRPr="005E6E0F">
        <w:rPr>
          <w:lang w:val="pt-BR"/>
        </w:rPr>
        <w:t>Amplitude anomalies ha</w:t>
      </w:r>
      <w:r w:rsidR="001D4ADA">
        <w:rPr>
          <w:lang w:val="pt-BR"/>
        </w:rPr>
        <w:t>ve</w:t>
      </w:r>
      <w:r w:rsidRPr="005E6E0F">
        <w:rPr>
          <w:lang w:val="pt-BR"/>
        </w:rPr>
        <w:t xml:space="preserve"> been observed in seismic line</w:t>
      </w:r>
      <w:r w:rsidR="001D4ADA">
        <w:rPr>
          <w:lang w:val="pt-BR"/>
        </w:rPr>
        <w:t>s</w:t>
      </w:r>
      <w:r w:rsidRPr="005E6E0F">
        <w:rPr>
          <w:lang w:val="pt-BR"/>
        </w:rPr>
        <w:t xml:space="preserve"> 2 and 4 (Fig. 3 &amp; 4), at the far end of these lines to the southeast. The BSR is cross the shale diapir. It is about 14 km long and ~120 ms TWT (~102 m with </w:t>
      </w:r>
      <w:r w:rsidR="001D4ADA">
        <w:rPr>
          <w:lang w:val="pt-BR"/>
        </w:rPr>
        <w:t>a</w:t>
      </w:r>
      <w:r w:rsidRPr="005E6E0F">
        <w:rPr>
          <w:lang w:val="pt-BR"/>
        </w:rPr>
        <w:t xml:space="preserve"> velocity of 1700 m/s) below the seafloor, covering an area of c. 150 km</w:t>
      </w:r>
      <w:r w:rsidRPr="00B46669">
        <w:rPr>
          <w:vertAlign w:val="superscript"/>
          <w:lang w:val="pt-BR"/>
        </w:rPr>
        <w:t>2</w:t>
      </w:r>
      <w:r w:rsidR="001D4ADA">
        <w:rPr>
          <w:vertAlign w:val="superscript"/>
          <w:lang w:val="pt-BR"/>
        </w:rPr>
        <w:t xml:space="preserve"> </w:t>
      </w:r>
      <w:r w:rsidR="001D4ADA" w:rsidRPr="001D4ADA">
        <w:rPr>
          <w:lang w:val="pt-BR"/>
        </w:rPr>
        <w:t>(</w:t>
      </w:r>
      <w:r w:rsidR="001D4ADA">
        <w:rPr>
          <w:lang w:val="pt-BR"/>
        </w:rPr>
        <w:t>Fig. 1</w:t>
      </w:r>
      <w:r w:rsidR="001D4ADA" w:rsidRPr="001D4ADA">
        <w:rPr>
          <w:lang w:val="pt-BR"/>
        </w:rPr>
        <w:t>)</w:t>
      </w:r>
      <w:r w:rsidRPr="005E6E0F">
        <w:rPr>
          <w:lang w:val="pt-BR"/>
        </w:rPr>
        <w:t>. This amplitude anomal</w:t>
      </w:r>
      <w:r w:rsidR="001D4ADA">
        <w:rPr>
          <w:lang w:val="pt-BR"/>
        </w:rPr>
        <w:t>y</w:t>
      </w:r>
      <w:r w:rsidRPr="005E6E0F">
        <w:rPr>
          <w:lang w:val="pt-BR"/>
        </w:rPr>
        <w:t xml:space="preserve"> is considered a gas hydrate-related BSR based on the criteria mentioned by Berndt et al. (2004).</w:t>
      </w:r>
    </w:p>
    <w:p w:rsidR="005E6E0F" w:rsidRPr="005E6E0F" w:rsidRDefault="005E6E0F" w:rsidP="005E6E0F">
      <w:pPr>
        <w:ind w:firstLine="227"/>
        <w:jc w:val="both"/>
        <w:rPr>
          <w:lang w:val="pt-BR"/>
        </w:rPr>
      </w:pPr>
      <w:r w:rsidRPr="005E6E0F">
        <w:rPr>
          <w:lang w:val="pt-BR"/>
        </w:rPr>
        <w:t xml:space="preserve"> The reflection is characterized as a strong, negative amplitude reflector (Fig. 3 &amp; 4). The amplitude is strengthen</w:t>
      </w:r>
      <w:r w:rsidR="001D4ADA">
        <w:rPr>
          <w:lang w:val="pt-BR"/>
        </w:rPr>
        <w:t>ed</w:t>
      </w:r>
      <w:r w:rsidRPr="005E6E0F">
        <w:rPr>
          <w:lang w:val="pt-BR"/>
        </w:rPr>
        <w:t xml:space="preserve"> at the shale diapir area. Criteria for interpreting the gas hydrate-related BSR as below:</w:t>
      </w:r>
    </w:p>
    <w:p w:rsidR="005E6E0F" w:rsidRPr="005E6E0F" w:rsidRDefault="005E6E0F" w:rsidP="005E6E0F">
      <w:pPr>
        <w:ind w:firstLine="227"/>
        <w:jc w:val="both"/>
        <w:rPr>
          <w:lang w:val="pt-BR"/>
        </w:rPr>
      </w:pPr>
      <w:r w:rsidRPr="005E6E0F">
        <w:rPr>
          <w:lang w:val="pt-BR"/>
        </w:rPr>
        <w:t xml:space="preserve">(i) The observed amplitude anomalies </w:t>
      </w:r>
      <w:r w:rsidR="001D4ADA">
        <w:rPr>
          <w:lang w:val="pt-BR"/>
        </w:rPr>
        <w:t>are</w:t>
      </w:r>
      <w:r w:rsidRPr="005E6E0F">
        <w:rPr>
          <w:lang w:val="pt-BR"/>
        </w:rPr>
        <w:t xml:space="preserve"> sub</w:t>
      </w:r>
      <w:r w:rsidR="00B46669">
        <w:rPr>
          <w:lang w:val="pt-BR"/>
        </w:rPr>
        <w:t>-</w:t>
      </w:r>
      <w:r w:rsidRPr="005E6E0F">
        <w:rPr>
          <w:lang w:val="pt-BR"/>
        </w:rPr>
        <w:t xml:space="preserve">parallel </w:t>
      </w:r>
      <w:r w:rsidR="001D4ADA">
        <w:rPr>
          <w:lang w:val="pt-BR"/>
        </w:rPr>
        <w:t xml:space="preserve">to </w:t>
      </w:r>
      <w:r w:rsidRPr="005E6E0F">
        <w:rPr>
          <w:lang w:val="pt-BR"/>
        </w:rPr>
        <w:t>the seafloor which is the first criteria of the BSR (Fig. 3). The study area is not located on the slope thus it is impossible to see the increasing BSR depth with the greater water depth which is a result of the gas hydrate stability conditions.</w:t>
      </w:r>
    </w:p>
    <w:p w:rsidR="005E6E0F" w:rsidRPr="005E6E0F" w:rsidRDefault="005E6E0F" w:rsidP="005E6E0F">
      <w:pPr>
        <w:ind w:firstLine="227"/>
        <w:jc w:val="both"/>
        <w:rPr>
          <w:lang w:val="pt-BR"/>
        </w:rPr>
      </w:pPr>
      <w:r w:rsidRPr="005E6E0F">
        <w:rPr>
          <w:lang w:val="pt-BR"/>
        </w:rPr>
        <w:t xml:space="preserve">(ii) The amplitude anomalies </w:t>
      </w:r>
      <w:r w:rsidR="001D4ADA">
        <w:rPr>
          <w:lang w:val="pt-BR"/>
        </w:rPr>
        <w:t>are</w:t>
      </w:r>
      <w:r w:rsidRPr="005E6E0F">
        <w:rPr>
          <w:lang w:val="pt-BR"/>
        </w:rPr>
        <w:t xml:space="preserve"> reversal seafloor polarity (Fig. 3 &amp; 4). The apparent polarity of the BSR is negative meanwhile the seafloor is positive. </w:t>
      </w:r>
    </w:p>
    <w:p w:rsidR="005E6E0F" w:rsidRPr="005E6E0F" w:rsidRDefault="005E6E0F" w:rsidP="005E6E0F">
      <w:pPr>
        <w:ind w:firstLine="227"/>
        <w:jc w:val="both"/>
        <w:rPr>
          <w:lang w:val="pt-BR"/>
        </w:rPr>
      </w:pPr>
      <w:r w:rsidRPr="005E6E0F">
        <w:rPr>
          <w:lang w:val="pt-BR"/>
        </w:rPr>
        <w:t>(iii) The amplitude anomalies cross-cut the primary strata (Fig. 3 &amp; 4). Cross-cutting can easily be detected in the high</w:t>
      </w:r>
      <w:r w:rsidR="001D4ADA">
        <w:rPr>
          <w:lang w:val="pt-BR"/>
        </w:rPr>
        <w:t>-</w:t>
      </w:r>
      <w:r w:rsidRPr="005E6E0F">
        <w:rPr>
          <w:lang w:val="pt-BR"/>
        </w:rPr>
        <w:t xml:space="preserve">angle slope. </w:t>
      </w:r>
      <w:r w:rsidR="001D4ADA">
        <w:rPr>
          <w:lang w:val="pt-BR"/>
        </w:rPr>
        <w:t>T</w:t>
      </w:r>
      <w:r w:rsidRPr="005E6E0F">
        <w:rPr>
          <w:lang w:val="pt-BR"/>
        </w:rPr>
        <w:t xml:space="preserve">his data has </w:t>
      </w:r>
      <w:r w:rsidR="001D4ADA">
        <w:rPr>
          <w:lang w:val="pt-BR"/>
        </w:rPr>
        <w:t xml:space="preserve">a </w:t>
      </w:r>
      <w:r w:rsidRPr="005E6E0F">
        <w:rPr>
          <w:lang w:val="pt-BR"/>
        </w:rPr>
        <w:t>relatively flat seabed but we still can see the cross-cutting strata of the amplitude anomalies (Fig. 3</w:t>
      </w:r>
      <w:r w:rsidR="001D4ADA">
        <w:rPr>
          <w:lang w:val="pt-BR"/>
        </w:rPr>
        <w:t xml:space="preserve"> &amp; 4</w:t>
      </w:r>
      <w:r w:rsidRPr="005E6E0F">
        <w:rPr>
          <w:lang w:val="pt-BR"/>
        </w:rPr>
        <w:t>).</w:t>
      </w:r>
    </w:p>
    <w:p w:rsidR="00531BCB" w:rsidRPr="00EA0E0B" w:rsidRDefault="00531BCB" w:rsidP="00531BCB">
      <w:pPr>
        <w:ind w:firstLine="227"/>
        <w:jc w:val="both"/>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rsidTr="005E6E0F">
        <w:tc>
          <w:tcPr>
            <w:tcW w:w="8720" w:type="dxa"/>
          </w:tcPr>
          <w:p w:rsidR="00137DB4" w:rsidRPr="00EA0E0B" w:rsidRDefault="005E6E0F" w:rsidP="00137DB4">
            <w:pPr>
              <w:widowControl/>
              <w:autoSpaceDE w:val="0"/>
              <w:autoSpaceDN w:val="0"/>
              <w:adjustRightInd w:val="0"/>
              <w:jc w:val="center"/>
            </w:pPr>
            <w:r>
              <w:rPr>
                <w:noProof/>
                <w:lang w:val="en-US"/>
              </w:rPr>
              <w:drawing>
                <wp:inline distT="0" distB="0" distL="0" distR="0" wp14:anchorId="163BB05F">
                  <wp:extent cx="5401310" cy="4450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4450715"/>
                          </a:xfrm>
                          <a:prstGeom prst="rect">
                            <a:avLst/>
                          </a:prstGeom>
                          <a:noFill/>
                        </pic:spPr>
                      </pic:pic>
                    </a:graphicData>
                  </a:graphic>
                </wp:inline>
              </w:drawing>
            </w:r>
          </w:p>
        </w:tc>
      </w:tr>
      <w:tr w:rsidR="00137DB4" w:rsidRPr="00EA0E0B" w:rsidTr="005E6E0F">
        <w:tc>
          <w:tcPr>
            <w:tcW w:w="8720" w:type="dxa"/>
          </w:tcPr>
          <w:p w:rsidR="005E6E0F" w:rsidRPr="005E6E0F" w:rsidRDefault="005E6E0F" w:rsidP="008616AE">
            <w:pPr>
              <w:pStyle w:val="5NDTmtt"/>
              <w:tabs>
                <w:tab w:val="clear" w:pos="567"/>
              </w:tabs>
              <w:spacing w:before="120" w:after="120"/>
              <w:jc w:val="center"/>
              <w:rPr>
                <w:rFonts w:ascii="Times New Roman" w:hAnsi="Times New Roman" w:cs="Times New Roman"/>
                <w:i/>
                <w:sz w:val="20"/>
              </w:rPr>
            </w:pPr>
            <w:r w:rsidRPr="005E6E0F">
              <w:rPr>
                <w:rFonts w:ascii="Times New Roman" w:hAnsi="Times New Roman" w:cs="Times New Roman"/>
                <w:i/>
                <w:sz w:val="20"/>
              </w:rPr>
              <w:t>Figure 3. Seismic section line 2 with the occurrence of the BSR has been display</w:t>
            </w:r>
            <w:r w:rsidR="001D4ADA">
              <w:rPr>
                <w:rFonts w:ascii="Times New Roman" w:hAnsi="Times New Roman" w:cs="Times New Roman"/>
                <w:i/>
                <w:sz w:val="20"/>
              </w:rPr>
              <w:t>ed</w:t>
            </w:r>
            <w:r w:rsidRPr="005E6E0F">
              <w:rPr>
                <w:rFonts w:ascii="Times New Roman" w:hAnsi="Times New Roman" w:cs="Times New Roman"/>
                <w:i/>
                <w:sz w:val="20"/>
              </w:rPr>
              <w:t xml:space="preserve"> in different color </w:t>
            </w:r>
            <w:r w:rsidR="001D4ADA">
              <w:rPr>
                <w:rFonts w:ascii="Times New Roman" w:hAnsi="Times New Roman" w:cs="Times New Roman"/>
                <w:i/>
                <w:sz w:val="20"/>
              </w:rPr>
              <w:t>bars</w:t>
            </w:r>
            <w:r w:rsidRPr="005E6E0F">
              <w:rPr>
                <w:rFonts w:ascii="Times New Roman" w:hAnsi="Times New Roman" w:cs="Times New Roman"/>
                <w:i/>
                <w:sz w:val="20"/>
              </w:rPr>
              <w:t xml:space="preserve">: (a) seismic default, (b) coarser extraction, (c) dip. The BSR has </w:t>
            </w:r>
            <w:r w:rsidR="001D4ADA">
              <w:rPr>
                <w:rFonts w:ascii="Times New Roman" w:hAnsi="Times New Roman" w:cs="Times New Roman"/>
                <w:i/>
                <w:sz w:val="20"/>
              </w:rPr>
              <w:t xml:space="preserve">a </w:t>
            </w:r>
            <w:r w:rsidRPr="005E6E0F">
              <w:rPr>
                <w:rFonts w:ascii="Times New Roman" w:hAnsi="Times New Roman" w:cs="Times New Roman"/>
                <w:i/>
                <w:sz w:val="20"/>
              </w:rPr>
              <w:t>strong negative amplitude near and over the shale diapir (see figure 1 for the line location).</w:t>
            </w:r>
          </w:p>
          <w:p w:rsidR="005E6E0F" w:rsidRPr="005E6E0F" w:rsidRDefault="005E6E0F" w:rsidP="005E6E0F">
            <w:pPr>
              <w:pStyle w:val="5NDTmtt"/>
              <w:tabs>
                <w:tab w:val="clear" w:pos="567"/>
              </w:tabs>
              <w:jc w:val="center"/>
              <w:rPr>
                <w:rFonts w:ascii="Times New Roman" w:hAnsi="Times New Roman" w:cs="Times New Roman"/>
                <w:b/>
                <w:i/>
                <w:sz w:val="20"/>
              </w:rPr>
            </w:pPr>
          </w:p>
          <w:p w:rsidR="005E6E0F" w:rsidRDefault="005E6E0F" w:rsidP="005E6E0F">
            <w:pPr>
              <w:pStyle w:val="5NDTmtt"/>
              <w:tabs>
                <w:tab w:val="clear" w:pos="567"/>
              </w:tabs>
              <w:rPr>
                <w:b/>
              </w:rPr>
            </w:pPr>
            <w:r>
              <w:rPr>
                <w:b/>
                <w:noProof/>
              </w:rPr>
              <w:lastRenderedPageBreak/>
              <w:drawing>
                <wp:inline distT="0" distB="0" distL="0" distR="0" wp14:anchorId="02CA9D7A" wp14:editId="3207FF1A">
                  <wp:extent cx="5400040" cy="4636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636770"/>
                          </a:xfrm>
                          <a:prstGeom prst="rect">
                            <a:avLst/>
                          </a:prstGeom>
                        </pic:spPr>
                      </pic:pic>
                    </a:graphicData>
                  </a:graphic>
                </wp:inline>
              </w:drawing>
            </w:r>
          </w:p>
          <w:p w:rsidR="005E6E0F" w:rsidRPr="005E6E0F" w:rsidRDefault="005E6E0F" w:rsidP="005E6E0F">
            <w:pPr>
              <w:pStyle w:val="5NDTmtt"/>
              <w:tabs>
                <w:tab w:val="clear" w:pos="567"/>
              </w:tabs>
              <w:spacing w:before="120" w:after="120"/>
              <w:jc w:val="center"/>
              <w:rPr>
                <w:rFonts w:ascii="Times New Roman" w:hAnsi="Times New Roman" w:cs="Times New Roman"/>
                <w:i/>
                <w:sz w:val="20"/>
              </w:rPr>
            </w:pPr>
            <w:r w:rsidRPr="005E6E0F">
              <w:rPr>
                <w:rFonts w:ascii="Times New Roman" w:hAnsi="Times New Roman" w:cs="Times New Roman"/>
                <w:i/>
                <w:sz w:val="20"/>
              </w:rPr>
              <w:t>Figure 4. Seismic section line 4 with the occurrence of the BSR has been display</w:t>
            </w:r>
            <w:r w:rsidR="001D4ADA">
              <w:rPr>
                <w:rFonts w:ascii="Times New Roman" w:hAnsi="Times New Roman" w:cs="Times New Roman"/>
                <w:i/>
                <w:sz w:val="20"/>
              </w:rPr>
              <w:t>ed</w:t>
            </w:r>
            <w:r w:rsidRPr="005E6E0F">
              <w:rPr>
                <w:rFonts w:ascii="Times New Roman" w:hAnsi="Times New Roman" w:cs="Times New Roman"/>
                <w:i/>
                <w:sz w:val="20"/>
              </w:rPr>
              <w:t xml:space="preserve"> in different color </w:t>
            </w:r>
            <w:r w:rsidR="001D4ADA">
              <w:rPr>
                <w:rFonts w:ascii="Times New Roman" w:hAnsi="Times New Roman" w:cs="Times New Roman"/>
                <w:i/>
                <w:sz w:val="20"/>
              </w:rPr>
              <w:t>bars</w:t>
            </w:r>
            <w:r w:rsidRPr="005E6E0F">
              <w:rPr>
                <w:rFonts w:ascii="Times New Roman" w:hAnsi="Times New Roman" w:cs="Times New Roman"/>
                <w:i/>
                <w:sz w:val="20"/>
              </w:rPr>
              <w:t xml:space="preserve">: (a) seismic default, (b) dip, </w:t>
            </w:r>
            <w:r w:rsidR="001D4ADA">
              <w:rPr>
                <w:rFonts w:ascii="Times New Roman" w:hAnsi="Times New Roman" w:cs="Times New Roman"/>
                <w:i/>
                <w:sz w:val="20"/>
              </w:rPr>
              <w:t xml:space="preserve">and </w:t>
            </w:r>
            <w:r w:rsidRPr="005E6E0F">
              <w:rPr>
                <w:rFonts w:ascii="Times New Roman" w:hAnsi="Times New Roman" w:cs="Times New Roman"/>
                <w:i/>
                <w:sz w:val="20"/>
              </w:rPr>
              <w:t xml:space="preserve">(c) structural lows. The BSR has </w:t>
            </w:r>
            <w:r w:rsidR="001D4ADA">
              <w:rPr>
                <w:rFonts w:ascii="Times New Roman" w:hAnsi="Times New Roman" w:cs="Times New Roman"/>
                <w:i/>
                <w:sz w:val="20"/>
              </w:rPr>
              <w:t xml:space="preserve">a </w:t>
            </w:r>
            <w:r w:rsidRPr="005E6E0F">
              <w:rPr>
                <w:rFonts w:ascii="Times New Roman" w:hAnsi="Times New Roman" w:cs="Times New Roman"/>
                <w:i/>
                <w:sz w:val="20"/>
              </w:rPr>
              <w:t>strong negative amplitude near and over the shale diapir (see figure 1 for the location).</w:t>
            </w:r>
          </w:p>
          <w:p w:rsidR="005E6E0F" w:rsidRPr="00D6156C" w:rsidRDefault="005E6E0F" w:rsidP="005E6E0F">
            <w:pPr>
              <w:ind w:firstLine="227"/>
              <w:jc w:val="both"/>
              <w:rPr>
                <w:rFonts w:ascii="Times New Roman" w:hAnsi="Times New Roman" w:cs="Times New Roman"/>
                <w:sz w:val="20"/>
                <w:lang w:val="pt-BR"/>
              </w:rPr>
            </w:pPr>
            <w:r w:rsidRPr="00D6156C">
              <w:rPr>
                <w:rFonts w:ascii="Times New Roman" w:hAnsi="Times New Roman" w:cs="Times New Roman"/>
                <w:sz w:val="20"/>
                <w:lang w:val="pt-BR"/>
              </w:rPr>
              <w:t xml:space="preserve">In the gas hydrate stability zone, it is often documented as </w:t>
            </w:r>
            <w:r w:rsidR="001D4ADA">
              <w:rPr>
                <w:rFonts w:ascii="Times New Roman" w:hAnsi="Times New Roman" w:cs="Times New Roman"/>
                <w:sz w:val="20"/>
                <w:lang w:val="pt-BR"/>
              </w:rPr>
              <w:t xml:space="preserve">a </w:t>
            </w:r>
            <w:r w:rsidRPr="00D6156C">
              <w:rPr>
                <w:rFonts w:ascii="Times New Roman" w:hAnsi="Times New Roman" w:cs="Times New Roman"/>
                <w:sz w:val="20"/>
                <w:lang w:val="pt-BR"/>
              </w:rPr>
              <w:t>b</w:t>
            </w:r>
            <w:r w:rsidR="001D4ADA">
              <w:rPr>
                <w:rFonts w:ascii="Times New Roman" w:hAnsi="Times New Roman" w:cs="Times New Roman"/>
                <w:sz w:val="20"/>
                <w:lang w:val="pt-BR"/>
              </w:rPr>
              <w:t>l</w:t>
            </w:r>
            <w:r w:rsidRPr="00D6156C">
              <w:rPr>
                <w:rFonts w:ascii="Times New Roman" w:hAnsi="Times New Roman" w:cs="Times New Roman"/>
                <w:sz w:val="20"/>
                <w:lang w:val="pt-BR"/>
              </w:rPr>
              <w:t>anking zone caused by the presence of gas hydrate which will reduce the acoustic impendence contrast between layers.  In this area, the interval above the BSR is rather low amplitude to transparenc</w:t>
            </w:r>
            <w:r w:rsidR="001D4ADA">
              <w:rPr>
                <w:rFonts w:ascii="Times New Roman" w:hAnsi="Times New Roman" w:cs="Times New Roman"/>
                <w:sz w:val="20"/>
                <w:lang w:val="pt-BR"/>
              </w:rPr>
              <w:t>y</w:t>
            </w:r>
            <w:r w:rsidRPr="00D6156C">
              <w:rPr>
                <w:rFonts w:ascii="Times New Roman" w:hAnsi="Times New Roman" w:cs="Times New Roman"/>
                <w:sz w:val="20"/>
                <w:lang w:val="pt-BR"/>
              </w:rPr>
              <w:t xml:space="preserve"> away from the shale diapir, suggesting the increasing gas hydrate content in sediment away </w:t>
            </w:r>
            <w:r w:rsidR="001D4ADA">
              <w:rPr>
                <w:rFonts w:ascii="Times New Roman" w:hAnsi="Times New Roman" w:cs="Times New Roman"/>
                <w:sz w:val="20"/>
                <w:lang w:val="pt-BR"/>
              </w:rPr>
              <w:t xml:space="preserve">from </w:t>
            </w:r>
            <w:r w:rsidRPr="00D6156C">
              <w:rPr>
                <w:rFonts w:ascii="Times New Roman" w:hAnsi="Times New Roman" w:cs="Times New Roman"/>
                <w:sz w:val="20"/>
                <w:lang w:val="pt-BR"/>
              </w:rPr>
              <w:t xml:space="preserve">the shale diapir. </w:t>
            </w:r>
          </w:p>
          <w:p w:rsidR="005E6E0F" w:rsidRPr="00D6156C" w:rsidRDefault="005E6E0F" w:rsidP="005E6E0F">
            <w:pPr>
              <w:ind w:firstLine="227"/>
              <w:jc w:val="both"/>
              <w:rPr>
                <w:rFonts w:ascii="Times New Roman" w:hAnsi="Times New Roman" w:cs="Times New Roman"/>
                <w:sz w:val="20"/>
                <w:lang w:val="pt-BR"/>
              </w:rPr>
            </w:pPr>
            <w:r w:rsidRPr="00D6156C">
              <w:rPr>
                <w:rFonts w:ascii="Times New Roman" w:hAnsi="Times New Roman" w:cs="Times New Roman"/>
                <w:sz w:val="20"/>
                <w:lang w:val="pt-BR"/>
              </w:rPr>
              <w:t>However, the amplitude of the BSR tend</w:t>
            </w:r>
            <w:r w:rsidR="001D4ADA">
              <w:rPr>
                <w:rFonts w:ascii="Times New Roman" w:hAnsi="Times New Roman" w:cs="Times New Roman"/>
                <w:sz w:val="20"/>
                <w:lang w:val="pt-BR"/>
              </w:rPr>
              <w:t>s</w:t>
            </w:r>
            <w:r w:rsidRPr="00D6156C">
              <w:rPr>
                <w:rFonts w:ascii="Times New Roman" w:hAnsi="Times New Roman" w:cs="Times New Roman"/>
                <w:sz w:val="20"/>
                <w:lang w:val="pt-BR"/>
              </w:rPr>
              <w:t xml:space="preserve"> to be stronger around the diapir. This may cause by the existence of </w:t>
            </w:r>
            <w:r w:rsidR="001D4ADA">
              <w:rPr>
                <w:rFonts w:ascii="Times New Roman" w:hAnsi="Times New Roman" w:cs="Times New Roman"/>
                <w:sz w:val="20"/>
                <w:lang w:val="pt-BR"/>
              </w:rPr>
              <w:t xml:space="preserve">a </w:t>
            </w:r>
            <w:r w:rsidRPr="00D6156C">
              <w:rPr>
                <w:rFonts w:ascii="Times New Roman" w:hAnsi="Times New Roman" w:cs="Times New Roman"/>
                <w:sz w:val="20"/>
                <w:lang w:val="pt-BR"/>
              </w:rPr>
              <w:t>small amount of free gas beneath the gas hydrate stab</w:t>
            </w:r>
            <w:r w:rsidR="001D4ADA">
              <w:rPr>
                <w:rFonts w:ascii="Times New Roman" w:hAnsi="Times New Roman" w:cs="Times New Roman"/>
                <w:sz w:val="20"/>
                <w:lang w:val="pt-BR"/>
              </w:rPr>
              <w:t>ility</w:t>
            </w:r>
            <w:r w:rsidRPr="00D6156C">
              <w:rPr>
                <w:rFonts w:ascii="Times New Roman" w:hAnsi="Times New Roman" w:cs="Times New Roman"/>
                <w:sz w:val="20"/>
                <w:lang w:val="pt-BR"/>
              </w:rPr>
              <w:t xml:space="preserve"> zone, thus, creat</w:t>
            </w:r>
            <w:r w:rsidR="001D4ADA">
              <w:rPr>
                <w:rFonts w:ascii="Times New Roman" w:hAnsi="Times New Roman" w:cs="Times New Roman"/>
                <w:sz w:val="20"/>
                <w:lang w:val="pt-BR"/>
              </w:rPr>
              <w:t>ing</w:t>
            </w:r>
            <w:r w:rsidRPr="00D6156C">
              <w:rPr>
                <w:rFonts w:ascii="Times New Roman" w:hAnsi="Times New Roman" w:cs="Times New Roman"/>
                <w:sz w:val="20"/>
                <w:lang w:val="pt-BR"/>
              </w:rPr>
              <w:t xml:space="preserve"> a strong acoustic impendent contrast. The hydrate concentration typically varies from 7% to 20% with </w:t>
            </w:r>
            <w:r w:rsidR="001D4ADA">
              <w:rPr>
                <w:rFonts w:ascii="Times New Roman" w:hAnsi="Times New Roman" w:cs="Times New Roman"/>
                <w:sz w:val="20"/>
                <w:lang w:val="pt-BR"/>
              </w:rPr>
              <w:t xml:space="preserve">the </w:t>
            </w:r>
            <w:r w:rsidRPr="00D6156C">
              <w:rPr>
                <w:rFonts w:ascii="Times New Roman" w:hAnsi="Times New Roman" w:cs="Times New Roman"/>
                <w:sz w:val="20"/>
                <w:lang w:val="pt-BR"/>
              </w:rPr>
              <w:t xml:space="preserve">highest concentrations near the base of GHSZ (Korenaga et al., 1997). Free gas will result in the enhanced reflections below the BSR (also known as ‘gas brightening’) as their amplitudes are higher than those caused by lithology variations. </w:t>
            </w:r>
            <w:r w:rsidR="001D4ADA">
              <w:rPr>
                <w:rFonts w:ascii="Times New Roman" w:hAnsi="Times New Roman" w:cs="Times New Roman"/>
                <w:sz w:val="20"/>
                <w:lang w:val="pt-BR"/>
              </w:rPr>
              <w:t>A</w:t>
            </w:r>
            <w:r w:rsidRPr="00D6156C">
              <w:rPr>
                <w:rFonts w:ascii="Times New Roman" w:hAnsi="Times New Roman" w:cs="Times New Roman"/>
                <w:sz w:val="20"/>
                <w:lang w:val="pt-BR"/>
              </w:rPr>
              <w:t xml:space="preserve"> small concentration of free gas (~1%) will cause a significant reduction in acoustic velocity (Vp). </w:t>
            </w:r>
            <w:r w:rsidR="001D4ADA">
              <w:rPr>
                <w:rFonts w:ascii="Times New Roman" w:hAnsi="Times New Roman" w:cs="Times New Roman"/>
                <w:sz w:val="20"/>
                <w:lang w:val="pt-BR"/>
              </w:rPr>
              <w:t>The h</w:t>
            </w:r>
            <w:r w:rsidRPr="00D6156C">
              <w:rPr>
                <w:rFonts w:ascii="Times New Roman" w:hAnsi="Times New Roman" w:cs="Times New Roman"/>
                <w:sz w:val="20"/>
                <w:lang w:val="pt-BR"/>
              </w:rPr>
              <w:t xml:space="preserve">igh concentration of gas hydrate and or free gas will create </w:t>
            </w:r>
            <w:r w:rsidR="001D4ADA">
              <w:rPr>
                <w:rFonts w:ascii="Times New Roman" w:hAnsi="Times New Roman" w:cs="Times New Roman"/>
                <w:sz w:val="20"/>
                <w:lang w:val="pt-BR"/>
              </w:rPr>
              <w:t xml:space="preserve">a </w:t>
            </w:r>
            <w:r w:rsidRPr="00D6156C">
              <w:rPr>
                <w:rFonts w:ascii="Times New Roman" w:hAnsi="Times New Roman" w:cs="Times New Roman"/>
                <w:sz w:val="20"/>
                <w:lang w:val="pt-BR"/>
              </w:rPr>
              <w:t>high velocity contrast above and below BSR, thus strengthening the BSR.</w:t>
            </w:r>
          </w:p>
          <w:p w:rsidR="005E6E0F" w:rsidRPr="00D6156C" w:rsidRDefault="005E6E0F" w:rsidP="005E6E0F">
            <w:pPr>
              <w:ind w:firstLine="227"/>
              <w:jc w:val="both"/>
              <w:rPr>
                <w:rFonts w:ascii="Times New Roman" w:hAnsi="Times New Roman" w:cs="Times New Roman"/>
                <w:sz w:val="20"/>
                <w:lang w:val="pt-BR"/>
              </w:rPr>
            </w:pPr>
            <w:r w:rsidRPr="00D6156C">
              <w:rPr>
                <w:rFonts w:ascii="Times New Roman" w:hAnsi="Times New Roman" w:cs="Times New Roman"/>
                <w:sz w:val="20"/>
                <w:lang w:val="pt-BR"/>
              </w:rPr>
              <w:t>The BSR associated with the shale diapir and it tends to cross the shale diapir which is rather different from the model of Milkov and Sassen (2002) (Fig. 5). According to these authors, the BSR tends to move up or disappear in the area of shale diapir as heat flux moving upward. Here we still observed the occurrence of the BSR across the shale diapir. This suggests the active phase of the shale di</w:t>
            </w:r>
            <w:r w:rsidR="001D4ADA">
              <w:rPr>
                <w:rFonts w:ascii="Times New Roman" w:hAnsi="Times New Roman" w:cs="Times New Roman"/>
                <w:sz w:val="20"/>
                <w:lang w:val="pt-BR"/>
              </w:rPr>
              <w:t>a</w:t>
            </w:r>
            <w:r w:rsidRPr="00D6156C">
              <w:rPr>
                <w:rFonts w:ascii="Times New Roman" w:hAnsi="Times New Roman" w:cs="Times New Roman"/>
                <w:sz w:val="20"/>
                <w:lang w:val="pt-BR"/>
              </w:rPr>
              <w:t xml:space="preserve">pir happened </w:t>
            </w:r>
            <w:r w:rsidR="001D4ADA">
              <w:rPr>
                <w:rFonts w:ascii="Times New Roman" w:hAnsi="Times New Roman" w:cs="Times New Roman"/>
                <w:sz w:val="20"/>
                <w:lang w:val="pt-BR"/>
              </w:rPr>
              <w:t xml:space="preserve">a </w:t>
            </w:r>
            <w:r w:rsidRPr="00D6156C">
              <w:rPr>
                <w:rFonts w:ascii="Times New Roman" w:hAnsi="Times New Roman" w:cs="Times New Roman"/>
                <w:sz w:val="20"/>
                <w:lang w:val="pt-BR"/>
              </w:rPr>
              <w:t>long time ago and the BSR has been formed after the latest phase of diapir</w:t>
            </w:r>
            <w:r w:rsidR="001D4ADA">
              <w:rPr>
                <w:rFonts w:ascii="Times New Roman" w:hAnsi="Times New Roman" w:cs="Times New Roman"/>
                <w:sz w:val="20"/>
                <w:lang w:val="pt-BR"/>
              </w:rPr>
              <w:t>is</w:t>
            </w:r>
            <w:r w:rsidRPr="00D6156C">
              <w:rPr>
                <w:rFonts w:ascii="Times New Roman" w:hAnsi="Times New Roman" w:cs="Times New Roman"/>
                <w:sz w:val="20"/>
                <w:lang w:val="pt-BR"/>
              </w:rPr>
              <w:t>m. Another observation of the high amplitude reflections in the ‘blanking zone’ (Fig. 3 &amp; 4). According to Milkov and Sassen (2002) (Fig. 5), this can be call</w:t>
            </w:r>
            <w:r w:rsidR="001D4ADA">
              <w:rPr>
                <w:rFonts w:ascii="Times New Roman" w:hAnsi="Times New Roman" w:cs="Times New Roman"/>
                <w:sz w:val="20"/>
                <w:lang w:val="pt-BR"/>
              </w:rPr>
              <w:t>ed</w:t>
            </w:r>
            <w:r w:rsidRPr="00D6156C">
              <w:rPr>
                <w:rFonts w:ascii="Times New Roman" w:hAnsi="Times New Roman" w:cs="Times New Roman"/>
                <w:sz w:val="20"/>
                <w:lang w:val="pt-BR"/>
              </w:rPr>
              <w:t xml:space="preserve"> </w:t>
            </w:r>
            <w:r w:rsidR="00760558">
              <w:rPr>
                <w:rFonts w:ascii="Times New Roman" w:hAnsi="Times New Roman" w:cs="Times New Roman"/>
                <w:sz w:val="20"/>
                <w:lang w:val="pt-BR"/>
              </w:rPr>
              <w:t xml:space="preserve">the </w:t>
            </w:r>
            <w:r w:rsidRPr="00D6156C">
              <w:rPr>
                <w:rFonts w:ascii="Times New Roman" w:hAnsi="Times New Roman" w:cs="Times New Roman"/>
                <w:sz w:val="20"/>
                <w:lang w:val="pt-BR"/>
              </w:rPr>
              <w:t>stratigraphic accumulation of gas hydrate formed by the relative</w:t>
            </w:r>
            <w:r w:rsidR="001D4ADA">
              <w:rPr>
                <w:rFonts w:ascii="Times New Roman" w:hAnsi="Times New Roman" w:cs="Times New Roman"/>
                <w:sz w:val="20"/>
                <w:lang w:val="pt-BR"/>
              </w:rPr>
              <w:t>ly</w:t>
            </w:r>
            <w:r w:rsidRPr="00D6156C">
              <w:rPr>
                <w:rFonts w:ascii="Times New Roman" w:hAnsi="Times New Roman" w:cs="Times New Roman"/>
                <w:sz w:val="20"/>
                <w:lang w:val="pt-BR"/>
              </w:rPr>
              <w:t xml:space="preserve"> permeable sediment thus higher concentration of gas hydrate and creat</w:t>
            </w:r>
            <w:r w:rsidR="001D4ADA">
              <w:rPr>
                <w:rFonts w:ascii="Times New Roman" w:hAnsi="Times New Roman" w:cs="Times New Roman"/>
                <w:sz w:val="20"/>
                <w:lang w:val="pt-BR"/>
              </w:rPr>
              <w:t>ing</w:t>
            </w:r>
            <w:r w:rsidRPr="00D6156C">
              <w:rPr>
                <w:rFonts w:ascii="Times New Roman" w:hAnsi="Times New Roman" w:cs="Times New Roman"/>
                <w:sz w:val="20"/>
                <w:lang w:val="pt-BR"/>
              </w:rPr>
              <w:t xml:space="preserve"> strong amplitude reflections. </w:t>
            </w:r>
          </w:p>
          <w:p w:rsidR="005E6E0F" w:rsidRPr="00D6156C" w:rsidRDefault="005E6E0F" w:rsidP="005E6E0F">
            <w:pPr>
              <w:ind w:firstLine="227"/>
              <w:jc w:val="both"/>
              <w:rPr>
                <w:rFonts w:ascii="Times New Roman" w:hAnsi="Times New Roman" w:cs="Times New Roman"/>
                <w:sz w:val="20"/>
                <w:lang w:val="pt-BR"/>
              </w:rPr>
            </w:pPr>
            <w:r w:rsidRPr="00D6156C">
              <w:rPr>
                <w:rFonts w:ascii="Times New Roman" w:hAnsi="Times New Roman" w:cs="Times New Roman"/>
                <w:sz w:val="20"/>
                <w:lang w:val="pt-BR"/>
              </w:rPr>
              <w:t>Gas in the gas hydrate or free gas zone may have been supplied from both in-situ (</w:t>
            </w:r>
            <w:r w:rsidR="001D4ADA">
              <w:rPr>
                <w:rFonts w:ascii="Times New Roman" w:hAnsi="Times New Roman" w:cs="Times New Roman"/>
                <w:sz w:val="20"/>
                <w:lang w:val="pt-BR"/>
              </w:rPr>
              <w:t>B</w:t>
            </w:r>
            <w:r w:rsidRPr="00D6156C">
              <w:rPr>
                <w:rFonts w:ascii="Times New Roman" w:hAnsi="Times New Roman" w:cs="Times New Roman"/>
                <w:sz w:val="20"/>
                <w:lang w:val="pt-BR"/>
              </w:rPr>
              <w:t xml:space="preserve">iotherm gas) and ex-situ (thermogenic gas). Most of </w:t>
            </w:r>
            <w:r w:rsidR="001D4ADA">
              <w:rPr>
                <w:rFonts w:ascii="Times New Roman" w:hAnsi="Times New Roman" w:cs="Times New Roman"/>
                <w:sz w:val="20"/>
                <w:lang w:val="pt-BR"/>
              </w:rPr>
              <w:t xml:space="preserve">the </w:t>
            </w:r>
            <w:r w:rsidRPr="00D6156C">
              <w:rPr>
                <w:rFonts w:ascii="Times New Roman" w:hAnsi="Times New Roman" w:cs="Times New Roman"/>
                <w:sz w:val="20"/>
                <w:lang w:val="pt-BR"/>
              </w:rPr>
              <w:t>stud</w:t>
            </w:r>
            <w:r w:rsidR="001D4ADA">
              <w:rPr>
                <w:rFonts w:ascii="Times New Roman" w:hAnsi="Times New Roman" w:cs="Times New Roman"/>
                <w:sz w:val="20"/>
                <w:lang w:val="pt-BR"/>
              </w:rPr>
              <w:t>ies</w:t>
            </w:r>
            <w:r w:rsidRPr="00D6156C">
              <w:rPr>
                <w:rFonts w:ascii="Times New Roman" w:hAnsi="Times New Roman" w:cs="Times New Roman"/>
                <w:sz w:val="20"/>
                <w:lang w:val="pt-BR"/>
              </w:rPr>
              <w:t xml:space="preserve"> indicated the in-situ source of gas (99%). The Song Hong </w:t>
            </w:r>
            <w:r w:rsidRPr="00D6156C">
              <w:rPr>
                <w:rFonts w:ascii="Times New Roman" w:hAnsi="Times New Roman" w:cs="Times New Roman"/>
                <w:sz w:val="20"/>
                <w:lang w:val="pt-BR"/>
              </w:rPr>
              <w:lastRenderedPageBreak/>
              <w:t>basin has prove</w:t>
            </w:r>
            <w:r w:rsidR="001D4ADA">
              <w:rPr>
                <w:rFonts w:ascii="Times New Roman" w:hAnsi="Times New Roman" w:cs="Times New Roman"/>
                <w:sz w:val="20"/>
                <w:lang w:val="pt-BR"/>
              </w:rPr>
              <w:t>n</w:t>
            </w:r>
            <w:r w:rsidRPr="00D6156C">
              <w:rPr>
                <w:rFonts w:ascii="Times New Roman" w:hAnsi="Times New Roman" w:cs="Times New Roman"/>
                <w:sz w:val="20"/>
                <w:lang w:val="pt-BR"/>
              </w:rPr>
              <w:t xml:space="preserve"> the occurrence of an active petroleum system and many gas field has been discovered in Miocene, </w:t>
            </w:r>
            <w:r w:rsidR="001D4ADA">
              <w:rPr>
                <w:rFonts w:ascii="Times New Roman" w:hAnsi="Times New Roman" w:cs="Times New Roman"/>
                <w:sz w:val="20"/>
                <w:lang w:val="pt-BR"/>
              </w:rPr>
              <w:t xml:space="preserve">and </w:t>
            </w:r>
            <w:r w:rsidRPr="00D6156C">
              <w:rPr>
                <w:rFonts w:ascii="Times New Roman" w:hAnsi="Times New Roman" w:cs="Times New Roman"/>
                <w:sz w:val="20"/>
                <w:lang w:val="pt-BR"/>
              </w:rPr>
              <w:t>Pliocene sequence, thus, it is possible to expect thermogenic gas has possibly been generated and charge</w:t>
            </w:r>
            <w:r w:rsidR="001D4ADA">
              <w:rPr>
                <w:rFonts w:ascii="Times New Roman" w:hAnsi="Times New Roman" w:cs="Times New Roman"/>
                <w:sz w:val="20"/>
                <w:lang w:val="pt-BR"/>
              </w:rPr>
              <w:t>d</w:t>
            </w:r>
            <w:r w:rsidRPr="00D6156C">
              <w:rPr>
                <w:rFonts w:ascii="Times New Roman" w:hAnsi="Times New Roman" w:cs="Times New Roman"/>
                <w:sz w:val="20"/>
                <w:lang w:val="pt-BR"/>
              </w:rPr>
              <w:t xml:space="preserve"> the shallow sediment. Below the Pliocene sequence, a deep fluid migration network is observed including a large number of channels that are connected laterally and vertically, and vertical fluid migration pipes terminating at the Pliocene-Pleistocene level (Le, 2021). Therefore the origin of free gas may also be thermogenic gas.</w:t>
            </w:r>
          </w:p>
          <w:p w:rsidR="005E6E0F" w:rsidRPr="00D6156C" w:rsidRDefault="005E6E0F" w:rsidP="005E6E0F">
            <w:pPr>
              <w:ind w:firstLine="227"/>
              <w:jc w:val="both"/>
              <w:rPr>
                <w:rFonts w:ascii="Times New Roman" w:hAnsi="Times New Roman" w:cs="Times New Roman"/>
                <w:b/>
                <w:sz w:val="20"/>
              </w:rPr>
            </w:pPr>
            <w:r w:rsidRPr="00D6156C">
              <w:rPr>
                <w:rFonts w:ascii="Times New Roman" w:hAnsi="Times New Roman" w:cs="Times New Roman"/>
                <w:sz w:val="20"/>
                <w:lang w:val="pt-BR"/>
              </w:rPr>
              <w:t>The observation of the BSR in the Song Hong basin brings great gas hydrate potential for this area. However</w:t>
            </w:r>
            <w:r w:rsidR="001D4ADA">
              <w:rPr>
                <w:rFonts w:ascii="Times New Roman" w:hAnsi="Times New Roman" w:cs="Times New Roman"/>
                <w:sz w:val="20"/>
                <w:lang w:val="pt-BR"/>
              </w:rPr>
              <w:t>,</w:t>
            </w:r>
            <w:r w:rsidRPr="00D6156C">
              <w:rPr>
                <w:rFonts w:ascii="Times New Roman" w:hAnsi="Times New Roman" w:cs="Times New Roman"/>
                <w:sz w:val="20"/>
                <w:lang w:val="pt-BR"/>
              </w:rPr>
              <w:t xml:space="preserve"> the existence of the gas hydrate needs to be confirmed by well data. The future demand for gas will increase globally. The gas hydrate study in the Song Hong basin need</w:t>
            </w:r>
            <w:r w:rsidR="001D4ADA">
              <w:rPr>
                <w:rFonts w:ascii="Times New Roman" w:hAnsi="Times New Roman" w:cs="Times New Roman"/>
                <w:sz w:val="20"/>
                <w:lang w:val="pt-BR"/>
              </w:rPr>
              <w:t>s</w:t>
            </w:r>
            <w:r w:rsidRPr="00D6156C">
              <w:rPr>
                <w:rFonts w:ascii="Times New Roman" w:hAnsi="Times New Roman" w:cs="Times New Roman"/>
                <w:sz w:val="20"/>
                <w:lang w:val="pt-BR"/>
              </w:rPr>
              <w:t xml:space="preserve"> to get more attention from scientist</w:t>
            </w:r>
            <w:r w:rsidR="001D4ADA">
              <w:rPr>
                <w:rFonts w:ascii="Times New Roman" w:hAnsi="Times New Roman" w:cs="Times New Roman"/>
                <w:sz w:val="20"/>
                <w:lang w:val="pt-BR"/>
              </w:rPr>
              <w:t>s</w:t>
            </w:r>
            <w:r w:rsidRPr="00D6156C">
              <w:rPr>
                <w:rFonts w:ascii="Times New Roman" w:hAnsi="Times New Roman" w:cs="Times New Roman"/>
                <w:sz w:val="20"/>
                <w:lang w:val="pt-BR"/>
              </w:rPr>
              <w:t xml:space="preserve"> as well as the oil and gas industry to be ready for future gas hydrate exploration and production.</w:t>
            </w:r>
          </w:p>
          <w:p w:rsidR="005E6E0F" w:rsidRDefault="005E6E0F" w:rsidP="005E6E0F">
            <w:pPr>
              <w:pStyle w:val="5NDTmtt"/>
              <w:tabs>
                <w:tab w:val="clear" w:pos="567"/>
              </w:tabs>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210"/>
            </w:tblGrid>
            <w:tr w:rsidR="005E6E0F" w:rsidTr="00982605">
              <w:tc>
                <w:tcPr>
                  <w:tcW w:w="4247" w:type="dxa"/>
                </w:tcPr>
                <w:p w:rsidR="005E6E0F" w:rsidRDefault="005E6E0F" w:rsidP="005E6E0F">
                  <w:pPr>
                    <w:pStyle w:val="5NDTmtt"/>
                    <w:tabs>
                      <w:tab w:val="clear" w:pos="567"/>
                    </w:tabs>
                    <w:rPr>
                      <w:b/>
                    </w:rPr>
                  </w:pPr>
                  <w:r w:rsidRPr="004B0D09">
                    <w:rPr>
                      <w:rFonts w:ascii="Arial" w:hAnsi="Arial" w:cs="Arial"/>
                      <w:noProof/>
                      <w:szCs w:val="20"/>
                    </w:rPr>
                    <w:drawing>
                      <wp:inline distT="0" distB="0" distL="0" distR="0" wp14:anchorId="77D2619C" wp14:editId="5CF7945B">
                        <wp:extent cx="2439854" cy="3988435"/>
                        <wp:effectExtent l="0" t="0" r="0" b="0"/>
                        <wp:docPr id="12" name="Picture 1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128" b="49440"/>
                                <a:stretch/>
                              </pic:blipFill>
                              <pic:spPr bwMode="auto">
                                <a:xfrm>
                                  <a:off x="0" y="0"/>
                                  <a:ext cx="2440655" cy="3989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rsidR="005E6E0F" w:rsidRDefault="005E6E0F" w:rsidP="005E6E0F">
                  <w:pPr>
                    <w:pStyle w:val="5NDTmtt"/>
                    <w:tabs>
                      <w:tab w:val="clear" w:pos="567"/>
                    </w:tabs>
                    <w:rPr>
                      <w:b/>
                    </w:rPr>
                  </w:pPr>
                  <w:r w:rsidRPr="004B0D09">
                    <w:rPr>
                      <w:rFonts w:ascii="Arial" w:hAnsi="Arial" w:cs="Arial"/>
                      <w:noProof/>
                      <w:szCs w:val="20"/>
                    </w:rPr>
                    <w:drawing>
                      <wp:inline distT="0" distB="0" distL="0" distR="0" wp14:anchorId="21035C79" wp14:editId="18FF59A3">
                        <wp:extent cx="2526035" cy="3948013"/>
                        <wp:effectExtent l="0" t="0" r="7620" b="0"/>
                        <wp:docPr id="14" name="Picture 1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369" r="53852"/>
                                <a:stretch/>
                              </pic:blipFill>
                              <pic:spPr bwMode="auto">
                                <a:xfrm>
                                  <a:off x="0" y="0"/>
                                  <a:ext cx="2540346" cy="3970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E6E0F" w:rsidRPr="00EA0E0B" w:rsidRDefault="005E6E0F" w:rsidP="005E6E0F">
            <w:pPr>
              <w:pStyle w:val="5NDTmtt"/>
              <w:tabs>
                <w:tab w:val="clear" w:pos="567"/>
              </w:tabs>
              <w:jc w:val="center"/>
              <w:rPr>
                <w:rFonts w:ascii="Times New Roman" w:hAnsi="Times New Roman" w:cs="Times New Roman"/>
                <w:i/>
                <w:sz w:val="20"/>
                <w:szCs w:val="20"/>
                <w:lang w:val="pt-BR"/>
              </w:rPr>
            </w:pPr>
            <w:r w:rsidRPr="005E6E0F">
              <w:rPr>
                <w:rFonts w:ascii="Times New Roman" w:hAnsi="Times New Roman" w:cs="Times New Roman"/>
                <w:i/>
                <w:sz w:val="20"/>
              </w:rPr>
              <w:t>Figure 5. Two types of gas hydrate accumulation. Arrows show fluid migration (Milkov and Sassen, 2002).</w:t>
            </w:r>
          </w:p>
        </w:tc>
      </w:tr>
    </w:tbl>
    <w:p w:rsidR="00A274D4" w:rsidRPr="00EA0E0B" w:rsidRDefault="005E6E0F" w:rsidP="005E6E0F">
      <w:pPr>
        <w:pStyle w:val="ListParagraph"/>
        <w:widowControl w:val="0"/>
        <w:numPr>
          <w:ilvl w:val="0"/>
          <w:numId w:val="9"/>
        </w:numPr>
        <w:spacing w:before="120" w:after="120" w:line="240" w:lineRule="auto"/>
        <w:rPr>
          <w:rFonts w:ascii="Times New Roman" w:hAnsi="Times New Roman" w:cs="Times New Roman"/>
          <w:b/>
          <w:noProof/>
          <w:sz w:val="20"/>
          <w:szCs w:val="20"/>
          <w:lang w:val="en-US"/>
        </w:rPr>
      </w:pPr>
      <w:r w:rsidRPr="005E6E0F">
        <w:rPr>
          <w:rFonts w:ascii="Times New Roman" w:hAnsi="Times New Roman" w:cs="Times New Roman"/>
          <w:b/>
          <w:noProof/>
          <w:sz w:val="20"/>
          <w:szCs w:val="20"/>
          <w:lang w:val="en-US"/>
        </w:rPr>
        <w:lastRenderedPageBreak/>
        <w:t>Conclusions</w:t>
      </w:r>
    </w:p>
    <w:p w:rsidR="00A274D4" w:rsidRPr="00EA0E0B" w:rsidRDefault="005E6E0F" w:rsidP="005E6E0F">
      <w:pPr>
        <w:spacing w:before="120" w:after="120"/>
        <w:ind w:firstLine="230"/>
        <w:jc w:val="both"/>
        <w:rPr>
          <w:lang w:val="de-DE"/>
        </w:rPr>
      </w:pPr>
      <w:r w:rsidRPr="005E6E0F">
        <w:rPr>
          <w:lang w:val="de-DE"/>
        </w:rPr>
        <w:t>We infer that gas hydrate</w:t>
      </w:r>
      <w:r w:rsidR="001D4ADA">
        <w:rPr>
          <w:lang w:val="de-DE"/>
        </w:rPr>
        <w:t>–</w:t>
      </w:r>
      <w:r w:rsidRPr="005E6E0F">
        <w:rPr>
          <w:lang w:val="de-DE"/>
        </w:rPr>
        <w:t xml:space="preserve">related BSR has been observed in the central part of </w:t>
      </w:r>
      <w:r w:rsidR="001D4ADA">
        <w:rPr>
          <w:lang w:val="de-DE"/>
        </w:rPr>
        <w:t xml:space="preserve">the </w:t>
      </w:r>
      <w:r w:rsidRPr="005E6E0F">
        <w:rPr>
          <w:lang w:val="de-DE"/>
        </w:rPr>
        <w:t>Song Hong basin, recording in an area of c. 150 km</w:t>
      </w:r>
      <w:r w:rsidRPr="001D4ADA">
        <w:rPr>
          <w:vertAlign w:val="superscript"/>
          <w:lang w:val="de-DE"/>
        </w:rPr>
        <w:t>2</w:t>
      </w:r>
      <w:r w:rsidRPr="005E6E0F">
        <w:rPr>
          <w:lang w:val="de-DE"/>
        </w:rPr>
        <w:t xml:space="preserve">, </w:t>
      </w:r>
      <w:r w:rsidR="001D4ADA">
        <w:rPr>
          <w:lang w:val="de-DE"/>
        </w:rPr>
        <w:t xml:space="preserve">which </w:t>
      </w:r>
      <w:r w:rsidRPr="005E6E0F">
        <w:rPr>
          <w:lang w:val="de-DE"/>
        </w:rPr>
        <w:t xml:space="preserve">represents the base of the gas hydrate stability zone. This is </w:t>
      </w:r>
      <w:r w:rsidR="001D4ADA">
        <w:rPr>
          <w:lang w:val="de-DE"/>
        </w:rPr>
        <w:t xml:space="preserve">the </w:t>
      </w:r>
      <w:r w:rsidRPr="005E6E0F">
        <w:rPr>
          <w:lang w:val="de-DE"/>
        </w:rPr>
        <w:t>first time gas hydrate has been mapped in the Song Hong basin. The BSR is identified in the seismic line</w:t>
      </w:r>
      <w:r w:rsidR="001D4ADA">
        <w:rPr>
          <w:lang w:val="de-DE"/>
        </w:rPr>
        <w:t>s</w:t>
      </w:r>
      <w:r w:rsidRPr="005E6E0F">
        <w:rPr>
          <w:lang w:val="de-DE"/>
        </w:rPr>
        <w:t xml:space="preserve"> 2 and 4 with </w:t>
      </w:r>
      <w:r w:rsidR="001D4ADA">
        <w:rPr>
          <w:lang w:val="de-DE"/>
        </w:rPr>
        <w:t>a</w:t>
      </w:r>
      <w:r w:rsidRPr="005E6E0F">
        <w:rPr>
          <w:lang w:val="de-DE"/>
        </w:rPr>
        <w:t xml:space="preserve"> length of c. 14 km. The BSR has a strong, negative amplitude reflector. The BSR associated with the shale diapir and it</w:t>
      </w:r>
      <w:r w:rsidR="001D4ADA">
        <w:rPr>
          <w:lang w:val="de-DE"/>
        </w:rPr>
        <w:t>s</w:t>
      </w:r>
      <w:r w:rsidRPr="005E6E0F">
        <w:rPr>
          <w:lang w:val="de-DE"/>
        </w:rPr>
        <w:t xml:space="preserve"> tend</w:t>
      </w:r>
      <w:r w:rsidR="001D4ADA">
        <w:rPr>
          <w:lang w:val="de-DE"/>
        </w:rPr>
        <w:t>ency</w:t>
      </w:r>
      <w:r w:rsidRPr="005E6E0F">
        <w:rPr>
          <w:lang w:val="de-DE"/>
        </w:rPr>
        <w:t xml:space="preserve"> to cross the shale diapir suggests the active phase of the shale diapir happened </w:t>
      </w:r>
      <w:r w:rsidR="001D4ADA">
        <w:rPr>
          <w:lang w:val="de-DE"/>
        </w:rPr>
        <w:t xml:space="preserve">a </w:t>
      </w:r>
      <w:r w:rsidRPr="005E6E0F">
        <w:rPr>
          <w:lang w:val="de-DE"/>
        </w:rPr>
        <w:t>long time ago and the BSR has been formed after the latest phase of diapir</w:t>
      </w:r>
      <w:r w:rsidR="001D4ADA">
        <w:rPr>
          <w:lang w:val="de-DE"/>
        </w:rPr>
        <w:t>is</w:t>
      </w:r>
      <w:r w:rsidRPr="005E6E0F">
        <w:rPr>
          <w:lang w:val="de-DE"/>
        </w:rPr>
        <w:t>m. The occurrence of gas hydrate-related BSR suggest</w:t>
      </w:r>
      <w:r w:rsidR="001D4ADA">
        <w:rPr>
          <w:lang w:val="de-DE"/>
        </w:rPr>
        <w:t>s</w:t>
      </w:r>
      <w:r w:rsidRPr="005E6E0F">
        <w:rPr>
          <w:lang w:val="de-DE"/>
        </w:rPr>
        <w:t xml:space="preserve"> the existence of gas hydrate in sediment offshore Vietnam indicat</w:t>
      </w:r>
      <w:r w:rsidR="001D4ADA">
        <w:rPr>
          <w:lang w:val="de-DE"/>
        </w:rPr>
        <w:t>ing</w:t>
      </w:r>
      <w:r w:rsidRPr="005E6E0F">
        <w:rPr>
          <w:lang w:val="de-DE"/>
        </w:rPr>
        <w:t xml:space="preserve"> that </w:t>
      </w:r>
      <w:r w:rsidR="00760558">
        <w:rPr>
          <w:lang w:val="de-DE"/>
        </w:rPr>
        <w:t xml:space="preserve">a </w:t>
      </w:r>
      <w:r w:rsidRPr="005E6E0F">
        <w:rPr>
          <w:lang w:val="de-DE"/>
        </w:rPr>
        <w:t>vast quantit</w:t>
      </w:r>
      <w:r w:rsidR="001D4ADA">
        <w:rPr>
          <w:lang w:val="de-DE"/>
        </w:rPr>
        <w:t>y</w:t>
      </w:r>
      <w:r w:rsidRPr="005E6E0F">
        <w:rPr>
          <w:lang w:val="de-DE"/>
        </w:rPr>
        <w:t xml:space="preserve"> of methane </w:t>
      </w:r>
      <w:r w:rsidR="00760558">
        <w:rPr>
          <w:lang w:val="de-DE"/>
        </w:rPr>
        <w:t>is</w:t>
      </w:r>
      <w:r w:rsidRPr="005E6E0F">
        <w:rPr>
          <w:lang w:val="de-DE"/>
        </w:rPr>
        <w:t xml:space="preserve"> present in this area. This gas hydrate may present a future unconventional energy resource, but drilling will be required to confirm the existen</w:t>
      </w:r>
      <w:r w:rsidR="001D4ADA">
        <w:rPr>
          <w:lang w:val="de-DE"/>
        </w:rPr>
        <w:t>ce</w:t>
      </w:r>
      <w:r w:rsidRPr="005E6E0F">
        <w:rPr>
          <w:lang w:val="de-DE"/>
        </w:rPr>
        <w:t xml:space="preserve"> of gas hydrate as well as the amount of gas hydrate accurately.</w:t>
      </w:r>
    </w:p>
    <w:p w:rsidR="005E6E0F" w:rsidRDefault="005E6E0F" w:rsidP="005E6E0F">
      <w:pPr>
        <w:spacing w:before="120" w:after="120"/>
        <w:jc w:val="both"/>
        <w:rPr>
          <w:b/>
          <w:lang w:val="de-DE"/>
        </w:rPr>
      </w:pPr>
      <w:r w:rsidRPr="005E6E0F">
        <w:rPr>
          <w:b/>
          <w:lang w:val="de-DE"/>
        </w:rPr>
        <w:t>Acknowledgments</w:t>
      </w:r>
      <w:r>
        <w:rPr>
          <w:b/>
          <w:lang w:val="de-DE"/>
        </w:rPr>
        <w:t>:</w:t>
      </w:r>
      <w:r w:rsidRPr="005E6E0F">
        <w:rPr>
          <w:b/>
          <w:lang w:val="de-DE"/>
        </w:rPr>
        <w:t xml:space="preserve"> </w:t>
      </w:r>
    </w:p>
    <w:p w:rsidR="00E03623" w:rsidRPr="00EA0E0B" w:rsidRDefault="005E6E0F" w:rsidP="005E6E0F">
      <w:pPr>
        <w:spacing w:before="120" w:after="120"/>
        <w:ind w:firstLine="230"/>
        <w:jc w:val="both"/>
        <w:rPr>
          <w:lang w:val="de-DE"/>
        </w:rPr>
      </w:pPr>
      <w:r w:rsidRPr="005E6E0F">
        <w:rPr>
          <w:lang w:val="de-DE"/>
        </w:rPr>
        <w:t xml:space="preserve">We would like to thank Schlumberger for </w:t>
      </w:r>
      <w:r w:rsidR="001D4ADA">
        <w:rPr>
          <w:lang w:val="de-DE"/>
        </w:rPr>
        <w:t xml:space="preserve">the </w:t>
      </w:r>
      <w:r w:rsidRPr="005E6E0F">
        <w:rPr>
          <w:lang w:val="de-DE"/>
        </w:rPr>
        <w:t>software provided. We would like to thank our colle</w:t>
      </w:r>
      <w:r w:rsidR="001D4ADA">
        <w:rPr>
          <w:lang w:val="de-DE"/>
        </w:rPr>
        <w:t>agu</w:t>
      </w:r>
      <w:r w:rsidRPr="005E6E0F">
        <w:rPr>
          <w:lang w:val="de-DE"/>
        </w:rPr>
        <w:t xml:space="preserve">es for </w:t>
      </w:r>
      <w:r w:rsidR="001D4ADA">
        <w:rPr>
          <w:lang w:val="de-DE"/>
        </w:rPr>
        <w:t xml:space="preserve">their </w:t>
      </w:r>
      <w:r w:rsidRPr="005E6E0F">
        <w:rPr>
          <w:lang w:val="de-DE"/>
        </w:rPr>
        <w:t xml:space="preserve">valuable discussions. We also would like to express </w:t>
      </w:r>
      <w:r w:rsidR="001D4ADA">
        <w:rPr>
          <w:lang w:val="de-DE"/>
        </w:rPr>
        <w:t>our</w:t>
      </w:r>
      <w:r w:rsidRPr="005E6E0F">
        <w:rPr>
          <w:lang w:val="de-DE"/>
        </w:rPr>
        <w:t xml:space="preserve"> gratitude to the reviewers for </w:t>
      </w:r>
      <w:r w:rsidR="001D4ADA">
        <w:rPr>
          <w:lang w:val="de-DE"/>
        </w:rPr>
        <w:t xml:space="preserve">their </w:t>
      </w:r>
      <w:r w:rsidRPr="005E6E0F">
        <w:rPr>
          <w:lang w:val="de-DE"/>
        </w:rPr>
        <w:t xml:space="preserve">very </w:t>
      </w:r>
      <w:r w:rsidRPr="005E6E0F">
        <w:rPr>
          <w:lang w:val="de-DE"/>
        </w:rPr>
        <w:lastRenderedPageBreak/>
        <w:t xml:space="preserve">useful and constructive comments </w:t>
      </w:r>
      <w:r w:rsidR="001D4ADA">
        <w:rPr>
          <w:lang w:val="de-DE"/>
        </w:rPr>
        <w:t>on</w:t>
      </w:r>
      <w:r w:rsidRPr="005E6E0F">
        <w:rPr>
          <w:lang w:val="de-DE"/>
        </w:rPr>
        <w:t xml:space="preserve"> this paper.</w:t>
      </w:r>
    </w:p>
    <w:p w:rsidR="008E2512" w:rsidRPr="00EA0E0B" w:rsidRDefault="005E6E0F" w:rsidP="00E03623">
      <w:pPr>
        <w:tabs>
          <w:tab w:val="left" w:pos="1302"/>
        </w:tabs>
        <w:spacing w:before="120" w:after="120"/>
        <w:rPr>
          <w:b/>
          <w:lang w:val="en-US"/>
        </w:rPr>
      </w:pPr>
      <w:r w:rsidRPr="005E6E0F">
        <w:rPr>
          <w:b/>
          <w:lang w:val="en-US"/>
        </w:rPr>
        <w:t>References</w:t>
      </w:r>
    </w:p>
    <w:p w:rsidR="005E6E0F" w:rsidRPr="005E6E0F" w:rsidRDefault="005E6E0F" w:rsidP="005E6E0F">
      <w:pPr>
        <w:ind w:firstLine="227"/>
        <w:jc w:val="both"/>
        <w:rPr>
          <w:lang w:val="en-US"/>
        </w:rPr>
      </w:pPr>
      <w:r w:rsidRPr="005E6E0F">
        <w:rPr>
          <w:lang w:val="en-US"/>
        </w:rPr>
        <w:t>Berndt, C., Bünz, S., Clayton, T., Mienert, J., &amp; Saunders, M. (2004). Seismic character of bottom simulating reflectors: examples from the mid-Norwegian margin. Marine and petroleum geology, 21(6), 723-733.</w:t>
      </w:r>
    </w:p>
    <w:p w:rsidR="005E6E0F" w:rsidRPr="005E6E0F" w:rsidRDefault="005E6E0F" w:rsidP="005E6E0F">
      <w:pPr>
        <w:ind w:firstLine="227"/>
        <w:jc w:val="both"/>
        <w:rPr>
          <w:lang w:val="en-US"/>
        </w:rPr>
      </w:pPr>
      <w:r w:rsidRPr="005E6E0F">
        <w:rPr>
          <w:lang w:val="en-US"/>
        </w:rPr>
        <w:t>Hovland, M., Gallagher, J.W., Clennell, M.B., Lekvam, K., 1997. Gas hydrate and free gas volumes in marine sediments: example from the Niger Delta front. Mar. Pet. Geol. 14, 245e255.</w:t>
      </w:r>
    </w:p>
    <w:p w:rsidR="005E6E0F" w:rsidRPr="005E6E0F" w:rsidRDefault="005E6E0F" w:rsidP="005E6E0F">
      <w:pPr>
        <w:ind w:firstLine="227"/>
        <w:jc w:val="both"/>
        <w:rPr>
          <w:lang w:val="en-US"/>
        </w:rPr>
      </w:pPr>
      <w:r w:rsidRPr="005E6E0F">
        <w:rPr>
          <w:lang w:val="en-US"/>
        </w:rPr>
        <w:t>Holbrook,W.S., Hoskins, H.,Wood,W.T., Stephen, R.A., Lizarralde, D., 1996. Methane hydrate and free gas on the Blake Ridge from vertical seismic profiling. Science 273, 1840e1843.</w:t>
      </w:r>
    </w:p>
    <w:p w:rsidR="005E6E0F" w:rsidRPr="005E6E0F" w:rsidRDefault="005E6E0F" w:rsidP="005E6E0F">
      <w:pPr>
        <w:ind w:firstLine="227"/>
        <w:jc w:val="both"/>
        <w:rPr>
          <w:lang w:val="en-US"/>
        </w:rPr>
      </w:pPr>
      <w:r w:rsidRPr="005E6E0F">
        <w:rPr>
          <w:lang w:val="en-US"/>
        </w:rPr>
        <w:t>Korenaga, J., Holbrook, W. S., Singh, S. C. &amp; Minshull, T. A. (1997) Natural gas hydrates on the southeast US margin: Constraints from full waveform and travel time inversions of wide-angle seismic data. Journal of Geophysical Research, 102 (15), 345–415.</w:t>
      </w:r>
    </w:p>
    <w:p w:rsidR="005E6E0F" w:rsidRPr="005E6E0F" w:rsidRDefault="005E6E0F" w:rsidP="005E6E0F">
      <w:pPr>
        <w:ind w:firstLine="227"/>
        <w:jc w:val="both"/>
        <w:rPr>
          <w:lang w:val="en-US"/>
        </w:rPr>
      </w:pPr>
      <w:r w:rsidRPr="005E6E0F">
        <w:rPr>
          <w:lang w:val="en-US"/>
        </w:rPr>
        <w:t>Le, A. N. (2021). Seismic Characteristics of Mud Diapir in the Central of Song Hong Basin, offshore Vietnam. The Iraqi Geological Journal, 1-10.</w:t>
      </w:r>
    </w:p>
    <w:p w:rsidR="005E6E0F" w:rsidRPr="005E6E0F" w:rsidRDefault="005E6E0F" w:rsidP="005E6E0F">
      <w:pPr>
        <w:ind w:firstLine="227"/>
        <w:jc w:val="both"/>
        <w:rPr>
          <w:lang w:val="en-US"/>
        </w:rPr>
      </w:pPr>
      <w:r w:rsidRPr="005E6E0F">
        <w:rPr>
          <w:lang w:val="en-US"/>
        </w:rPr>
        <w:t>Milkov, A. V., &amp; Sassen, R. (2002). Economic geology of offshore gas hydrate accumulations and provinces. Marine and Petroleum geology, 19(1), 1-11.</w:t>
      </w:r>
    </w:p>
    <w:p w:rsidR="00B20C01" w:rsidRPr="00EA0E0B" w:rsidRDefault="005E6E0F" w:rsidP="00A274D4">
      <w:pPr>
        <w:ind w:firstLine="227"/>
        <w:jc w:val="both"/>
      </w:pPr>
      <w:r w:rsidRPr="005E6E0F">
        <w:rPr>
          <w:lang w:val="en-US"/>
        </w:rPr>
        <w:t>Nguyễn, H. (2019). The petroleum geology and resources of Vietnam. Science and Technology Publisher, p549.</w:t>
      </w:r>
    </w:p>
    <w:p w:rsidR="001851DD" w:rsidRPr="00EA0E0B" w:rsidRDefault="005E6E0F" w:rsidP="00181942">
      <w:pPr>
        <w:tabs>
          <w:tab w:val="left" w:pos="1302"/>
        </w:tabs>
        <w:spacing w:before="120" w:after="120"/>
        <w:jc w:val="center"/>
        <w:rPr>
          <w:sz w:val="30"/>
          <w:lang w:val="en-US"/>
        </w:rPr>
      </w:pPr>
      <w:r>
        <w:rPr>
          <w:b/>
          <w:sz w:val="26"/>
          <w:lang w:val="en-US"/>
        </w:rPr>
        <w:t>TÓM TẮT</w:t>
      </w:r>
    </w:p>
    <w:p w:rsidR="005E6E0F" w:rsidRPr="005E6E0F" w:rsidRDefault="005E6E0F" w:rsidP="005E6E0F">
      <w:pPr>
        <w:jc w:val="center"/>
        <w:rPr>
          <w:lang w:val="fr-FR"/>
        </w:rPr>
      </w:pPr>
      <w:r w:rsidRPr="005E6E0F">
        <w:rPr>
          <w:lang w:val="fr-FR"/>
        </w:rPr>
        <w:t>Anh Ngoc Le</w:t>
      </w:r>
      <w:r w:rsidRPr="005E6E0F">
        <w:rPr>
          <w:vertAlign w:val="superscript"/>
          <w:lang w:val="fr-FR"/>
        </w:rPr>
        <w:t>1*</w:t>
      </w:r>
      <w:r w:rsidRPr="005E6E0F">
        <w:rPr>
          <w:lang w:val="fr-FR"/>
        </w:rPr>
        <w:t>, Ngan Thi Bui</w:t>
      </w:r>
      <w:r w:rsidRPr="005E6E0F">
        <w:rPr>
          <w:vertAlign w:val="superscript"/>
          <w:lang w:val="fr-FR"/>
        </w:rPr>
        <w:t>1</w:t>
      </w:r>
      <w:r w:rsidRPr="005E6E0F">
        <w:rPr>
          <w:lang w:val="fr-FR"/>
        </w:rPr>
        <w:t>, Oanh Thi Tran</w:t>
      </w:r>
      <w:r w:rsidRPr="005E6E0F">
        <w:rPr>
          <w:vertAlign w:val="superscript"/>
          <w:lang w:val="fr-FR"/>
        </w:rPr>
        <w:t>2</w:t>
      </w:r>
      <w:r w:rsidRPr="005E6E0F">
        <w:rPr>
          <w:lang w:val="fr-FR"/>
        </w:rPr>
        <w:t>, Hang Thu Thi Nguyen</w:t>
      </w:r>
      <w:r w:rsidRPr="005E6E0F">
        <w:rPr>
          <w:vertAlign w:val="superscript"/>
          <w:lang w:val="fr-FR"/>
        </w:rPr>
        <w:t>1</w:t>
      </w:r>
      <w:r w:rsidRPr="005E6E0F">
        <w:rPr>
          <w:lang w:val="fr-FR"/>
        </w:rPr>
        <w:t>, Hiep Quoc Le</w:t>
      </w:r>
      <w:r w:rsidRPr="005E6E0F">
        <w:rPr>
          <w:vertAlign w:val="superscript"/>
          <w:lang w:val="fr-FR"/>
        </w:rPr>
        <w:t>1</w:t>
      </w:r>
    </w:p>
    <w:p w:rsidR="005E6E0F" w:rsidRPr="005E6E0F" w:rsidRDefault="005E6E0F" w:rsidP="005E6E0F">
      <w:pPr>
        <w:jc w:val="center"/>
        <w:rPr>
          <w:lang w:val="fr-FR"/>
        </w:rPr>
      </w:pPr>
      <w:r w:rsidRPr="005E6E0F">
        <w:rPr>
          <w:vertAlign w:val="superscript"/>
          <w:lang w:val="fr-FR"/>
        </w:rPr>
        <w:t>1</w:t>
      </w:r>
      <w:r w:rsidRPr="005E6E0F">
        <w:rPr>
          <w:lang w:val="fr-FR"/>
        </w:rPr>
        <w:t xml:space="preserve"> Hanoi University of Mining and Geology</w:t>
      </w:r>
    </w:p>
    <w:p w:rsidR="00181942" w:rsidRPr="00EA0E0B" w:rsidRDefault="005E6E0F" w:rsidP="005E6E0F">
      <w:pPr>
        <w:jc w:val="center"/>
        <w:rPr>
          <w:i/>
          <w:lang w:val="en-US"/>
        </w:rPr>
      </w:pPr>
      <w:r w:rsidRPr="005E6E0F">
        <w:rPr>
          <w:vertAlign w:val="superscript"/>
          <w:lang w:val="fr-FR"/>
        </w:rPr>
        <w:t>2</w:t>
      </w:r>
      <w:r w:rsidRPr="005E6E0F">
        <w:rPr>
          <w:lang w:val="fr-FR"/>
        </w:rPr>
        <w:t xml:space="preserve"> PetroVietnam University</w:t>
      </w:r>
    </w:p>
    <w:p w:rsidR="008E2512" w:rsidRPr="00EA0E0B" w:rsidRDefault="00D6156C" w:rsidP="00DC4AE4">
      <w:pPr>
        <w:widowControl/>
        <w:autoSpaceDE w:val="0"/>
        <w:autoSpaceDN w:val="0"/>
        <w:adjustRightInd w:val="0"/>
        <w:spacing w:before="120"/>
        <w:ind w:firstLine="227"/>
        <w:jc w:val="both"/>
      </w:pPr>
      <w:r>
        <w:t>Gas hydrate đã được phát hiện ở rất nhiểu bể trầm tích, tại khu vực Bắc Cực  (nước nông) hoặc tại các thềm lục địa (nước sâu), là nơi có điều kiện nhiệt độ và áp suất thích hợp để gas hydrate ổn định. Mặt mô phỏng đáy biển (BSR) được biết đến như một dấu hiêu trực tiếp nhận diện sự có mặt của gas hydrate và xác định đáy của đới gas hydrate ổn định (GHSZ). Nghiên cứu này lần đầu tiên đã nghiên cứu và xác định sự tồn tại của dị thường biên độ phản xạ địa chấn và được minh giải là mặt mô phỏng đáy biển BSR dựa trên tài lệu địa chấn 2D. Nghiên cứu sử dụng 4 tuyến địa chấn thuộc  khu vực trung tâm bể trầm tích Sông Hồng với diện tích nghiên cứu là 3900 km</w:t>
      </w:r>
      <w:r w:rsidRPr="00D6156C">
        <w:rPr>
          <w:vertAlign w:val="superscript"/>
        </w:rPr>
        <w:t>2</w:t>
      </w:r>
      <w:r>
        <w:t>. BSR đã được minh giải có diện tích 150 km</w:t>
      </w:r>
      <w:r w:rsidRPr="00D6156C">
        <w:rPr>
          <w:vertAlign w:val="superscript"/>
        </w:rPr>
        <w:t>2</w:t>
      </w:r>
      <w:r>
        <w:t xml:space="preserve">, bên dưới đáy biển, song song với đáy biển và đảo cực so với đáy biển. BSR xuất hiện cùng với sét diaper và có xu hướng cắt qua khối diaper chứng tỏ diaper đang trong giai đoạn thụ động, không hoạt động và BSR được hình thành sau pha hoạt động cuối cùng của sét diaper. Sự tồn tại của BSR chỉ ra tiềm năng về gas hydrate tại khu vực nghiên cứu. </w:t>
      </w:r>
      <w:r w:rsidR="003B6AF3">
        <w:t>Khi sự tồn tại của gas hydrate được xác minh bởi giếng khoan, nó sẽ mở ra một hướng tìm kiếm thăm dò mới về tài nguyên phi truyền thống tại khu vực bể trầm tích Sông Hồng.</w:t>
      </w:r>
    </w:p>
    <w:p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3B6AF3">
        <w:rPr>
          <w:color w:val="000000" w:themeColor="text1"/>
          <w:lang w:val="en-US"/>
        </w:rPr>
        <w:t>Gas hydrate, Địa chấn 2D, Mặt mô phỏng đáy biển, Bể trầm tích Sông Hồng.</w:t>
      </w:r>
    </w:p>
    <w:p w:rsidR="00181942" w:rsidRPr="00EA0E0B" w:rsidRDefault="00181942" w:rsidP="001C29D3">
      <w:pPr>
        <w:jc w:val="both"/>
        <w:rPr>
          <w:b/>
          <w:color w:val="FF0000"/>
          <w:sz w:val="24"/>
          <w:szCs w:val="24"/>
          <w:u w:val="single"/>
          <w:lang w:val="en-US"/>
        </w:rPr>
      </w:pPr>
      <w:bookmarkStart w:id="0" w:name="_GoBack"/>
      <w:bookmarkEnd w:id="0"/>
    </w:p>
    <w:sectPr w:rsidR="00181942" w:rsidRPr="00EA0E0B" w:rsidSect="00476C7D">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494" w:rsidRDefault="00146494">
      <w:r>
        <w:separator/>
      </w:r>
    </w:p>
    <w:p w:rsidR="00146494" w:rsidRDefault="00146494"/>
  </w:endnote>
  <w:endnote w:type="continuationSeparator" w:id="0">
    <w:p w:rsidR="00146494" w:rsidRDefault="00146494">
      <w:r>
        <w:continuationSeparator/>
      </w:r>
    </w:p>
    <w:p w:rsidR="00146494" w:rsidRDefault="00146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F1C1E6AE-D91E-4DD5-B795-2B34E4F87E86}"/>
    <w:embedBold r:id="rId2" w:fontKey="{9F2D4880-7B50-473F-8151-46A8E34457CA}"/>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843CE6A-A21F-4C5E-838D-E3C95AB2762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4" w:fontKey="{B4C7C9D4-EE1D-47FB-89DB-EE37B98D3BE7}"/>
    <w:embedBold r:id="rId5" w:fontKey="{6ED7B3F8-0817-4705-A69E-B694B3A5DB19}"/>
    <w:embedItalic r:id="rId6" w:fontKey="{AA298D99-33F0-4F90-9E4B-4E7C9262CDE8}"/>
    <w:embedBoldItalic r:id="rId7" w:fontKey="{FB820904-C761-455E-B423-E107CF7410E5}"/>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8" w:fontKey="{7D08CE1B-A085-46EB-B4E6-3BF58983624B}"/>
    <w:embedItalic r:id="rId9" w:fontKey="{3326C9BE-3E09-42E1-8243-E912B6D0F8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E962E7">
          <w:rPr>
            <w:sz w:val="20"/>
          </w:rPr>
          <w:t>6</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E962E7">
          <w:rPr>
            <w:sz w:val="20"/>
          </w:rPr>
          <w:t>5</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E962E7">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494" w:rsidRDefault="00146494" w:rsidP="00EF075F">
      <w:pPr>
        <w:pStyle w:val="Footer"/>
        <w:spacing w:after="0" w:line="240" w:lineRule="auto"/>
        <w:rPr>
          <w:lang w:val="en-GB"/>
        </w:rPr>
      </w:pPr>
    </w:p>
    <w:p w:rsidR="00146494" w:rsidRDefault="00146494"/>
  </w:footnote>
  <w:footnote w:type="continuationSeparator" w:id="0">
    <w:p w:rsidR="00146494" w:rsidRDefault="00146494">
      <w:r>
        <w:continuationSeparator/>
      </w:r>
    </w:p>
    <w:p w:rsidR="00146494" w:rsidRDefault="001464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EndPr/>
    <w:sdtContent>
      <w:p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EndPr/>
    <w:sdtContent>
      <w:p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953DBB" w:rsidTr="00007076">
      <w:trPr>
        <w:trHeight w:val="1408"/>
      </w:trPr>
      <w:tc>
        <w:tcPr>
          <w:tcW w:w="1735" w:type="dxa"/>
        </w:tcPr>
        <w:p w:rsidR="00953DBB" w:rsidRDefault="002D0709" w:rsidP="00632959">
          <w:pPr>
            <w:pStyle w:val="Header"/>
            <w:spacing w:after="0" w:line="240" w:lineRule="auto"/>
            <w:rPr>
              <w:sz w:val="10"/>
            </w:rPr>
          </w:pPr>
          <w:r>
            <w:drawing>
              <wp:inline distT="0" distB="0" distL="0" distR="0">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rsidR="00953DBB" w:rsidRDefault="00953DBB" w:rsidP="00953DBB">
          <w:pPr>
            <w:pStyle w:val="Header"/>
            <w:jc w:val="right"/>
            <w:rPr>
              <w:sz w:val="10"/>
            </w:rPr>
          </w:pPr>
        </w:p>
      </w:tc>
    </w:tr>
  </w:tbl>
  <w:p w:rsidR="00D451FC" w:rsidRPr="00953DBB" w:rsidRDefault="00334499"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simplePos x="0" y="0"/>
              <wp:positionH relativeFrom="column">
                <wp:posOffset>-914400</wp:posOffset>
              </wp:positionH>
              <wp:positionV relativeFrom="paragraph">
                <wp:posOffset>-1623695</wp:posOffset>
              </wp:positionV>
              <wp:extent cx="563245" cy="22225"/>
              <wp:effectExtent l="0" t="0" r="8255" b="15875"/>
              <wp:wrapNone/>
              <wp:docPr id="4"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653FE06"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KG8MAAADaAAAADwAAAGRycy9kb3ducmV2LnhtbESPQWvCQBSE74X+h+UVvNVNg4iNrtIW&#10;Sj0IxVhyfmafSTD7NmQ3yfrv3UKhx2FmvmE2u2BaMVLvGssKXuYJCOLS6oYrBT+nz+cVCOeRNbaW&#10;ScGNHOy2jw8bzLSd+Ehj7isRIewyVFB732VSurImg25uO+LoXWxv0EfZV1L3OEW4aWWaJEtpsOG4&#10;UGNHHzWV13wwCr5HlyfF61ca3ofzKpjD4uiLvVKzp/C2BuEp+P/wX3uvFaTweyXeA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ChvDAAAA2gAAAA8AAAAAAAAAAAAA&#10;AAAAoQIAAGRycy9kb3ducmV2LnhtbFBLBQYAAAAABAAEAPkAAACRAwAAAAA=&#10;" strokecolor="#1f1e21" strokeweight=".6pt">
                <v:stroke joinstyle="miter"/>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rwUA4yInuSwAAAA="/>
  </w:docVars>
  <w:rsids>
    <w:rsidRoot w:val="008605D3"/>
    <w:rsid w:val="00005194"/>
    <w:rsid w:val="00007076"/>
    <w:rsid w:val="00011180"/>
    <w:rsid w:val="00014C19"/>
    <w:rsid w:val="000402C1"/>
    <w:rsid w:val="00050842"/>
    <w:rsid w:val="0005090E"/>
    <w:rsid w:val="000710BC"/>
    <w:rsid w:val="000A413F"/>
    <w:rsid w:val="000B42D6"/>
    <w:rsid w:val="000B554A"/>
    <w:rsid w:val="000D2576"/>
    <w:rsid w:val="000E0694"/>
    <w:rsid w:val="0012580E"/>
    <w:rsid w:val="00131384"/>
    <w:rsid w:val="00137DB4"/>
    <w:rsid w:val="001434DE"/>
    <w:rsid w:val="00146494"/>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ADA"/>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773D"/>
    <w:rsid w:val="002D0709"/>
    <w:rsid w:val="002D2372"/>
    <w:rsid w:val="002E530C"/>
    <w:rsid w:val="002F0026"/>
    <w:rsid w:val="00305D68"/>
    <w:rsid w:val="003158D5"/>
    <w:rsid w:val="0033215C"/>
    <w:rsid w:val="00334499"/>
    <w:rsid w:val="003354CF"/>
    <w:rsid w:val="003362FE"/>
    <w:rsid w:val="00337C54"/>
    <w:rsid w:val="00343A80"/>
    <w:rsid w:val="00354498"/>
    <w:rsid w:val="00356B5C"/>
    <w:rsid w:val="00372DEC"/>
    <w:rsid w:val="00374242"/>
    <w:rsid w:val="00385506"/>
    <w:rsid w:val="0038717A"/>
    <w:rsid w:val="00387721"/>
    <w:rsid w:val="003B680A"/>
    <w:rsid w:val="003B6AF3"/>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E6E0F"/>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60558"/>
    <w:rsid w:val="0077386F"/>
    <w:rsid w:val="007746B7"/>
    <w:rsid w:val="007760BC"/>
    <w:rsid w:val="007B183A"/>
    <w:rsid w:val="007B53A3"/>
    <w:rsid w:val="007B7278"/>
    <w:rsid w:val="007C4E08"/>
    <w:rsid w:val="007D7C6A"/>
    <w:rsid w:val="007F0A2B"/>
    <w:rsid w:val="007F0B28"/>
    <w:rsid w:val="007F70FC"/>
    <w:rsid w:val="0081182E"/>
    <w:rsid w:val="00823EF4"/>
    <w:rsid w:val="008306DE"/>
    <w:rsid w:val="00831073"/>
    <w:rsid w:val="00833194"/>
    <w:rsid w:val="00844FE1"/>
    <w:rsid w:val="008605D3"/>
    <w:rsid w:val="008616AE"/>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46669"/>
    <w:rsid w:val="00B51521"/>
    <w:rsid w:val="00B52A14"/>
    <w:rsid w:val="00B97AEE"/>
    <w:rsid w:val="00BA461F"/>
    <w:rsid w:val="00BA4A14"/>
    <w:rsid w:val="00BC1341"/>
    <w:rsid w:val="00BD15BE"/>
    <w:rsid w:val="00C01B1F"/>
    <w:rsid w:val="00C20028"/>
    <w:rsid w:val="00C22098"/>
    <w:rsid w:val="00C314ED"/>
    <w:rsid w:val="00C33417"/>
    <w:rsid w:val="00C442F0"/>
    <w:rsid w:val="00C4568F"/>
    <w:rsid w:val="00C74C94"/>
    <w:rsid w:val="00C772ED"/>
    <w:rsid w:val="00C87EC1"/>
    <w:rsid w:val="00C96AD5"/>
    <w:rsid w:val="00CB0D04"/>
    <w:rsid w:val="00CC5B86"/>
    <w:rsid w:val="00CD28D8"/>
    <w:rsid w:val="00CF18C7"/>
    <w:rsid w:val="00D049CE"/>
    <w:rsid w:val="00D05B1E"/>
    <w:rsid w:val="00D13025"/>
    <w:rsid w:val="00D40029"/>
    <w:rsid w:val="00D44955"/>
    <w:rsid w:val="00D451FC"/>
    <w:rsid w:val="00D47204"/>
    <w:rsid w:val="00D6156C"/>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962E7"/>
    <w:rsid w:val="00EA0E0B"/>
    <w:rsid w:val="00EA0FE2"/>
    <w:rsid w:val="00EB1C7D"/>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943CE"/>
    <w:rsid w:val="00F949D9"/>
    <w:rsid w:val="00FD3F7F"/>
    <w:rsid w:val="00FD692B"/>
    <w:rsid w:val="00FD779F"/>
    <w:rsid w:val="00FE0F7E"/>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3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2Tcgi">
    <w:name w:val="2_Tác giả"/>
    <w:basedOn w:val="Normal"/>
    <w:qFormat/>
    <w:rsid w:val="005E6E0F"/>
    <w:pPr>
      <w:widowControl/>
      <w:spacing w:before="120" w:after="120"/>
      <w:jc w:val="center"/>
    </w:pPr>
    <w:rPr>
      <w:rFonts w:eastAsiaTheme="minorHAnsi"/>
      <w:iCs/>
      <w:color w:val="000000"/>
      <w:szCs w:val="26"/>
      <w:lang w:val="en-US"/>
    </w:rPr>
  </w:style>
  <w:style w:type="paragraph" w:customStyle="1" w:styleId="3ach">
    <w:name w:val="3_Địa chỉ"/>
    <w:basedOn w:val="Normal"/>
    <w:qFormat/>
    <w:rsid w:val="005E6E0F"/>
    <w:pPr>
      <w:widowControl/>
      <w:jc w:val="center"/>
    </w:pPr>
    <w:rPr>
      <w:rFonts w:eastAsiaTheme="minorHAnsi"/>
      <w:i/>
      <w:iCs/>
      <w:color w:val="000000"/>
      <w:szCs w:val="26"/>
      <w:lang w:val="en-US"/>
    </w:rPr>
  </w:style>
  <w:style w:type="paragraph" w:customStyle="1" w:styleId="Default">
    <w:name w:val="Default"/>
    <w:rsid w:val="005E6E0F"/>
    <w:pPr>
      <w:autoSpaceDE w:val="0"/>
      <w:autoSpaceDN w:val="0"/>
      <w:adjustRightInd w:val="0"/>
    </w:pPr>
    <w:rPr>
      <w:rFonts w:eastAsiaTheme="minorHAnsi"/>
      <w:color w:val="000000"/>
      <w:sz w:val="24"/>
      <w:szCs w:val="24"/>
    </w:rPr>
  </w:style>
  <w:style w:type="paragraph" w:customStyle="1" w:styleId="5NDTmtt">
    <w:name w:val="5_ND Tóm tắt"/>
    <w:basedOn w:val="Normal"/>
    <w:qFormat/>
    <w:rsid w:val="005E6E0F"/>
    <w:pPr>
      <w:widowControl/>
      <w:tabs>
        <w:tab w:val="left" w:pos="567"/>
      </w:tabs>
      <w:jc w:val="both"/>
    </w:pPr>
    <w:rPr>
      <w:rFonts w:eastAsiaTheme="minorHAnsi"/>
      <w:iCs/>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90869-54C9-4AEC-9F68-1694155E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2540</Words>
  <Characters>12322</Characters>
  <Application>Microsoft Office Word</Application>
  <DocSecurity>0</DocSecurity>
  <Lines>183</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14805</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2022-10-18T17:20:00Z</dcterms:created>
  <dcterms:modified xsi:type="dcterms:W3CDTF">2022-10-19T03:51:00Z</dcterms:modified>
</cp:coreProperties>
</file>