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7EC24" w14:textId="4C78CDE9" w:rsidR="00292303" w:rsidRPr="0089315F" w:rsidRDefault="000C3003" w:rsidP="00767175">
      <w:pPr>
        <w:spacing w:before="360" w:after="240"/>
        <w:rPr>
          <w:rFonts w:ascii="Cambria" w:eastAsia="Batang" w:hAnsi="Cambria"/>
          <w:spacing w:val="-4"/>
          <w:sz w:val="36"/>
          <w:szCs w:val="36"/>
        </w:rPr>
      </w:pPr>
      <w:r w:rsidRPr="000C3003">
        <w:rPr>
          <w:rFonts w:ascii="Cambria" w:eastAsia="Batang" w:hAnsi="Cambria"/>
          <w:noProof/>
          <w:spacing w:val="-4"/>
          <w:sz w:val="36"/>
          <w:szCs w:val="36"/>
          <w:lang w:val="en-GB" w:eastAsia="en-GB"/>
        </w:rPr>
        <w:t>Numerical analysis of the tunnel uplift behavior subjected to seismic loading</w:t>
      </w:r>
      <w:r w:rsidR="0062235F" w:rsidRPr="0089315F">
        <w:rPr>
          <w:rFonts w:ascii="Cambria" w:eastAsia="Batang" w:hAnsi="Cambria"/>
          <w:noProof/>
          <w:spacing w:val="-4"/>
          <w:sz w:val="36"/>
          <w:szCs w:val="36"/>
        </w:rPr>
        <w:drawing>
          <wp:anchor distT="0" distB="0" distL="114300" distR="114300" simplePos="0" relativeHeight="252108800" behindDoc="0" locked="0" layoutInCell="1" allowOverlap="1" wp14:anchorId="4D50A960" wp14:editId="29F1EA9B">
            <wp:simplePos x="0" y="0"/>
            <wp:positionH relativeFrom="margin">
              <wp:posOffset>5224780</wp:posOffset>
            </wp:positionH>
            <wp:positionV relativeFrom="margin">
              <wp:posOffset>1217031</wp:posOffset>
            </wp:positionV>
            <wp:extent cx="719455" cy="719455"/>
            <wp:effectExtent l="19050" t="19050" r="23495" b="23495"/>
            <wp:wrapSquare wrapText="bothSides"/>
            <wp:docPr id="3" name="Picture 3" descr="D:\1 Tapchi\Nam 2021\Tap 62 ky 9 Tieng Anh thang 12\QR62.6\02_article_14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 Tapchi\Nam 2021\Tap 62 ky 9 Tieng Anh thang 12\QR62.6\02_article_1404.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0">
                      <a:solidFill>
                        <a:schemeClr val="bg1">
                          <a:lumMod val="75000"/>
                        </a:schemeClr>
                      </a:solidFill>
                    </a:ln>
                  </pic:spPr>
                </pic:pic>
              </a:graphicData>
            </a:graphic>
          </wp:anchor>
        </w:drawing>
      </w:r>
      <w:r w:rsidR="0062235F" w:rsidRPr="0089315F">
        <w:rPr>
          <w:noProof/>
          <w:spacing w:val="-4"/>
        </w:rPr>
        <w:drawing>
          <wp:anchor distT="0" distB="0" distL="114300" distR="114300" simplePos="0" relativeHeight="252107776" behindDoc="0" locked="0" layoutInCell="1" allowOverlap="1" wp14:anchorId="410DF1A6" wp14:editId="40C1F3FB">
            <wp:simplePos x="0" y="0"/>
            <wp:positionH relativeFrom="margin">
              <wp:align>center</wp:align>
            </wp:positionH>
            <wp:positionV relativeFrom="margin">
              <wp:align>top</wp:align>
            </wp:positionV>
            <wp:extent cx="5940425" cy="1020445"/>
            <wp:effectExtent l="0" t="0" r="3175"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40425" cy="1020445"/>
                    </a:xfrm>
                    <a:prstGeom prst="rect">
                      <a:avLst/>
                    </a:prstGeom>
                  </pic:spPr>
                </pic:pic>
              </a:graphicData>
            </a:graphic>
          </wp:anchor>
        </w:drawing>
      </w:r>
    </w:p>
    <w:p w14:paraId="0D035F0A" w14:textId="5AC37ED2" w:rsidR="00AD23F0" w:rsidRPr="0089315F" w:rsidRDefault="000C3003" w:rsidP="00AD23F0">
      <w:pPr>
        <w:pStyle w:val="Tntcgi"/>
        <w:rPr>
          <w:spacing w:val="-4"/>
        </w:rPr>
      </w:pPr>
      <w:r w:rsidRPr="000C3003">
        <w:rPr>
          <w:spacing w:val="-4"/>
          <w:lang w:val="en-GB"/>
        </w:rPr>
        <w:t xml:space="preserve">Tan </w:t>
      </w:r>
      <w:proofErr w:type="spellStart"/>
      <w:r w:rsidRPr="000C3003">
        <w:rPr>
          <w:spacing w:val="-4"/>
          <w:lang w:val="en-GB"/>
        </w:rPr>
        <w:t>Manh</w:t>
      </w:r>
      <w:proofErr w:type="spellEnd"/>
      <w:r w:rsidRPr="000C3003">
        <w:rPr>
          <w:spacing w:val="-4"/>
          <w:lang w:val="en-GB"/>
        </w:rPr>
        <w:t xml:space="preserve"> Do</w:t>
      </w:r>
      <w:r>
        <w:rPr>
          <w:spacing w:val="-4"/>
          <w:lang w:val="en-GB"/>
        </w:rPr>
        <w:t xml:space="preserve"> </w:t>
      </w:r>
      <w:r w:rsidRPr="000C3003">
        <w:rPr>
          <w:spacing w:val="-4"/>
          <w:vertAlign w:val="superscript"/>
          <w:lang w:val="en-GB"/>
        </w:rPr>
        <w:t>1,</w:t>
      </w:r>
      <w:proofErr w:type="gramStart"/>
      <w:r w:rsidRPr="000C3003">
        <w:rPr>
          <w:spacing w:val="-4"/>
          <w:vertAlign w:val="superscript"/>
          <w:lang w:val="en-GB"/>
        </w:rPr>
        <w:t>2</w:t>
      </w:r>
      <w:r>
        <w:rPr>
          <w:spacing w:val="-4"/>
          <w:vertAlign w:val="superscript"/>
          <w:lang w:val="en-GB"/>
        </w:rPr>
        <w:t>,</w:t>
      </w:r>
      <w:r w:rsidRPr="000C3003">
        <w:rPr>
          <w:spacing w:val="-4"/>
          <w:vertAlign w:val="superscript"/>
          <w:lang w:val="en-GB"/>
        </w:rPr>
        <w:t>*</w:t>
      </w:r>
      <w:proofErr w:type="gramEnd"/>
      <w:r w:rsidRPr="000C3003">
        <w:rPr>
          <w:spacing w:val="-4"/>
          <w:vertAlign w:val="superscript"/>
          <w:lang w:val="en-GB"/>
        </w:rPr>
        <w:t xml:space="preserve"> </w:t>
      </w:r>
      <w:r w:rsidRPr="000C3003">
        <w:rPr>
          <w:spacing w:val="-4"/>
          <w:lang w:val="en-GB"/>
        </w:rPr>
        <w:t>, Anh Ngoc Do</w:t>
      </w:r>
      <w:r>
        <w:rPr>
          <w:spacing w:val="-4"/>
          <w:lang w:val="en-GB"/>
        </w:rPr>
        <w:t xml:space="preserve"> </w:t>
      </w:r>
      <w:r w:rsidRPr="000C3003">
        <w:rPr>
          <w:spacing w:val="-4"/>
          <w:vertAlign w:val="superscript"/>
          <w:lang w:val="en-GB"/>
        </w:rPr>
        <w:t>1</w:t>
      </w:r>
      <w:r w:rsidRPr="000C3003">
        <w:rPr>
          <w:spacing w:val="-4"/>
          <w:lang w:val="en-GB"/>
        </w:rPr>
        <w:t xml:space="preserve">, Hung </w:t>
      </w:r>
      <w:proofErr w:type="spellStart"/>
      <w:r w:rsidRPr="000C3003">
        <w:rPr>
          <w:spacing w:val="-4"/>
          <w:lang w:val="en-GB"/>
        </w:rPr>
        <w:t>Trong</w:t>
      </w:r>
      <w:proofErr w:type="spellEnd"/>
      <w:r w:rsidRPr="000C3003">
        <w:rPr>
          <w:spacing w:val="-4"/>
          <w:lang w:val="en-GB"/>
        </w:rPr>
        <w:t xml:space="preserve"> Vo</w:t>
      </w:r>
      <w:r>
        <w:rPr>
          <w:spacing w:val="-4"/>
          <w:lang w:val="en-GB"/>
        </w:rPr>
        <w:t xml:space="preserve"> </w:t>
      </w:r>
      <w:r w:rsidRPr="000C3003">
        <w:rPr>
          <w:spacing w:val="-4"/>
          <w:vertAlign w:val="superscript"/>
          <w:lang w:val="en-GB"/>
        </w:rPr>
        <w:t>1</w:t>
      </w:r>
      <w:r w:rsidR="00AD23F0" w:rsidRPr="0089315F">
        <w:rPr>
          <w:noProof/>
          <w:spacing w:val="-4"/>
        </w:rPr>
        <w:drawing>
          <wp:anchor distT="0" distB="0" distL="114300" distR="114300" simplePos="0" relativeHeight="252112896" behindDoc="0" locked="0" layoutInCell="1" allowOverlap="1" wp14:anchorId="5561A912" wp14:editId="6BB9BC72">
            <wp:simplePos x="0" y="0"/>
            <wp:positionH relativeFrom="margin">
              <wp:align>center</wp:align>
            </wp:positionH>
            <wp:positionV relativeFrom="margin">
              <wp:align>top</wp:align>
            </wp:positionV>
            <wp:extent cx="5940425" cy="998855"/>
            <wp:effectExtent l="0" t="0" r="317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0425" cy="998855"/>
                    </a:xfrm>
                    <a:prstGeom prst="rect">
                      <a:avLst/>
                    </a:prstGeom>
                  </pic:spPr>
                </pic:pic>
              </a:graphicData>
            </a:graphic>
          </wp:anchor>
        </w:drawing>
      </w:r>
    </w:p>
    <w:p w14:paraId="4D03938C" w14:textId="586C528A" w:rsidR="00030B94" w:rsidRPr="0089315F" w:rsidRDefault="003E1412" w:rsidP="003E1412">
      <w:pPr>
        <w:rPr>
          <w:rFonts w:ascii="Cambria" w:hAnsi="Cambria"/>
          <w:i/>
          <w:spacing w:val="-4"/>
          <w:sz w:val="22"/>
          <w:szCs w:val="22"/>
        </w:rPr>
      </w:pPr>
      <w:r w:rsidRPr="0089315F">
        <w:rPr>
          <w:rFonts w:ascii="Cambria" w:hAnsi="Cambria"/>
          <w:i/>
          <w:spacing w:val="-4"/>
          <w:sz w:val="22"/>
          <w:szCs w:val="22"/>
          <w:vertAlign w:val="superscript"/>
        </w:rPr>
        <w:t>1</w:t>
      </w:r>
      <w:r w:rsidRPr="0089315F">
        <w:rPr>
          <w:rFonts w:ascii="Cambria" w:hAnsi="Cambria"/>
          <w:i/>
          <w:spacing w:val="-4"/>
          <w:sz w:val="22"/>
          <w:szCs w:val="22"/>
        </w:rPr>
        <w:t xml:space="preserve"> </w:t>
      </w:r>
      <w:r w:rsidR="00AD23F0" w:rsidRPr="0089315F">
        <w:rPr>
          <w:rFonts w:ascii="Cambria" w:hAnsi="Cambria"/>
          <w:i/>
          <w:spacing w:val="-4"/>
          <w:sz w:val="22"/>
          <w:szCs w:val="22"/>
          <w:lang w:val="en-GB"/>
        </w:rPr>
        <w:t>Faculty of Civil Engineering</w:t>
      </w:r>
      <w:r w:rsidRPr="0089315F">
        <w:rPr>
          <w:rFonts w:ascii="Cambria" w:hAnsi="Cambria"/>
          <w:i/>
          <w:spacing w:val="-4"/>
          <w:sz w:val="22"/>
          <w:szCs w:val="22"/>
        </w:rPr>
        <w:t>, Hanoi University of Mining and Geology, Vietnam</w:t>
      </w:r>
    </w:p>
    <w:p w14:paraId="2B707268" w14:textId="77777777" w:rsidR="000C3003" w:rsidRPr="000C3003" w:rsidRDefault="003E1412" w:rsidP="000C3003">
      <w:pPr>
        <w:rPr>
          <w:rFonts w:ascii="Cambria" w:hAnsi="Cambria"/>
          <w:i/>
          <w:spacing w:val="-4"/>
          <w:sz w:val="22"/>
          <w:szCs w:val="22"/>
          <w:lang w:val="en-GB"/>
        </w:rPr>
      </w:pPr>
      <w:r w:rsidRPr="0089315F">
        <w:rPr>
          <w:rFonts w:ascii="Cambria" w:hAnsi="Cambria"/>
          <w:i/>
          <w:spacing w:val="-4"/>
          <w:sz w:val="22"/>
          <w:szCs w:val="22"/>
          <w:vertAlign w:val="superscript"/>
        </w:rPr>
        <w:t>2</w:t>
      </w:r>
      <w:r w:rsidRPr="0089315F">
        <w:rPr>
          <w:rFonts w:ascii="Cambria" w:hAnsi="Cambria"/>
          <w:i/>
          <w:spacing w:val="-4"/>
          <w:sz w:val="22"/>
          <w:szCs w:val="22"/>
        </w:rPr>
        <w:t xml:space="preserve"> </w:t>
      </w:r>
      <w:r w:rsidR="000C3003" w:rsidRPr="000C3003">
        <w:rPr>
          <w:rFonts w:ascii="Cambria" w:hAnsi="Cambria"/>
          <w:i/>
          <w:spacing w:val="-4"/>
          <w:sz w:val="22"/>
          <w:szCs w:val="22"/>
          <w:lang w:val="en-GB"/>
        </w:rPr>
        <w:t>Lulea University of Technology, Lulea, Sweden</w:t>
      </w:r>
    </w:p>
    <w:p w14:paraId="4EA7672D" w14:textId="77777777" w:rsidR="00AD23F0" w:rsidRPr="0089315F" w:rsidRDefault="00AD23F0" w:rsidP="00371E45">
      <w:pPr>
        <w:rPr>
          <w:rFonts w:ascii="Cambria" w:hAnsi="Cambria"/>
          <w:i/>
          <w:spacing w:val="-4"/>
          <w:sz w:val="22"/>
          <w:szCs w:val="22"/>
        </w:rPr>
      </w:pPr>
    </w:p>
    <w:p w14:paraId="196C1E84" w14:textId="582E7068" w:rsidR="004125C9" w:rsidRPr="0089315F" w:rsidRDefault="004125C9" w:rsidP="00371E45">
      <w:pPr>
        <w:rPr>
          <w:rFonts w:ascii="Cambria" w:hAnsi="Cambria"/>
          <w:i/>
          <w:spacing w:val="-4"/>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553"/>
        <w:gridCol w:w="402"/>
        <w:gridCol w:w="6456"/>
      </w:tblGrid>
      <w:tr w:rsidR="003C334D" w:rsidRPr="0089315F" w14:paraId="7BEC76E1" w14:textId="77777777" w:rsidTr="00877392">
        <w:trPr>
          <w:trHeight w:val="416"/>
        </w:trPr>
        <w:tc>
          <w:tcPr>
            <w:tcW w:w="2523" w:type="dxa"/>
            <w:tcBorders>
              <w:left w:val="nil"/>
              <w:bottom w:val="single" w:sz="4" w:space="0" w:color="auto"/>
              <w:right w:val="nil"/>
            </w:tcBorders>
            <w:shd w:val="clear" w:color="auto" w:fill="auto"/>
          </w:tcPr>
          <w:p w14:paraId="68F0D5E0" w14:textId="1506A5DC" w:rsidR="00371E45" w:rsidRPr="0089315F" w:rsidRDefault="00ED559E" w:rsidP="00371E45">
            <w:pPr>
              <w:pStyle w:val="TTbibovtmtt"/>
              <w:rPr>
                <w:spacing w:val="-4"/>
                <w:sz w:val="20"/>
              </w:rPr>
            </w:pPr>
            <w:r w:rsidRPr="0089315F">
              <w:rPr>
                <w:spacing w:val="-4"/>
                <w:sz w:val="20"/>
              </w:rPr>
              <w:t>ARTICLE</w:t>
            </w:r>
            <w:r w:rsidR="0064039D" w:rsidRPr="0089315F">
              <w:rPr>
                <w:spacing w:val="-4"/>
                <w:sz w:val="20"/>
              </w:rPr>
              <w:t xml:space="preserve"> </w:t>
            </w:r>
            <w:r w:rsidRPr="0089315F">
              <w:rPr>
                <w:spacing w:val="-4"/>
                <w:sz w:val="20"/>
              </w:rPr>
              <w:t>INFO</w:t>
            </w:r>
          </w:p>
        </w:tc>
        <w:tc>
          <w:tcPr>
            <w:tcW w:w="397" w:type="dxa"/>
            <w:tcBorders>
              <w:left w:val="nil"/>
              <w:bottom w:val="single" w:sz="4" w:space="0" w:color="auto"/>
              <w:right w:val="nil"/>
            </w:tcBorders>
            <w:shd w:val="clear" w:color="auto" w:fill="auto"/>
          </w:tcPr>
          <w:p w14:paraId="7A49EBE8" w14:textId="77777777" w:rsidR="00371E45" w:rsidRPr="0089315F" w:rsidRDefault="00371E45" w:rsidP="00371E45">
            <w:pPr>
              <w:pStyle w:val="TTbibovtmtt"/>
              <w:spacing w:before="0" w:after="0"/>
              <w:rPr>
                <w:spacing w:val="-4"/>
                <w:sz w:val="20"/>
                <w:u w:val="single"/>
              </w:rPr>
            </w:pPr>
          </w:p>
        </w:tc>
        <w:tc>
          <w:tcPr>
            <w:tcW w:w="6378" w:type="dxa"/>
            <w:tcBorders>
              <w:left w:val="nil"/>
              <w:bottom w:val="single" w:sz="4" w:space="0" w:color="auto"/>
              <w:right w:val="nil"/>
            </w:tcBorders>
            <w:shd w:val="clear" w:color="auto" w:fill="auto"/>
          </w:tcPr>
          <w:p w14:paraId="00EC14F4" w14:textId="77777777" w:rsidR="00371E45" w:rsidRPr="0089315F" w:rsidRDefault="00ED559E" w:rsidP="00371E45">
            <w:pPr>
              <w:pStyle w:val="TTbibovtmtt"/>
              <w:rPr>
                <w:spacing w:val="-4"/>
                <w:sz w:val="20"/>
              </w:rPr>
            </w:pPr>
            <w:r w:rsidRPr="0089315F">
              <w:rPr>
                <w:spacing w:val="-4"/>
                <w:sz w:val="20"/>
              </w:rPr>
              <w:t>ABSTRACT</w:t>
            </w:r>
          </w:p>
        </w:tc>
      </w:tr>
      <w:tr w:rsidR="003C334D" w:rsidRPr="0089315F" w14:paraId="0C18D195" w14:textId="77777777" w:rsidTr="00877392">
        <w:trPr>
          <w:trHeight w:val="907"/>
        </w:trPr>
        <w:tc>
          <w:tcPr>
            <w:tcW w:w="2523" w:type="dxa"/>
            <w:tcBorders>
              <w:left w:val="nil"/>
              <w:right w:val="nil"/>
            </w:tcBorders>
            <w:shd w:val="clear" w:color="auto" w:fill="auto"/>
          </w:tcPr>
          <w:p w14:paraId="39999651" w14:textId="49E0E6E9" w:rsidR="00ED559E" w:rsidRPr="0089315F" w:rsidRDefault="00ED559E" w:rsidP="00ED559E">
            <w:pPr>
              <w:rPr>
                <w:rFonts w:ascii="Cambria" w:hAnsi="Cambria"/>
                <w:i/>
                <w:spacing w:val="-4"/>
              </w:rPr>
            </w:pPr>
            <w:r w:rsidRPr="0089315F">
              <w:rPr>
                <w:rFonts w:ascii="Cambria" w:hAnsi="Cambria"/>
                <w:i/>
                <w:spacing w:val="-4"/>
              </w:rPr>
              <w:t>Article</w:t>
            </w:r>
            <w:r w:rsidR="0064039D" w:rsidRPr="0089315F">
              <w:rPr>
                <w:rFonts w:ascii="Cambria" w:hAnsi="Cambria"/>
                <w:i/>
                <w:spacing w:val="-4"/>
              </w:rPr>
              <w:t xml:space="preserve"> </w:t>
            </w:r>
            <w:r w:rsidRPr="0089315F">
              <w:rPr>
                <w:rFonts w:ascii="Cambria" w:hAnsi="Cambria"/>
                <w:i/>
                <w:spacing w:val="-4"/>
              </w:rPr>
              <w:t>history:</w:t>
            </w:r>
          </w:p>
          <w:p w14:paraId="54287B1D" w14:textId="1CA29DE9" w:rsidR="00ED559E" w:rsidRPr="0089315F" w:rsidRDefault="00ED559E" w:rsidP="00ED559E">
            <w:pPr>
              <w:rPr>
                <w:rFonts w:ascii="Cambria" w:hAnsi="Cambria"/>
                <w:spacing w:val="-4"/>
              </w:rPr>
            </w:pPr>
            <w:r w:rsidRPr="0089315F">
              <w:rPr>
                <w:rFonts w:ascii="Cambria" w:hAnsi="Cambria"/>
                <w:spacing w:val="-4"/>
              </w:rPr>
              <w:t>Received</w:t>
            </w:r>
            <w:r w:rsidR="0064039D" w:rsidRPr="0089315F">
              <w:rPr>
                <w:rFonts w:ascii="Cambria" w:hAnsi="Cambria"/>
                <w:spacing w:val="-4"/>
              </w:rPr>
              <w:t xml:space="preserve"> </w:t>
            </w:r>
            <w:r w:rsidR="00C1734D" w:rsidRPr="0089315F">
              <w:rPr>
                <w:rFonts w:ascii="Cambria" w:hAnsi="Cambria"/>
                <w:spacing w:val="-4"/>
              </w:rPr>
              <w:t>08</w:t>
            </w:r>
            <w:r w:rsidR="00877392" w:rsidRPr="0089315F">
              <w:rPr>
                <w:rFonts w:ascii="Cambria" w:hAnsi="Cambria"/>
                <w:spacing w:val="-4"/>
                <w:vertAlign w:val="superscript"/>
              </w:rPr>
              <w:t>t</w:t>
            </w:r>
            <w:r w:rsidR="006F4654" w:rsidRPr="0089315F">
              <w:rPr>
                <w:rFonts w:ascii="Cambria" w:hAnsi="Cambria"/>
                <w:spacing w:val="-4"/>
                <w:vertAlign w:val="superscript"/>
              </w:rPr>
              <w:t>h</w:t>
            </w:r>
            <w:r w:rsidR="0064039D" w:rsidRPr="0089315F">
              <w:rPr>
                <w:rFonts w:ascii="Cambria" w:hAnsi="Cambria"/>
                <w:spacing w:val="-4"/>
                <w:vertAlign w:val="superscript"/>
              </w:rPr>
              <w:t xml:space="preserve"> </w:t>
            </w:r>
            <w:r w:rsidR="00C1734D" w:rsidRPr="0089315F">
              <w:rPr>
                <w:rFonts w:ascii="Cambria" w:hAnsi="Cambria"/>
                <w:spacing w:val="-4"/>
              </w:rPr>
              <w:t>Aug</w:t>
            </w:r>
            <w:r w:rsidRPr="0089315F">
              <w:rPr>
                <w:rFonts w:ascii="Cambria" w:hAnsi="Cambria"/>
                <w:spacing w:val="-4"/>
              </w:rPr>
              <w:t>.</w:t>
            </w:r>
            <w:r w:rsidR="0064039D" w:rsidRPr="0089315F">
              <w:rPr>
                <w:rFonts w:ascii="Cambria" w:hAnsi="Cambria"/>
                <w:spacing w:val="-4"/>
              </w:rPr>
              <w:t xml:space="preserve"> </w:t>
            </w:r>
            <w:r w:rsidR="000C3003">
              <w:rPr>
                <w:rFonts w:ascii="Cambria" w:hAnsi="Cambria"/>
                <w:spacing w:val="-4"/>
              </w:rPr>
              <w:t>2021</w:t>
            </w:r>
          </w:p>
          <w:p w14:paraId="3007F1A3" w14:textId="3C8CFDB9" w:rsidR="00ED559E" w:rsidRPr="0089315F" w:rsidRDefault="00ED559E" w:rsidP="00ED559E">
            <w:pPr>
              <w:rPr>
                <w:rFonts w:ascii="Cambria" w:hAnsi="Cambria"/>
                <w:spacing w:val="-4"/>
              </w:rPr>
            </w:pPr>
            <w:r w:rsidRPr="0089315F">
              <w:rPr>
                <w:rFonts w:ascii="Cambria" w:hAnsi="Cambria"/>
                <w:spacing w:val="-4"/>
              </w:rPr>
              <w:t>Accepted</w:t>
            </w:r>
            <w:r w:rsidR="0064039D" w:rsidRPr="0089315F">
              <w:rPr>
                <w:rFonts w:ascii="Cambria" w:hAnsi="Cambria"/>
                <w:spacing w:val="-4"/>
              </w:rPr>
              <w:t xml:space="preserve"> </w:t>
            </w:r>
            <w:r w:rsidR="00C1734D" w:rsidRPr="0089315F">
              <w:rPr>
                <w:rFonts w:ascii="Cambria" w:hAnsi="Cambria"/>
                <w:spacing w:val="-4"/>
              </w:rPr>
              <w:t>28</w:t>
            </w:r>
            <w:r w:rsidR="00A74E55" w:rsidRPr="0089315F">
              <w:rPr>
                <w:rFonts w:ascii="Cambria" w:hAnsi="Cambria"/>
                <w:spacing w:val="-4"/>
                <w:vertAlign w:val="superscript"/>
              </w:rPr>
              <w:t>th</w:t>
            </w:r>
            <w:r w:rsidR="0064039D" w:rsidRPr="0089315F">
              <w:rPr>
                <w:rFonts w:ascii="Cambria" w:hAnsi="Cambria"/>
                <w:spacing w:val="-4"/>
              </w:rPr>
              <w:t xml:space="preserve"> </w:t>
            </w:r>
            <w:r w:rsidR="00370104" w:rsidRPr="0089315F">
              <w:rPr>
                <w:rFonts w:ascii="Cambria" w:hAnsi="Cambria"/>
                <w:spacing w:val="-4"/>
              </w:rPr>
              <w:t>Nov.</w:t>
            </w:r>
            <w:r w:rsidR="0064039D" w:rsidRPr="0089315F">
              <w:rPr>
                <w:rFonts w:ascii="Cambria" w:hAnsi="Cambria"/>
                <w:spacing w:val="-4"/>
              </w:rPr>
              <w:t xml:space="preserve"> </w:t>
            </w:r>
            <w:r w:rsidR="000C3003">
              <w:rPr>
                <w:rFonts w:ascii="Cambria" w:hAnsi="Cambria"/>
                <w:spacing w:val="-4"/>
              </w:rPr>
              <w:t>2021</w:t>
            </w:r>
          </w:p>
          <w:p w14:paraId="3BCDB57C" w14:textId="233D46E6" w:rsidR="00371E45" w:rsidRPr="0089315F" w:rsidRDefault="00ED559E" w:rsidP="000C3003">
            <w:pPr>
              <w:spacing w:after="120"/>
              <w:rPr>
                <w:rFonts w:ascii="Cambria" w:hAnsi="Cambria"/>
                <w:spacing w:val="-4"/>
                <w:sz w:val="18"/>
              </w:rPr>
            </w:pPr>
            <w:r w:rsidRPr="0089315F">
              <w:rPr>
                <w:rFonts w:ascii="Cambria" w:hAnsi="Cambria"/>
                <w:spacing w:val="-4"/>
              </w:rPr>
              <w:t>Available</w:t>
            </w:r>
            <w:r w:rsidR="0064039D" w:rsidRPr="0089315F">
              <w:rPr>
                <w:rFonts w:ascii="Cambria" w:hAnsi="Cambria"/>
                <w:spacing w:val="-4"/>
              </w:rPr>
              <w:t xml:space="preserve"> </w:t>
            </w:r>
            <w:r w:rsidRPr="0089315F">
              <w:rPr>
                <w:rFonts w:ascii="Cambria" w:hAnsi="Cambria"/>
                <w:spacing w:val="-4"/>
              </w:rPr>
              <w:t>online</w:t>
            </w:r>
            <w:r w:rsidR="0064039D" w:rsidRPr="0089315F">
              <w:rPr>
                <w:rFonts w:ascii="Cambria" w:hAnsi="Cambria"/>
                <w:spacing w:val="-4"/>
              </w:rPr>
              <w:t xml:space="preserve"> </w:t>
            </w:r>
            <w:r w:rsidR="00484855" w:rsidRPr="0089315F">
              <w:rPr>
                <w:rFonts w:ascii="Cambria" w:hAnsi="Cambria"/>
                <w:spacing w:val="-4"/>
              </w:rPr>
              <w:t>3</w:t>
            </w:r>
            <w:r w:rsidR="00370104" w:rsidRPr="0089315F">
              <w:rPr>
                <w:rFonts w:ascii="Cambria" w:hAnsi="Cambria"/>
                <w:spacing w:val="-4"/>
              </w:rPr>
              <w:t>1</w:t>
            </w:r>
            <w:r w:rsidR="00370104" w:rsidRPr="0089315F">
              <w:rPr>
                <w:rFonts w:ascii="Cambria" w:hAnsi="Cambria"/>
                <w:spacing w:val="-4"/>
                <w:vertAlign w:val="superscript"/>
              </w:rPr>
              <w:t>st</w:t>
            </w:r>
            <w:r w:rsidR="0064039D" w:rsidRPr="0089315F">
              <w:rPr>
                <w:rFonts w:ascii="Cambria" w:hAnsi="Cambria"/>
                <w:spacing w:val="-4"/>
              </w:rPr>
              <w:t xml:space="preserve"> </w:t>
            </w:r>
            <w:r w:rsidR="000C3003">
              <w:rPr>
                <w:rFonts w:ascii="Cambria" w:hAnsi="Cambria"/>
                <w:spacing w:val="-4"/>
              </w:rPr>
              <w:t>July</w:t>
            </w:r>
            <w:r w:rsidR="0064039D" w:rsidRPr="0089315F">
              <w:rPr>
                <w:rFonts w:ascii="Cambria" w:hAnsi="Cambria"/>
                <w:spacing w:val="-4"/>
              </w:rPr>
              <w:t xml:space="preserve"> </w:t>
            </w:r>
            <w:r w:rsidR="00ED4AD5" w:rsidRPr="0089315F">
              <w:rPr>
                <w:rFonts w:ascii="Cambria" w:hAnsi="Cambria"/>
                <w:spacing w:val="-4"/>
              </w:rPr>
              <w:t>202</w:t>
            </w:r>
            <w:r w:rsidR="000C3003">
              <w:rPr>
                <w:rFonts w:ascii="Cambria" w:hAnsi="Cambria"/>
                <w:spacing w:val="-4"/>
              </w:rPr>
              <w:t>2</w:t>
            </w:r>
          </w:p>
        </w:tc>
        <w:tc>
          <w:tcPr>
            <w:tcW w:w="397" w:type="dxa"/>
            <w:tcBorders>
              <w:left w:val="nil"/>
              <w:bottom w:val="nil"/>
              <w:right w:val="nil"/>
            </w:tcBorders>
            <w:shd w:val="clear" w:color="auto" w:fill="auto"/>
          </w:tcPr>
          <w:p w14:paraId="5DB82385" w14:textId="77777777" w:rsidR="00371E45" w:rsidRPr="0089315F" w:rsidRDefault="00371E45" w:rsidP="00371E45">
            <w:pPr>
              <w:ind w:firstLine="403"/>
              <w:rPr>
                <w:rFonts w:ascii="Cambria" w:hAnsi="Cambria"/>
                <w:spacing w:val="-4"/>
              </w:rPr>
            </w:pPr>
          </w:p>
        </w:tc>
        <w:tc>
          <w:tcPr>
            <w:tcW w:w="6378" w:type="dxa"/>
            <w:vMerge w:val="restart"/>
            <w:tcBorders>
              <w:left w:val="nil"/>
              <w:right w:val="nil"/>
            </w:tcBorders>
            <w:shd w:val="clear" w:color="auto" w:fill="auto"/>
          </w:tcPr>
          <w:p w14:paraId="241C0E63" w14:textId="326E6D35" w:rsidR="00AD23F0" w:rsidRPr="00843066" w:rsidRDefault="000C3003" w:rsidP="00843066">
            <w:pPr>
              <w:pStyle w:val="tmtt0"/>
            </w:pPr>
            <w:r w:rsidRPr="000C3003">
              <w:rPr>
                <w:lang w:val="vi-VN"/>
              </w:rPr>
              <w:t>Seismic loading has always been a major concern for any engineering structures, and there</w:t>
            </w:r>
            <w:r w:rsidR="00F60842">
              <w:t>by</w:t>
            </w:r>
            <w:r w:rsidRPr="000C3003">
              <w:rPr>
                <w:lang w:val="vi-VN"/>
              </w:rPr>
              <w:t xml:space="preserve">, underground facilities (e.g., tunnels) are not exceptional. It is due to the seismically induced uplift and instability of tunnels caused by the large deformation of liquefiable soils. </w:t>
            </w:r>
            <w:r w:rsidR="00F60842" w:rsidRPr="00F60842">
              <w:rPr>
                <w:lang w:val="vi-VN"/>
              </w:rPr>
              <w:t>There</w:t>
            </w:r>
            <w:r w:rsidR="00F60842">
              <w:t>fore</w:t>
            </w:r>
            <w:r w:rsidR="00F60842" w:rsidRPr="00F60842">
              <w:rPr>
                <w:lang w:val="vi-VN"/>
              </w:rPr>
              <w:t xml:space="preserve">, the tunnel uplift behaviors subjected to seismic loading are always taken into account in any designing stages of tunnels. </w:t>
            </w:r>
            <w:r w:rsidRPr="000C3003">
              <w:rPr>
                <w:lang w:val="vi-VN"/>
              </w:rPr>
              <w:t xml:space="preserve">The main purpose of this study was to investigate the uplift behavior of a tunnel buried in liquefiable and non-liquefiable soils under seismic loading. The finite-element method was used to perform seismic and liquefaction potential analyses of the soils surrounding the tunnel. In this study, PM4sand, an advanced constitutive model for dynamic soil-structure interactions with earthquake-induced soil liquefaction, was adopted in all finite-element models. The uplift displacement and excess pore pressure of liquefiable soils were used to investigate under a typical earthquake. </w:t>
            </w:r>
            <w:r w:rsidR="0072620D">
              <w:t>T</w:t>
            </w:r>
            <w:r w:rsidRPr="000C3003">
              <w:rPr>
                <w:lang w:val="vi-VN"/>
              </w:rPr>
              <w:t xml:space="preserve">he effects of the non-liquefiable soil thickness on the tunnel uplift displacement and excess pore water pressure build-up under seismic loading were </w:t>
            </w:r>
            <w:r w:rsidR="0072620D">
              <w:t>also investigated</w:t>
            </w:r>
            <w:r w:rsidRPr="000C3003">
              <w:rPr>
                <w:lang w:val="vi-VN"/>
              </w:rPr>
              <w:t>.</w:t>
            </w:r>
            <w:r w:rsidR="00843066">
              <w:t xml:space="preserve"> As a result, during the earthquake, liquefaction </w:t>
            </w:r>
            <w:r w:rsidR="00AE1AE4">
              <w:t xml:space="preserve">was </w:t>
            </w:r>
            <w:r w:rsidR="00843066">
              <w:t xml:space="preserve">triggered </w:t>
            </w:r>
            <w:r w:rsidR="00AE1AE4">
              <w:t>in</w:t>
            </w:r>
            <w:r w:rsidR="00843066">
              <w:t xml:space="preserve"> most part</w:t>
            </w:r>
            <w:r w:rsidR="00AE1AE4">
              <w:t>s</w:t>
            </w:r>
            <w:r w:rsidR="00843066">
              <w:t xml:space="preserve"> of </w:t>
            </w:r>
            <w:r w:rsidR="00AE1AE4">
              <w:t xml:space="preserve">the </w:t>
            </w:r>
            <w:r w:rsidR="00843066">
              <w:t xml:space="preserve">sand layer but not in </w:t>
            </w:r>
            <w:r w:rsidR="00AE1AE4">
              <w:t xml:space="preserve">the </w:t>
            </w:r>
            <w:r w:rsidR="00843066">
              <w:t>clay layer.</w:t>
            </w:r>
            <w:r w:rsidR="0072620D">
              <w:t xml:space="preserve"> </w:t>
            </w:r>
            <w:r w:rsidR="00843066">
              <w:t xml:space="preserve">In addition, the tunnel uplift displacement was triggered due to the relative motion and interaction at both sides of the tunnel. </w:t>
            </w:r>
            <w:r w:rsidR="0072620D" w:rsidRPr="000C3003">
              <w:rPr>
                <w:lang w:val="vi-VN"/>
              </w:rPr>
              <w:t xml:space="preserve">Eventually, </w:t>
            </w:r>
            <w:r w:rsidR="0072620D">
              <w:t>s</w:t>
            </w:r>
            <w:r w:rsidR="00843066">
              <w:t>ignificant effects of the thickness of the non-liquefiable soil layer (sand layer) on the build-up of excess pore water pressure and hence the tunnel uplift displacement</w:t>
            </w:r>
            <w:r w:rsidR="0072620D">
              <w:t xml:space="preserve"> were discovered in this study</w:t>
            </w:r>
            <w:r w:rsidR="00933BCD">
              <w:t>, i.e., the smaller the</w:t>
            </w:r>
            <w:r w:rsidR="00933BCD" w:rsidRPr="00933BCD">
              <w:t xml:space="preserve"> thickness of the non-liquefiable</w:t>
            </w:r>
            <w:r w:rsidR="00933BCD">
              <w:t>, the higher t</w:t>
            </w:r>
            <w:r w:rsidR="00933BCD" w:rsidRPr="00933BCD">
              <w:t>he uplift displacement and the excess pore water pressure build-up</w:t>
            </w:r>
            <w:r w:rsidR="0072620D">
              <w:t>.</w:t>
            </w:r>
          </w:p>
          <w:p w14:paraId="7CC77D24" w14:textId="139D1C05" w:rsidR="00371E45" w:rsidRPr="0089315F" w:rsidRDefault="00ED559E" w:rsidP="00AD23F0">
            <w:pPr>
              <w:pStyle w:val="copyR"/>
              <w:rPr>
                <w:i/>
                <w:spacing w:val="-4"/>
                <w:lang w:val="vi-VN"/>
              </w:rPr>
            </w:pPr>
            <w:r w:rsidRPr="0089315F">
              <w:rPr>
                <w:spacing w:val="-4"/>
              </w:rPr>
              <w:t>Copy</w:t>
            </w:r>
            <w:r w:rsidR="00642CC0" w:rsidRPr="0089315F">
              <w:rPr>
                <w:spacing w:val="-4"/>
              </w:rPr>
              <w:t>right</w:t>
            </w:r>
            <w:r w:rsidR="0064039D" w:rsidRPr="0089315F">
              <w:rPr>
                <w:spacing w:val="-4"/>
              </w:rPr>
              <w:t xml:space="preserve"> </w:t>
            </w:r>
            <w:r w:rsidRPr="0089315F">
              <w:rPr>
                <w:spacing w:val="-4"/>
              </w:rPr>
              <w:t>©</w:t>
            </w:r>
            <w:r w:rsidR="0064039D" w:rsidRPr="0089315F">
              <w:rPr>
                <w:spacing w:val="-4"/>
              </w:rPr>
              <w:t xml:space="preserve"> </w:t>
            </w:r>
            <w:r w:rsidR="00ED4AD5" w:rsidRPr="0089315F">
              <w:rPr>
                <w:spacing w:val="-4"/>
              </w:rPr>
              <w:t>202</w:t>
            </w:r>
            <w:r w:rsidR="00AD23F0" w:rsidRPr="0089315F">
              <w:rPr>
                <w:spacing w:val="-4"/>
              </w:rPr>
              <w:t>2</w:t>
            </w:r>
            <w:r w:rsidR="0064039D" w:rsidRPr="0089315F">
              <w:rPr>
                <w:spacing w:val="-4"/>
              </w:rPr>
              <w:t xml:space="preserve"> </w:t>
            </w:r>
            <w:r w:rsidRPr="0089315F">
              <w:rPr>
                <w:spacing w:val="-4"/>
              </w:rPr>
              <w:t>Hanoi</w:t>
            </w:r>
            <w:r w:rsidR="0064039D" w:rsidRPr="0089315F">
              <w:rPr>
                <w:spacing w:val="-4"/>
              </w:rPr>
              <w:t xml:space="preserve"> </w:t>
            </w:r>
            <w:r w:rsidRPr="0089315F">
              <w:rPr>
                <w:spacing w:val="-4"/>
              </w:rPr>
              <w:t>University</w:t>
            </w:r>
            <w:r w:rsidR="0064039D" w:rsidRPr="0089315F">
              <w:rPr>
                <w:spacing w:val="-4"/>
              </w:rPr>
              <w:t xml:space="preserve"> </w:t>
            </w:r>
            <w:r w:rsidRPr="0089315F">
              <w:rPr>
                <w:spacing w:val="-4"/>
              </w:rPr>
              <w:t>of</w:t>
            </w:r>
            <w:r w:rsidR="0064039D" w:rsidRPr="0089315F">
              <w:rPr>
                <w:spacing w:val="-4"/>
              </w:rPr>
              <w:t xml:space="preserve"> </w:t>
            </w:r>
            <w:r w:rsidRPr="0089315F">
              <w:rPr>
                <w:spacing w:val="-4"/>
              </w:rPr>
              <w:t>Mining</w:t>
            </w:r>
            <w:r w:rsidR="0064039D" w:rsidRPr="0089315F">
              <w:rPr>
                <w:spacing w:val="-4"/>
              </w:rPr>
              <w:t xml:space="preserve"> </w:t>
            </w:r>
            <w:r w:rsidRPr="0089315F">
              <w:rPr>
                <w:spacing w:val="-4"/>
              </w:rPr>
              <w:t>and</w:t>
            </w:r>
            <w:r w:rsidR="0064039D" w:rsidRPr="0089315F">
              <w:rPr>
                <w:spacing w:val="-4"/>
              </w:rPr>
              <w:t xml:space="preserve"> </w:t>
            </w:r>
            <w:r w:rsidRPr="0089315F">
              <w:rPr>
                <w:spacing w:val="-4"/>
              </w:rPr>
              <w:t>Geology.</w:t>
            </w:r>
            <w:r w:rsidR="0064039D" w:rsidRPr="0089315F">
              <w:rPr>
                <w:spacing w:val="-4"/>
              </w:rPr>
              <w:t xml:space="preserve"> </w:t>
            </w:r>
            <w:r w:rsidRPr="0089315F">
              <w:rPr>
                <w:spacing w:val="-4"/>
              </w:rPr>
              <w:t>All</w:t>
            </w:r>
            <w:r w:rsidR="0064039D" w:rsidRPr="0089315F">
              <w:rPr>
                <w:spacing w:val="-4"/>
              </w:rPr>
              <w:t xml:space="preserve"> </w:t>
            </w:r>
            <w:r w:rsidR="00642CC0" w:rsidRPr="0089315F">
              <w:rPr>
                <w:spacing w:val="-4"/>
              </w:rPr>
              <w:t>right</w:t>
            </w:r>
            <w:r w:rsidRPr="0089315F">
              <w:rPr>
                <w:spacing w:val="-4"/>
              </w:rPr>
              <w:t>s</w:t>
            </w:r>
            <w:r w:rsidR="0064039D" w:rsidRPr="0089315F">
              <w:rPr>
                <w:spacing w:val="-4"/>
              </w:rPr>
              <w:t xml:space="preserve"> </w:t>
            </w:r>
            <w:r w:rsidRPr="0089315F">
              <w:rPr>
                <w:spacing w:val="-4"/>
              </w:rPr>
              <w:t>reserved.</w:t>
            </w:r>
          </w:p>
        </w:tc>
      </w:tr>
      <w:tr w:rsidR="003C334D" w:rsidRPr="0089315F" w14:paraId="2DF4B86C" w14:textId="77777777" w:rsidTr="00877392">
        <w:trPr>
          <w:trHeight w:val="1386"/>
        </w:trPr>
        <w:tc>
          <w:tcPr>
            <w:tcW w:w="2523" w:type="dxa"/>
            <w:tcBorders>
              <w:left w:val="nil"/>
              <w:right w:val="nil"/>
            </w:tcBorders>
            <w:shd w:val="clear" w:color="auto" w:fill="auto"/>
          </w:tcPr>
          <w:p w14:paraId="2F2CEC37" w14:textId="77777777" w:rsidR="00ED559E" w:rsidRPr="0089315F" w:rsidRDefault="00ED559E" w:rsidP="00ED559E">
            <w:pPr>
              <w:rPr>
                <w:rFonts w:ascii="Cambria" w:hAnsi="Cambria"/>
                <w:i/>
                <w:spacing w:val="-4"/>
              </w:rPr>
            </w:pPr>
            <w:r w:rsidRPr="0089315F">
              <w:rPr>
                <w:rFonts w:ascii="Cambria" w:hAnsi="Cambria"/>
                <w:i/>
                <w:spacing w:val="-4"/>
              </w:rPr>
              <w:t>Keywords:</w:t>
            </w:r>
          </w:p>
          <w:p w14:paraId="3A485A45" w14:textId="388E94FD" w:rsidR="000C3003" w:rsidRPr="000C3003" w:rsidRDefault="000C3003" w:rsidP="000C3003">
            <w:pPr>
              <w:rPr>
                <w:rFonts w:ascii="Cambria" w:hAnsi="Cambria"/>
                <w:spacing w:val="-4"/>
              </w:rPr>
            </w:pPr>
            <w:r w:rsidRPr="000C3003">
              <w:rPr>
                <w:rFonts w:ascii="Cambria" w:hAnsi="Cambria"/>
                <w:spacing w:val="-4"/>
              </w:rPr>
              <w:t>Excess pore pressure</w:t>
            </w:r>
            <w:r>
              <w:rPr>
                <w:rFonts w:ascii="Cambria" w:hAnsi="Cambria"/>
                <w:spacing w:val="-4"/>
              </w:rPr>
              <w:t>,</w:t>
            </w:r>
          </w:p>
          <w:p w14:paraId="04BBD054" w14:textId="50F68A99" w:rsidR="000C3003" w:rsidRPr="000C3003" w:rsidRDefault="000C3003" w:rsidP="000C3003">
            <w:pPr>
              <w:rPr>
                <w:rFonts w:ascii="Cambria" w:hAnsi="Cambria"/>
                <w:spacing w:val="-4"/>
              </w:rPr>
            </w:pPr>
            <w:r w:rsidRPr="000C3003">
              <w:rPr>
                <w:rFonts w:ascii="Cambria" w:hAnsi="Cambria"/>
                <w:spacing w:val="-4"/>
              </w:rPr>
              <w:t>Liquefiable soils</w:t>
            </w:r>
            <w:r>
              <w:rPr>
                <w:rFonts w:ascii="Cambria" w:hAnsi="Cambria"/>
                <w:spacing w:val="-4"/>
              </w:rPr>
              <w:t>,</w:t>
            </w:r>
          </w:p>
          <w:p w14:paraId="3433D007" w14:textId="1D2FDD83" w:rsidR="000C3003" w:rsidRPr="000C3003" w:rsidRDefault="000C3003" w:rsidP="000C3003">
            <w:pPr>
              <w:rPr>
                <w:rFonts w:ascii="Cambria" w:hAnsi="Cambria"/>
                <w:spacing w:val="-4"/>
              </w:rPr>
            </w:pPr>
            <w:r w:rsidRPr="000C3003">
              <w:rPr>
                <w:rFonts w:ascii="Cambria" w:hAnsi="Cambria"/>
                <w:spacing w:val="-4"/>
              </w:rPr>
              <w:t>Numerical analysis</w:t>
            </w:r>
            <w:r>
              <w:rPr>
                <w:rFonts w:ascii="Cambria" w:hAnsi="Cambria"/>
                <w:spacing w:val="-4"/>
              </w:rPr>
              <w:t>,</w:t>
            </w:r>
          </w:p>
          <w:p w14:paraId="42C06825" w14:textId="50519A78" w:rsidR="000C3003" w:rsidRPr="000C3003" w:rsidRDefault="000C3003" w:rsidP="000C3003">
            <w:pPr>
              <w:rPr>
                <w:rFonts w:ascii="Cambria" w:hAnsi="Cambria"/>
                <w:spacing w:val="-4"/>
              </w:rPr>
            </w:pPr>
            <w:r w:rsidRPr="000C3003">
              <w:rPr>
                <w:rFonts w:ascii="Cambria" w:hAnsi="Cambria"/>
                <w:spacing w:val="-4"/>
              </w:rPr>
              <w:t>Seismic loading</w:t>
            </w:r>
            <w:r>
              <w:rPr>
                <w:rFonts w:ascii="Cambria" w:hAnsi="Cambria"/>
                <w:spacing w:val="-4"/>
              </w:rPr>
              <w:t>,</w:t>
            </w:r>
          </w:p>
          <w:p w14:paraId="7D38F6FA" w14:textId="3B334298" w:rsidR="00BB0D32" w:rsidRPr="0089315F" w:rsidRDefault="000C3003" w:rsidP="000C3003">
            <w:pPr>
              <w:rPr>
                <w:rFonts w:ascii="Cambria" w:hAnsi="Cambria"/>
                <w:spacing w:val="-4"/>
              </w:rPr>
            </w:pPr>
            <w:r w:rsidRPr="000C3003">
              <w:rPr>
                <w:rFonts w:ascii="Cambria" w:hAnsi="Cambria"/>
                <w:spacing w:val="-4"/>
              </w:rPr>
              <w:t>Tunnel uplift</w:t>
            </w:r>
            <w:r>
              <w:rPr>
                <w:rFonts w:ascii="Cambria" w:hAnsi="Cambria"/>
                <w:spacing w:val="-4"/>
              </w:rPr>
              <w:t>.</w:t>
            </w:r>
          </w:p>
        </w:tc>
        <w:tc>
          <w:tcPr>
            <w:tcW w:w="397" w:type="dxa"/>
            <w:tcBorders>
              <w:top w:val="nil"/>
              <w:left w:val="nil"/>
              <w:right w:val="nil"/>
            </w:tcBorders>
            <w:shd w:val="clear" w:color="auto" w:fill="auto"/>
          </w:tcPr>
          <w:p w14:paraId="0D67CA16" w14:textId="77777777" w:rsidR="00371E45" w:rsidRPr="0089315F" w:rsidRDefault="00371E45" w:rsidP="00371E45">
            <w:pPr>
              <w:ind w:firstLine="403"/>
              <w:rPr>
                <w:rFonts w:ascii="Cambria" w:hAnsi="Cambria"/>
                <w:spacing w:val="-4"/>
              </w:rPr>
            </w:pPr>
          </w:p>
        </w:tc>
        <w:tc>
          <w:tcPr>
            <w:tcW w:w="6378" w:type="dxa"/>
            <w:vMerge/>
            <w:tcBorders>
              <w:left w:val="nil"/>
              <w:right w:val="nil"/>
            </w:tcBorders>
            <w:shd w:val="clear" w:color="auto" w:fill="auto"/>
          </w:tcPr>
          <w:p w14:paraId="61C06BCE" w14:textId="77777777" w:rsidR="00371E45" w:rsidRPr="0089315F" w:rsidRDefault="00371E45" w:rsidP="00371E45">
            <w:pPr>
              <w:ind w:firstLine="403"/>
              <w:rPr>
                <w:rFonts w:ascii="Cambria" w:hAnsi="Cambria"/>
                <w:spacing w:val="-4"/>
              </w:rPr>
            </w:pPr>
          </w:p>
        </w:tc>
      </w:tr>
    </w:tbl>
    <w:p w14:paraId="48201EED" w14:textId="77777777" w:rsidR="00F07184" w:rsidRPr="0089315F" w:rsidRDefault="00F07184" w:rsidP="005E7746">
      <w:pPr>
        <w:pStyle w:val="Nidungbi"/>
        <w:sectPr w:rsidR="00F07184" w:rsidRPr="0089315F" w:rsidSect="00BE2C67">
          <w:headerReference w:type="even" r:id="rId11"/>
          <w:headerReference w:type="default" r:id="rId12"/>
          <w:headerReference w:type="first" r:id="rId13"/>
          <w:pgSz w:w="11907" w:h="15649" w:code="9"/>
          <w:pgMar w:top="1247" w:right="1276" w:bottom="1304" w:left="1276" w:header="907" w:footer="1021" w:gutter="0"/>
          <w:cols w:space="720"/>
          <w:titlePg/>
          <w:docGrid w:linePitch="272"/>
        </w:sectPr>
      </w:pPr>
    </w:p>
    <w:p w14:paraId="20B622C3" w14:textId="5F171315" w:rsidR="000C3003" w:rsidRDefault="00AD23F0" w:rsidP="000C3003">
      <w:pPr>
        <w:pStyle w:val="1tvn"/>
      </w:pPr>
      <w:r w:rsidRPr="0089315F">
        <w:rPr>
          <w:noProof/>
          <w:spacing w:val="-4"/>
          <w:lang w:val="en-US"/>
        </w:rPr>
        <w:lastRenderedPageBreak/>
        <mc:AlternateContent>
          <mc:Choice Requires="wps">
            <w:drawing>
              <wp:anchor distT="45720" distB="45720" distL="114300" distR="114300" simplePos="0" relativeHeight="251937792" behindDoc="0" locked="0" layoutInCell="1" allowOverlap="1" wp14:anchorId="71993766" wp14:editId="4F7F6091">
                <wp:simplePos x="0" y="0"/>
                <wp:positionH relativeFrom="margin">
                  <wp:align>left</wp:align>
                </wp:positionH>
                <wp:positionV relativeFrom="margin">
                  <wp:align>bottom</wp:align>
                </wp:positionV>
                <wp:extent cx="2795905" cy="719455"/>
                <wp:effectExtent l="0" t="0" r="4445" b="4445"/>
                <wp:wrapSquare wrapText="bothSides"/>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5905" cy="719455"/>
                        </a:xfrm>
                        <a:prstGeom prst="rect">
                          <a:avLst/>
                        </a:prstGeom>
                        <a:noFill/>
                        <a:ln w="9525">
                          <a:noFill/>
                          <a:miter lim="800000"/>
                          <a:headEnd/>
                          <a:tailEnd/>
                        </a:ln>
                      </wps:spPr>
                      <wps:txbx>
                        <w:txbxContent>
                          <w:p w14:paraId="63464DFD" w14:textId="77777777" w:rsidR="000C3003" w:rsidRPr="005A6D61" w:rsidRDefault="000C3003" w:rsidP="00295346">
                            <w:pPr>
                              <w:rPr>
                                <w:rFonts w:ascii="Cambria" w:hAnsi="Cambria"/>
                                <w:i/>
                                <w:sz w:val="22"/>
                                <w:szCs w:val="22"/>
                              </w:rPr>
                            </w:pPr>
                            <w:r w:rsidRPr="005A6D61">
                              <w:rPr>
                                <w:rFonts w:ascii="Cambria" w:hAnsi="Cambria"/>
                                <w:i/>
                                <w:sz w:val="22"/>
                                <w:szCs w:val="22"/>
                              </w:rPr>
                              <w:t>_____________________</w:t>
                            </w:r>
                          </w:p>
                          <w:p w14:paraId="1B2ADDDF" w14:textId="69EE8F95" w:rsidR="000C3003" w:rsidRPr="005A6D61" w:rsidRDefault="000C3003" w:rsidP="00295346">
                            <w:pPr>
                              <w:rPr>
                                <w:rFonts w:ascii="Cambria" w:hAnsi="Cambria"/>
                                <w:i/>
                                <w:sz w:val="22"/>
                                <w:szCs w:val="22"/>
                                <w:vertAlign w:val="superscript"/>
                              </w:rPr>
                            </w:pPr>
                            <w:r w:rsidRPr="005A6D61">
                              <w:rPr>
                                <w:rFonts w:ascii="Cambria" w:hAnsi="Cambria"/>
                                <w:i/>
                                <w:sz w:val="22"/>
                                <w:szCs w:val="22"/>
                                <w:vertAlign w:val="superscript"/>
                              </w:rPr>
                              <w:t>*</w:t>
                            </w:r>
                            <w:r w:rsidRPr="005A6D61">
                              <w:rPr>
                                <w:rFonts w:ascii="Cambria" w:hAnsi="Cambria"/>
                                <w:i/>
                                <w:sz w:val="22"/>
                                <w:szCs w:val="22"/>
                              </w:rPr>
                              <w:t>Corresponding</w:t>
                            </w:r>
                            <w:r>
                              <w:rPr>
                                <w:rFonts w:ascii="Cambria" w:hAnsi="Cambria"/>
                                <w:i/>
                                <w:sz w:val="22"/>
                                <w:szCs w:val="22"/>
                              </w:rPr>
                              <w:t xml:space="preserve"> </w:t>
                            </w:r>
                            <w:r w:rsidRPr="005A6D61">
                              <w:rPr>
                                <w:rFonts w:ascii="Cambria" w:hAnsi="Cambria"/>
                                <w:i/>
                                <w:sz w:val="22"/>
                                <w:szCs w:val="22"/>
                              </w:rPr>
                              <w:t>author</w:t>
                            </w:r>
                          </w:p>
                          <w:p w14:paraId="568E6A42" w14:textId="6E9E9283" w:rsidR="000C3003" w:rsidRPr="00843661" w:rsidRDefault="000C3003" w:rsidP="00295346">
                            <w:pPr>
                              <w:rPr>
                                <w:rFonts w:ascii="Cambria" w:hAnsi="Cambria"/>
                                <w:sz w:val="22"/>
                                <w:szCs w:val="22"/>
                              </w:rPr>
                            </w:pPr>
                            <w:r w:rsidRPr="002259B3">
                              <w:rPr>
                                <w:rFonts w:ascii="Cambria" w:hAnsi="Cambria"/>
                                <w:i/>
                                <w:sz w:val="22"/>
                                <w:szCs w:val="22"/>
                              </w:rPr>
                              <w:t>E</w:t>
                            </w:r>
                            <w:r>
                              <w:rPr>
                                <w:rFonts w:ascii="Cambria" w:hAnsi="Cambria"/>
                                <w:i/>
                                <w:sz w:val="22"/>
                                <w:szCs w:val="22"/>
                              </w:rPr>
                              <w:t xml:space="preserve"> - </w:t>
                            </w:r>
                            <w:r w:rsidRPr="002259B3">
                              <w:rPr>
                                <w:rFonts w:ascii="Cambria" w:hAnsi="Cambria"/>
                                <w:i/>
                                <w:sz w:val="22"/>
                                <w:szCs w:val="22"/>
                              </w:rPr>
                              <w:t>mail:</w:t>
                            </w:r>
                            <w:r w:rsidRPr="002259B3">
                              <w:rPr>
                                <w:rFonts w:ascii="Cambria" w:hAnsi="Cambria"/>
                                <w:sz w:val="22"/>
                                <w:szCs w:val="22"/>
                              </w:rPr>
                              <w:t xml:space="preserve"> </w:t>
                            </w:r>
                            <w:r w:rsidRPr="000C3003">
                              <w:rPr>
                                <w:rFonts w:ascii="Cambria" w:hAnsi="Cambria"/>
                                <w:sz w:val="22"/>
                                <w:szCs w:val="22"/>
                              </w:rPr>
                              <w:t>domanhtan@khoaxaydung.edu.vn</w:t>
                            </w:r>
                          </w:p>
                          <w:p w14:paraId="308F534C" w14:textId="61BAADF4" w:rsidR="000C3003" w:rsidRPr="005A6D61" w:rsidRDefault="000C3003" w:rsidP="00295346">
                            <w:pPr>
                              <w:rPr>
                                <w:rFonts w:ascii="Cambria" w:hAnsi="Cambria"/>
                                <w:sz w:val="22"/>
                                <w:szCs w:val="22"/>
                              </w:rPr>
                            </w:pPr>
                            <w:r w:rsidRPr="005A6D61">
                              <w:rPr>
                                <w:rFonts w:ascii="Cambria" w:hAnsi="Cambria"/>
                                <w:sz w:val="22"/>
                                <w:szCs w:val="22"/>
                              </w:rPr>
                              <w:t>DOI:</w:t>
                            </w:r>
                            <w:r>
                              <w:rPr>
                                <w:sz w:val="22"/>
                                <w:szCs w:val="22"/>
                              </w:rPr>
                              <w:t xml:space="preserve"> </w:t>
                            </w:r>
                            <w:r w:rsidRPr="005A6D61">
                              <w:rPr>
                                <w:rFonts w:ascii="Cambria" w:hAnsi="Cambria"/>
                                <w:sz w:val="22"/>
                                <w:szCs w:val="22"/>
                              </w:rPr>
                              <w:t>10.46326/JMES.</w:t>
                            </w:r>
                            <w:r>
                              <w:rPr>
                                <w:rFonts w:ascii="Cambria" w:hAnsi="Cambria"/>
                                <w:sz w:val="22"/>
                                <w:szCs w:val="22"/>
                              </w:rPr>
                              <w:t>2022</w:t>
                            </w:r>
                            <w:r w:rsidRPr="005A6D61">
                              <w:rPr>
                                <w:rFonts w:ascii="Cambria" w:hAnsi="Cambria"/>
                                <w:sz w:val="22"/>
                                <w:szCs w:val="22"/>
                              </w:rPr>
                              <w:t>.</w:t>
                            </w:r>
                            <w:r>
                              <w:rPr>
                                <w:rFonts w:ascii="Cambria" w:hAnsi="Cambria"/>
                                <w:sz w:val="22"/>
                                <w:szCs w:val="22"/>
                              </w:rPr>
                              <w:t>63(3a)</w:t>
                            </w:r>
                            <w:r w:rsidRPr="005A6D61">
                              <w:rPr>
                                <w:rFonts w:ascii="Cambria" w:hAnsi="Cambria"/>
                                <w:sz w:val="22"/>
                                <w:szCs w:val="22"/>
                              </w:rPr>
                              <w:t>.</w:t>
                            </w:r>
                            <w:r>
                              <w:rPr>
                                <w:rFonts w:ascii="Cambria" w:hAnsi="Cambria"/>
                                <w:sz w:val="22"/>
                                <w:szCs w:val="22"/>
                              </w:rPr>
                              <w:t>02</w:t>
                            </w: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1993766" id="_x0000_t202" coordsize="21600,21600" o:spt="202" path="m,l,21600r21600,l21600,xe">
                <v:stroke joinstyle="miter"/>
                <v:path gradientshapeok="t" o:connecttype="rect"/>
              </v:shapetype>
              <v:shape id="Text Box 32" o:spid="_x0000_s1026" type="#_x0000_t202" style="position:absolute;left:0;text-align:left;margin-left:0;margin-top:0;width:220.15pt;height:56.65pt;z-index:251937792;visibility:visible;mso-wrap-style:square;mso-width-percent:0;mso-height-percent:0;mso-wrap-distance-left:9pt;mso-wrap-distance-top:3.6pt;mso-wrap-distance-right:9pt;mso-wrap-distance-bottom:3.6pt;mso-position-horizontal:left;mso-position-horizontal-relative:margin;mso-position-vertical:bottom;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" filled="f" stroked="f">
                <v:textbox inset="0,0,0,0">
                  <w:txbxContent>
                    <w:p w14:paraId="63464DFD" w14:textId="77777777" w:rsidR="000C3003" w:rsidRPr="005A6D61" w:rsidRDefault="000C3003" w:rsidP="00295346">
                      <w:pPr>
                        <w:rPr>
                          <w:rFonts w:ascii="Cambria" w:hAnsi="Cambria"/>
                          <w:i/>
                          <w:sz w:val="22"/>
                          <w:szCs w:val="22"/>
                        </w:rPr>
                      </w:pPr>
                      <w:r w:rsidRPr="005A6D61">
                        <w:rPr>
                          <w:rFonts w:ascii="Cambria" w:hAnsi="Cambria"/>
                          <w:i/>
                          <w:sz w:val="22"/>
                          <w:szCs w:val="22"/>
                        </w:rPr>
                        <w:t>_____________________</w:t>
                      </w:r>
                    </w:p>
                    <w:p w14:paraId="1B2ADDDF" w14:textId="69EE8F95" w:rsidR="000C3003" w:rsidRPr="005A6D61" w:rsidRDefault="000C3003" w:rsidP="00295346">
                      <w:pPr>
                        <w:rPr>
                          <w:rFonts w:ascii="Cambria" w:hAnsi="Cambria"/>
                          <w:i/>
                          <w:sz w:val="22"/>
                          <w:szCs w:val="22"/>
                          <w:vertAlign w:val="superscript"/>
                        </w:rPr>
                      </w:pPr>
                      <w:r w:rsidRPr="005A6D61">
                        <w:rPr>
                          <w:rFonts w:ascii="Cambria" w:hAnsi="Cambria"/>
                          <w:i/>
                          <w:sz w:val="22"/>
                          <w:szCs w:val="22"/>
                          <w:vertAlign w:val="superscript"/>
                        </w:rPr>
                        <w:t>*</w:t>
                      </w:r>
                      <w:r w:rsidRPr="005A6D61">
                        <w:rPr>
                          <w:rFonts w:ascii="Cambria" w:hAnsi="Cambria"/>
                          <w:i/>
                          <w:sz w:val="22"/>
                          <w:szCs w:val="22"/>
                        </w:rPr>
                        <w:t>Corresponding</w:t>
                      </w:r>
                      <w:r>
                        <w:rPr>
                          <w:rFonts w:ascii="Cambria" w:hAnsi="Cambria"/>
                          <w:i/>
                          <w:sz w:val="22"/>
                          <w:szCs w:val="22"/>
                        </w:rPr>
                        <w:t xml:space="preserve"> </w:t>
                      </w:r>
                      <w:r w:rsidRPr="005A6D61">
                        <w:rPr>
                          <w:rFonts w:ascii="Cambria" w:hAnsi="Cambria"/>
                          <w:i/>
                          <w:sz w:val="22"/>
                          <w:szCs w:val="22"/>
                        </w:rPr>
                        <w:t>author</w:t>
                      </w:r>
                    </w:p>
                    <w:p w14:paraId="568E6A42" w14:textId="6E9E9283" w:rsidR="000C3003" w:rsidRPr="00843661" w:rsidRDefault="000C3003" w:rsidP="00295346">
                      <w:pPr>
                        <w:rPr>
                          <w:rFonts w:ascii="Cambria" w:hAnsi="Cambria"/>
                          <w:sz w:val="22"/>
                          <w:szCs w:val="22"/>
                        </w:rPr>
                      </w:pPr>
                      <w:r w:rsidRPr="002259B3">
                        <w:rPr>
                          <w:rFonts w:ascii="Cambria" w:hAnsi="Cambria"/>
                          <w:i/>
                          <w:sz w:val="22"/>
                          <w:szCs w:val="22"/>
                        </w:rPr>
                        <w:t>E</w:t>
                      </w:r>
                      <w:r>
                        <w:rPr>
                          <w:rFonts w:ascii="Cambria" w:hAnsi="Cambria"/>
                          <w:i/>
                          <w:sz w:val="22"/>
                          <w:szCs w:val="22"/>
                        </w:rPr>
                        <w:t xml:space="preserve"> - </w:t>
                      </w:r>
                      <w:r w:rsidRPr="002259B3">
                        <w:rPr>
                          <w:rFonts w:ascii="Cambria" w:hAnsi="Cambria"/>
                          <w:i/>
                          <w:sz w:val="22"/>
                          <w:szCs w:val="22"/>
                        </w:rPr>
                        <w:t>mail:</w:t>
                      </w:r>
                      <w:r w:rsidRPr="002259B3">
                        <w:rPr>
                          <w:rFonts w:ascii="Cambria" w:hAnsi="Cambria"/>
                          <w:sz w:val="22"/>
                          <w:szCs w:val="22"/>
                        </w:rPr>
                        <w:t xml:space="preserve"> </w:t>
                      </w:r>
                      <w:r w:rsidRPr="000C3003">
                        <w:rPr>
                          <w:rFonts w:ascii="Cambria" w:hAnsi="Cambria"/>
                          <w:sz w:val="22"/>
                          <w:szCs w:val="22"/>
                        </w:rPr>
                        <w:t>domanhtan@khoaxaydung.edu.vn</w:t>
                      </w:r>
                    </w:p>
                    <w:p w14:paraId="308F534C" w14:textId="61BAADF4" w:rsidR="000C3003" w:rsidRPr="005A6D61" w:rsidRDefault="000C3003" w:rsidP="00295346">
                      <w:pPr>
                        <w:rPr>
                          <w:rFonts w:ascii="Cambria" w:hAnsi="Cambria"/>
                          <w:sz w:val="22"/>
                          <w:szCs w:val="22"/>
                        </w:rPr>
                      </w:pPr>
                      <w:r w:rsidRPr="005A6D61">
                        <w:rPr>
                          <w:rFonts w:ascii="Cambria" w:hAnsi="Cambria"/>
                          <w:sz w:val="22"/>
                          <w:szCs w:val="22"/>
                        </w:rPr>
                        <w:t>DOI:</w:t>
                      </w:r>
                      <w:r>
                        <w:rPr>
                          <w:sz w:val="22"/>
                          <w:szCs w:val="22"/>
                        </w:rPr>
                        <w:t xml:space="preserve"> </w:t>
                      </w:r>
                      <w:r w:rsidRPr="005A6D61">
                        <w:rPr>
                          <w:rFonts w:ascii="Cambria" w:hAnsi="Cambria"/>
                          <w:sz w:val="22"/>
                          <w:szCs w:val="22"/>
                        </w:rPr>
                        <w:t>10.46326/JMES.</w:t>
                      </w:r>
                      <w:r>
                        <w:rPr>
                          <w:rFonts w:ascii="Cambria" w:hAnsi="Cambria"/>
                          <w:sz w:val="22"/>
                          <w:szCs w:val="22"/>
                        </w:rPr>
                        <w:t>2022</w:t>
                      </w:r>
                      <w:r w:rsidRPr="005A6D61">
                        <w:rPr>
                          <w:rFonts w:ascii="Cambria" w:hAnsi="Cambria"/>
                          <w:sz w:val="22"/>
                          <w:szCs w:val="22"/>
                        </w:rPr>
                        <w:t>.</w:t>
                      </w:r>
                      <w:r>
                        <w:rPr>
                          <w:rFonts w:ascii="Cambria" w:hAnsi="Cambria"/>
                          <w:sz w:val="22"/>
                          <w:szCs w:val="22"/>
                        </w:rPr>
                        <w:t>63(3a)</w:t>
                      </w:r>
                      <w:r w:rsidRPr="005A6D61">
                        <w:rPr>
                          <w:rFonts w:ascii="Cambria" w:hAnsi="Cambria"/>
                          <w:sz w:val="22"/>
                          <w:szCs w:val="22"/>
                        </w:rPr>
                        <w:t>.</w:t>
                      </w:r>
                      <w:r>
                        <w:rPr>
                          <w:rFonts w:ascii="Cambria" w:hAnsi="Cambria"/>
                          <w:sz w:val="22"/>
                          <w:szCs w:val="22"/>
                        </w:rPr>
                        <w:t>02</w:t>
                      </w:r>
                    </w:p>
                  </w:txbxContent>
                </v:textbox>
                <w10:wrap type="square" anchorx="margin" anchory="margin"/>
              </v:shape>
            </w:pict>
          </mc:Fallback>
        </mc:AlternateContent>
      </w:r>
      <w:r w:rsidR="000C3003" w:rsidRPr="000C3003">
        <w:t>1. Introduction</w:t>
      </w:r>
    </w:p>
    <w:p w14:paraId="6CB70C7A" w14:textId="11D1E512" w:rsidR="000C3003" w:rsidRPr="000C3003" w:rsidRDefault="000C3003" w:rsidP="000C3003">
      <w:pPr>
        <w:pStyle w:val="Nidungbi"/>
        <w:rPr>
          <w:lang w:val="vi-VN"/>
        </w:rPr>
      </w:pPr>
      <w:r w:rsidRPr="000C3003">
        <w:rPr>
          <w:lang w:val="vi-VN"/>
        </w:rPr>
        <w:t xml:space="preserve">One of the major concerns for tunnels buried in liquefiable soil is the uplift susceptibility under seismic loading. It is due to the fact that excess pore pressure in a saturated soil layer is generally built-up during earthquakes, which could lead to a decrease in effective stress and soil liquefaction. Large deformation of liquefiable soils may cause the uplift and instability of tunnels. Thereby, the tunnel uplift behaviors subjected to seismic loading are always taken into account in any designing stages of tunnels. During the past decade, behaviors of tunnels under dynamic conditions have been addressed in many studies by both numerical analyses (Azadi and Hosseini 2010; Hu et al. 2018; Lin et al. 2017; Liu and Song 2006; Sun et al. 2008; Unutmaz 2016; Zheng et al. 2021) and physical model tests (Adalier et al. 2003; Chou et al. 2011; Saeedzadeh and Hataf 2011; Tobita et al. 2011). Among these, Azadi and Hosseini (2010) performed a numerical study on tunnel uplift effects caused by soil liquefaction. In their study, a finite difference software, FLAC 2D, was used to evaluate the pore pressure changes during earthquakes with several considered parameters, e.g., tunnel diameters, buried depths, and soil strengths. In the study by Lin et al. (2017), </w:t>
      </w:r>
      <w:r w:rsidR="00AE1AE4">
        <w:rPr>
          <w:lang w:val="vi-VN"/>
        </w:rPr>
        <w:t xml:space="preserve">the </w:t>
      </w:r>
      <w:r w:rsidRPr="000C3003">
        <w:rPr>
          <w:lang w:val="vi-VN"/>
        </w:rPr>
        <w:t xml:space="preserve">two-dimensional (2D) dynamic response of horizontally aligned, cylindrical twin tunnels subjected to vertically incident seismic waves was simulated by a finite/infinite element approach. Their study focused on the effects of inter-tunnel spacing on the maximum and minimum principal stresses and the peak horizontal acceleration. Zheng et al. (2021) presented the uplift behavior and the effect of interaction between twin tunnels in liquefied soil using a finite difference program. In-depth analyses on the excess pore pressure and the uplift displacement of twin tunnels were implemented and then compared with those of a single tunnel. Their study showed that the generation of excess pore pressure and the </w:t>
      </w:r>
      <w:r w:rsidRPr="000C3003">
        <w:rPr>
          <w:lang w:val="vi-VN"/>
        </w:rPr>
        <w:t xml:space="preserve">liquefaction of soil surrounding the tunnels were prerequisites for the uplift. In addition, the uplift behaviors of tunnels were affected by the interaction between twin tunnels. Sun et al. (2008) performed the tunnel final lining system during the design earthquake. Their simulation results were in line with findings from centrifuge experiments carried out by Chou et al. (2011), simulating the same tunnel condition. The physical model tests showed a large amount of sand displacing toward the invert of the uplifted tunnel. The uplift was observed to be affected by both the input earthquake shaking intensity and the generation of excess pore pressure. However, the abovementioned studies simulated idealized conditions of tunnels, i.e., tunnels buried in a single liquefiable soil layer. It should be noted that tunnels are surrounded by multi-layers of both liquefiable and non-liquefiable soils. Indeed, the tunnel uplift behaviour under seismic loading is different </w:t>
      </w:r>
      <w:r w:rsidR="00AE1AE4">
        <w:rPr>
          <w:lang w:val="vi-VN"/>
        </w:rPr>
        <w:t>from</w:t>
      </w:r>
      <w:r w:rsidRPr="000C3003">
        <w:rPr>
          <w:lang w:val="vi-VN"/>
        </w:rPr>
        <w:t xml:space="preserve"> the presence of non-liquefiable soil. </w:t>
      </w:r>
    </w:p>
    <w:p w14:paraId="4566A712" w14:textId="063196F1" w:rsidR="000C3003" w:rsidRPr="000C3003" w:rsidRDefault="000C3003" w:rsidP="000C3003">
      <w:pPr>
        <w:pStyle w:val="Nidungbi"/>
        <w:rPr>
          <w:lang w:val="vi-VN"/>
        </w:rPr>
      </w:pPr>
      <w:r w:rsidRPr="000C3003">
        <w:rPr>
          <w:lang w:val="vi-VN"/>
        </w:rPr>
        <w:t>This study focuses on the uplift behavior of a tunnel buried in both liquefiable and non-liquefiable soils under seismic loading. The finite-element method was used to perform a seismic analysis and liquefaction of the soils surrounding the tunnel. An advanced constitutive model was adopted in the finite-element model for in-depth analyses o</w:t>
      </w:r>
      <w:r w:rsidR="00AE1AE4">
        <w:rPr>
          <w:lang w:val="vi-VN"/>
        </w:rPr>
        <w:t>f</w:t>
      </w:r>
      <w:r w:rsidRPr="000C3003">
        <w:rPr>
          <w:lang w:val="vi-VN"/>
        </w:rPr>
        <w:t xml:space="preserve"> the uplift displacement and excess pore pressure of surrounding soils.</w:t>
      </w:r>
    </w:p>
    <w:p w14:paraId="0E243608" w14:textId="77777777" w:rsidR="000C3003" w:rsidRPr="000C3003" w:rsidRDefault="000C3003" w:rsidP="000C3003">
      <w:pPr>
        <w:pStyle w:val="1tvn"/>
      </w:pPr>
      <w:r w:rsidRPr="000C3003">
        <w:t>2. Numerical modelling</w:t>
      </w:r>
    </w:p>
    <w:p w14:paraId="1E39983E" w14:textId="77777777" w:rsidR="000C3003" w:rsidRPr="000C3003" w:rsidRDefault="000C3003" w:rsidP="000C3003">
      <w:pPr>
        <w:pStyle w:val="1PhnthnhtcaV"/>
      </w:pPr>
      <w:r w:rsidRPr="000C3003">
        <w:t>2.</w:t>
      </w:r>
      <w:r w:rsidRPr="000C3003">
        <w:rPr>
          <w:lang w:val="vi-VN"/>
        </w:rPr>
        <w:t xml:space="preserve">1. </w:t>
      </w:r>
      <w:r w:rsidRPr="000C3003">
        <w:t>General description</w:t>
      </w:r>
    </w:p>
    <w:p w14:paraId="07EE789A" w14:textId="7841D6FE" w:rsidR="000C3003" w:rsidRDefault="000C3003" w:rsidP="000C3003">
      <w:pPr>
        <w:pStyle w:val="Nidungbi"/>
        <w:rPr>
          <w:lang w:val="en-US"/>
        </w:rPr>
      </w:pPr>
      <w:r w:rsidRPr="000C3003">
        <w:rPr>
          <w:lang w:val="en-US"/>
        </w:rPr>
        <w:t xml:space="preserve">An idealized tunnel with an external diameter of 5 m was simulated using a finite element software </w:t>
      </w:r>
      <w:proofErr w:type="spellStart"/>
      <w:r w:rsidRPr="000C3003">
        <w:rPr>
          <w:lang w:val="en-US"/>
        </w:rPr>
        <w:t>Plaxis</w:t>
      </w:r>
      <w:proofErr w:type="spellEnd"/>
      <w:r w:rsidRPr="000C3003">
        <w:rPr>
          <w:lang w:val="en-US"/>
        </w:rPr>
        <w:t xml:space="preserve"> 2D. Note that the plane strain condition is commonly adopted in simulations of tunnels as it is a long straight section. A full model was 120 m wide and 40 m high, as shown in Figure 1. The model comprised three soil types: bed rock (foundation), clay (non-liquefiable soil)</w:t>
      </w:r>
      <w:r w:rsidR="00AE1AE4">
        <w:rPr>
          <w:lang w:val="en-US"/>
        </w:rPr>
        <w:t>,</w:t>
      </w:r>
      <w:r w:rsidRPr="000C3003">
        <w:rPr>
          <w:lang w:val="en-US"/>
        </w:rPr>
        <w:t xml:space="preserve"> and sand (liquefiable soil). Figure 1 shows the thickness H</w:t>
      </w:r>
      <w:r w:rsidR="00CB008D">
        <w:rPr>
          <w:lang w:val="en-US"/>
        </w:rPr>
        <w:t xml:space="preserve"> = </w:t>
      </w:r>
      <w:r w:rsidRPr="000C3003">
        <w:rPr>
          <w:lang w:val="en-US"/>
        </w:rPr>
        <w:t>5</w:t>
      </w:r>
      <w:r w:rsidR="002F45AC">
        <w:rPr>
          <w:lang w:val="en-US"/>
        </w:rPr>
        <w:t xml:space="preserve"> m</w:t>
      </w:r>
      <w:r w:rsidRPr="000C3003">
        <w:rPr>
          <w:lang w:val="en-US"/>
        </w:rPr>
        <w:t xml:space="preserve"> of the non-liquefiable soil layer above the tunnel. In this current work, four case studies corresponding to four thicknesses of 15 m, 10 m, 5 m, and 0 m were used to investigate the effects of the non-liquefiable soil thicknesses on excess pore water </w:t>
      </w:r>
      <w:r w:rsidRPr="000C3003">
        <w:rPr>
          <w:lang w:val="en-US"/>
        </w:rPr>
        <w:lastRenderedPageBreak/>
        <w:t>pressure and then the tunnel uplift displacement. The tunnel position was fixed and the thicknesses of the liquefiable soil layer were then 5 m, 10 m, 15 m, and 20 m for H</w:t>
      </w:r>
      <w:r w:rsidR="00CB008D">
        <w:rPr>
          <w:lang w:val="en-US"/>
        </w:rPr>
        <w:t xml:space="preserve"> = </w:t>
      </w:r>
      <w:r w:rsidRPr="000C3003">
        <w:rPr>
          <w:lang w:val="en-US"/>
        </w:rPr>
        <w:t>15 m, H</w:t>
      </w:r>
      <w:r w:rsidR="00CB008D">
        <w:rPr>
          <w:lang w:val="en-US"/>
        </w:rPr>
        <w:t xml:space="preserve"> = </w:t>
      </w:r>
      <w:r w:rsidRPr="000C3003">
        <w:rPr>
          <w:lang w:val="en-US"/>
        </w:rPr>
        <w:t>10 m, H</w:t>
      </w:r>
      <w:r w:rsidR="00CB008D">
        <w:rPr>
          <w:lang w:val="en-US"/>
        </w:rPr>
        <w:t xml:space="preserve"> = </w:t>
      </w:r>
      <w:r w:rsidRPr="000C3003">
        <w:rPr>
          <w:lang w:val="en-US"/>
        </w:rPr>
        <w:t>5 m, and H</w:t>
      </w:r>
      <w:r w:rsidR="00CB008D">
        <w:rPr>
          <w:lang w:val="en-US"/>
        </w:rPr>
        <w:t xml:space="preserve"> = </w:t>
      </w:r>
      <w:r w:rsidRPr="000C3003">
        <w:rPr>
          <w:lang w:val="en-US"/>
        </w:rPr>
        <w:t xml:space="preserve">0 m, respectively. The phreatic line was assumed to be located at the ground surface (worst-case scenario). During the construction, soil clusters inside the tunnel were set to dry condition. In addition to the dewatering of the tunnel, other construction stages, e.g., excavation of the soil, </w:t>
      </w:r>
      <w:r w:rsidR="00AE1AE4">
        <w:rPr>
          <w:lang w:val="en-US"/>
        </w:rPr>
        <w:t xml:space="preserve">and </w:t>
      </w:r>
      <w:r w:rsidRPr="000C3003">
        <w:rPr>
          <w:lang w:val="en-US"/>
        </w:rPr>
        <w:t xml:space="preserve">installation of tunnel lining, were also simulated in all models. The finite element mesh of a numerical model is shown in </w:t>
      </w:r>
      <w:r w:rsidRPr="004F0111">
        <w:rPr>
          <w:lang w:val="en-US"/>
        </w:rPr>
        <w:t>Figure 2.</w:t>
      </w:r>
      <w:r w:rsidRPr="000C3003">
        <w:rPr>
          <w:lang w:val="en-US"/>
        </w:rPr>
        <w:t xml:space="preserve"> A massive number of elements were generated in the areas of interest, providing the finer mesh near the tunnel. This is due to the fact that these areas would be affected by large strains during the stage of construction. The coarser mesh was then generated at the far-field areas to minimize computation time. In addition, the maximum element sizes of all models were chosen considering the maximum frequency of the input motion spectrum and the wavelength of the propagating wave.</w:t>
      </w:r>
      <w:r w:rsidR="004F0111" w:rsidRPr="004F0111">
        <w:rPr>
          <w:lang w:val="en-US"/>
        </w:rPr>
        <w:t xml:space="preserve"> </w:t>
      </w:r>
      <w:r w:rsidR="004F0111" w:rsidRPr="000C3003">
        <w:rPr>
          <w:lang w:val="en-US"/>
        </w:rPr>
        <w:t xml:space="preserve">As for the mechanical boundary conditions, the model was assumed to be fully fixed at its bottom. The horizontal displacements were assumed to be zero along the lateral edges (i.e., both left and right vertical boundaries). As for the dynamic boundary conditions, the free-field boundary was applied for the lateral edges, and a compliant base was applied for the bottom. The Kobe 1995 accelerogram was used as input ground motion (i.e., both vertical and horizontal motions in </w:t>
      </w:r>
      <w:r w:rsidR="004F0111" w:rsidRPr="004F0111">
        <w:rPr>
          <w:lang w:val="en-US"/>
        </w:rPr>
        <w:t>Figure 3). The</w:t>
      </w:r>
      <w:r w:rsidR="004F0111" w:rsidRPr="000C3003">
        <w:rPr>
          <w:lang w:val="en-US"/>
        </w:rPr>
        <w:t xml:space="preserve"> input signals were scaled at peaks of</w:t>
      </w:r>
      <w:r w:rsidR="004F0111">
        <w:rPr>
          <w:lang w:val="en-US"/>
        </w:rPr>
        <w:t xml:space="preserve"> </w:t>
      </w:r>
      <w:r w:rsidR="004F0111" w:rsidRPr="000C3003">
        <w:rPr>
          <w:lang w:val="en-US"/>
        </w:rPr>
        <w:t xml:space="preserve">horizontal and vertical accelerations of 0.55g and 0.2g, respectively. A Rayleigh damping ratio of 0.005 is adopted to control numerical noise. The earthquake was assumed to be measured at the outcrop of a rock formation and was modeled by imposing a prescribed displacement at the bottom of the model (Boulanger and </w:t>
      </w:r>
      <w:proofErr w:type="spellStart"/>
      <w:r w:rsidR="004F0111" w:rsidRPr="000C3003">
        <w:rPr>
          <w:lang w:val="en-US"/>
        </w:rPr>
        <w:t>Ziotopoulou</w:t>
      </w:r>
      <w:proofErr w:type="spellEnd"/>
      <w:r w:rsidR="004F0111" w:rsidRPr="000C3003">
        <w:rPr>
          <w:lang w:val="en-US"/>
        </w:rPr>
        <w:t xml:space="preserve"> 2015).</w:t>
      </w:r>
    </w:p>
    <w:p w14:paraId="1627EDAF" w14:textId="77777777" w:rsidR="00AC3951" w:rsidRDefault="00AC3951" w:rsidP="000C3003">
      <w:pPr>
        <w:pStyle w:val="Nidungbi"/>
        <w:rPr>
          <w:lang w:val="en-US"/>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6"/>
      </w:tblGrid>
      <w:tr w:rsidR="00AC3951" w:rsidRPr="00AC3951" w14:paraId="3FBB053A" w14:textId="77777777" w:rsidTr="00AC3951">
        <w:trPr>
          <w:jc w:val="center"/>
        </w:trPr>
        <w:tc>
          <w:tcPr>
            <w:tcW w:w="5000" w:type="pct"/>
            <w:vAlign w:val="center"/>
          </w:tcPr>
          <w:p w14:paraId="4C0039ED" w14:textId="77777777" w:rsidR="00AC3951" w:rsidRPr="00AC3951" w:rsidRDefault="00AC3951" w:rsidP="004B28C5">
            <w:pPr>
              <w:pStyle w:val="Chthchhnh"/>
            </w:pPr>
            <w:r w:rsidRPr="00AC3951">
              <w:rPr>
                <w:noProof/>
              </w:rPr>
              <w:drawing>
                <wp:inline distT="0" distB="0" distL="0" distR="0" wp14:anchorId="557B48D2" wp14:editId="0D2535CD">
                  <wp:extent cx="2735260" cy="1691236"/>
                  <wp:effectExtent l="0" t="0" r="825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41659" cy="1695193"/>
                          </a:xfrm>
                          <a:prstGeom prst="rect">
                            <a:avLst/>
                          </a:prstGeom>
                          <a:noFill/>
                        </pic:spPr>
                      </pic:pic>
                    </a:graphicData>
                  </a:graphic>
                </wp:inline>
              </w:drawing>
            </w:r>
          </w:p>
        </w:tc>
      </w:tr>
      <w:tr w:rsidR="00AC3951" w:rsidRPr="00AC3951" w14:paraId="796BE951" w14:textId="77777777" w:rsidTr="00AC3951">
        <w:trPr>
          <w:jc w:val="center"/>
        </w:trPr>
        <w:tc>
          <w:tcPr>
            <w:tcW w:w="5000" w:type="pct"/>
            <w:vAlign w:val="center"/>
          </w:tcPr>
          <w:p w14:paraId="04C44A88" w14:textId="31F7282B" w:rsidR="00AC3951" w:rsidRPr="00AC3951" w:rsidRDefault="00AC3951" w:rsidP="004B28C5">
            <w:pPr>
              <w:pStyle w:val="Chthchhnh"/>
            </w:pPr>
            <w:r w:rsidRPr="00AC3951">
              <w:t>Figure 1. Selected geometry of tunnel and surrounding soil layers (H=5 m).</w:t>
            </w:r>
          </w:p>
        </w:tc>
      </w:tr>
      <w:tr w:rsidR="00AC3951" w:rsidRPr="00AC3951" w14:paraId="05B36030" w14:textId="77777777" w:rsidTr="00AC3951">
        <w:trPr>
          <w:jc w:val="center"/>
        </w:trPr>
        <w:tc>
          <w:tcPr>
            <w:tcW w:w="5000" w:type="pct"/>
            <w:vAlign w:val="center"/>
          </w:tcPr>
          <w:p w14:paraId="3BE2C52F" w14:textId="77777777" w:rsidR="00AC3951" w:rsidRPr="00AC3951" w:rsidRDefault="00AC3951" w:rsidP="004B28C5">
            <w:pPr>
              <w:pStyle w:val="Chthchhnh"/>
            </w:pPr>
            <w:r w:rsidRPr="00AC3951">
              <w:rPr>
                <w:noProof/>
              </w:rPr>
              <w:drawing>
                <wp:inline distT="0" distB="0" distL="0" distR="0" wp14:anchorId="684DF587" wp14:editId="42F5B47A">
                  <wp:extent cx="2735229" cy="1262358"/>
                  <wp:effectExtent l="0" t="0" r="825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72106" cy="1279377"/>
                          </a:xfrm>
                          <a:prstGeom prst="rect">
                            <a:avLst/>
                          </a:prstGeom>
                          <a:noFill/>
                        </pic:spPr>
                      </pic:pic>
                    </a:graphicData>
                  </a:graphic>
                </wp:inline>
              </w:drawing>
            </w:r>
          </w:p>
        </w:tc>
      </w:tr>
      <w:tr w:rsidR="00AC3951" w:rsidRPr="00AC3951" w14:paraId="6D9BEF4E" w14:textId="77777777" w:rsidTr="00AC3951">
        <w:trPr>
          <w:jc w:val="center"/>
        </w:trPr>
        <w:tc>
          <w:tcPr>
            <w:tcW w:w="5000" w:type="pct"/>
            <w:vAlign w:val="center"/>
          </w:tcPr>
          <w:p w14:paraId="4D7DC92F" w14:textId="449190FB" w:rsidR="00AC3951" w:rsidRPr="00AC3951" w:rsidRDefault="00AC3951" w:rsidP="004B28C5">
            <w:pPr>
              <w:pStyle w:val="Chthchhnh"/>
            </w:pPr>
            <w:r w:rsidRPr="00AC3951">
              <w:t>Figure 2.</w:t>
            </w:r>
            <w:r>
              <w:t xml:space="preserve"> </w:t>
            </w:r>
            <w:r w:rsidRPr="00AC3951">
              <w:t>Finite element mesh of a numerical model</w:t>
            </w:r>
            <w:r w:rsidR="00C06935">
              <w:t>.</w:t>
            </w:r>
          </w:p>
        </w:tc>
      </w:tr>
      <w:tr w:rsidR="00AC3951" w:rsidRPr="00AC3951" w14:paraId="20E2CC62" w14:textId="77777777" w:rsidTr="00AC3951">
        <w:trPr>
          <w:jc w:val="center"/>
        </w:trPr>
        <w:tc>
          <w:tcPr>
            <w:tcW w:w="5000" w:type="pct"/>
            <w:vAlign w:val="center"/>
          </w:tcPr>
          <w:p w14:paraId="33C4D316" w14:textId="77777777" w:rsidR="00AC3951" w:rsidRPr="00AC3951" w:rsidRDefault="00AC3951" w:rsidP="004B28C5">
            <w:pPr>
              <w:pStyle w:val="Chthchhnh"/>
            </w:pPr>
          </w:p>
        </w:tc>
      </w:tr>
      <w:tr w:rsidR="00AC3951" w:rsidRPr="00AC3951" w14:paraId="7F6525C4" w14:textId="77777777" w:rsidTr="00AC3951">
        <w:trPr>
          <w:jc w:val="center"/>
        </w:trPr>
        <w:tc>
          <w:tcPr>
            <w:tcW w:w="5000" w:type="pct"/>
            <w:vAlign w:val="center"/>
          </w:tcPr>
          <w:p w14:paraId="37C799D4" w14:textId="77777777" w:rsidR="00AC3951" w:rsidRPr="00AC3951" w:rsidRDefault="00AC3951" w:rsidP="004B28C5">
            <w:pPr>
              <w:pStyle w:val="Chthchhnh"/>
            </w:pPr>
            <w:r w:rsidRPr="00AC3951">
              <w:rPr>
                <w:noProof/>
              </w:rPr>
              <mc:AlternateContent>
                <mc:Choice Requires="wps">
                  <w:drawing>
                    <wp:anchor distT="0" distB="0" distL="114300" distR="114300" simplePos="0" relativeHeight="252173312" behindDoc="0" locked="0" layoutInCell="1" allowOverlap="1" wp14:anchorId="22549652" wp14:editId="22178BE7">
                      <wp:simplePos x="0" y="0"/>
                      <wp:positionH relativeFrom="column">
                        <wp:posOffset>2212239</wp:posOffset>
                      </wp:positionH>
                      <wp:positionV relativeFrom="paragraph">
                        <wp:posOffset>299161</wp:posOffset>
                      </wp:positionV>
                      <wp:extent cx="380391" cy="285293"/>
                      <wp:effectExtent l="0" t="0" r="0" b="635"/>
                      <wp:wrapNone/>
                      <wp:docPr id="49" name="Text Box 49"/>
                      <wp:cNvGraphicFramePr/>
                      <a:graphic xmlns:a="http://schemas.openxmlformats.org/drawingml/2006/main">
                        <a:graphicData uri="http://schemas.microsoft.com/office/word/2010/wordprocessingShape">
                          <wps:wsp>
                            <wps:cNvSpPr txBox="1"/>
                            <wps:spPr>
                              <a:xfrm>
                                <a:off x="0" y="0"/>
                                <a:ext cx="380391" cy="285293"/>
                              </a:xfrm>
                              <a:prstGeom prst="rect">
                                <a:avLst/>
                              </a:prstGeom>
                              <a:noFill/>
                              <a:ln w="6350">
                                <a:noFill/>
                              </a:ln>
                            </wps:spPr>
                            <wps:txbx>
                              <w:txbxContent>
                                <w:p w14:paraId="29034B6D" w14:textId="77777777" w:rsidR="00AC3951" w:rsidRPr="006671E3" w:rsidRDefault="00AC3951" w:rsidP="00AC3951">
                                  <w:pPr>
                                    <w:rPr>
                                      <w:sz w:val="22"/>
                                      <w:szCs w:val="22"/>
                                    </w:rPr>
                                  </w:pPr>
                                  <w:r w:rsidRPr="006671E3">
                                    <w:rPr>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549652" id="Text Box 49" o:spid="_x0000_s1027" type="#_x0000_t202" style="position:absolute;left:0;text-align:left;margin-left:174.2pt;margin-top:23.55pt;width:29.95pt;height:22.45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" filled="f" stroked="f" strokeweight=".5pt">
                      <v:textbox>
                        <w:txbxContent>
                          <w:p w14:paraId="29034B6D" w14:textId="77777777" w:rsidR="00AC3951" w:rsidRPr="006671E3" w:rsidRDefault="00AC3951" w:rsidP="00AC3951">
                            <w:pPr>
                              <w:rPr>
                                <w:sz w:val="22"/>
                                <w:szCs w:val="22"/>
                              </w:rPr>
                            </w:pPr>
                            <w:r w:rsidRPr="006671E3">
                              <w:rPr>
                                <w:sz w:val="22"/>
                                <w:szCs w:val="22"/>
                              </w:rPr>
                              <w:t>(a)</w:t>
                            </w:r>
                          </w:p>
                        </w:txbxContent>
                      </v:textbox>
                    </v:shape>
                  </w:pict>
                </mc:Fallback>
              </mc:AlternateContent>
            </w:r>
            <w:r w:rsidRPr="00AC3951">
              <w:rPr>
                <w:noProof/>
              </w:rPr>
              <w:drawing>
                <wp:inline distT="0" distB="0" distL="0" distR="0" wp14:anchorId="7C5ED4A9" wp14:editId="7A7D8597">
                  <wp:extent cx="2732912" cy="92249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35705" cy="957190"/>
                          </a:xfrm>
                          <a:prstGeom prst="rect">
                            <a:avLst/>
                          </a:prstGeom>
                          <a:noFill/>
                        </pic:spPr>
                      </pic:pic>
                    </a:graphicData>
                  </a:graphic>
                </wp:inline>
              </w:drawing>
            </w:r>
          </w:p>
        </w:tc>
      </w:tr>
      <w:tr w:rsidR="00AC3951" w:rsidRPr="00AC3951" w14:paraId="0F422F88" w14:textId="77777777" w:rsidTr="00AC3951">
        <w:trPr>
          <w:jc w:val="center"/>
        </w:trPr>
        <w:tc>
          <w:tcPr>
            <w:tcW w:w="5000" w:type="pct"/>
            <w:vAlign w:val="center"/>
          </w:tcPr>
          <w:p w14:paraId="6666C28B" w14:textId="77777777" w:rsidR="00AC3951" w:rsidRPr="00AC3951" w:rsidRDefault="00AC3951" w:rsidP="004B28C5">
            <w:pPr>
              <w:pStyle w:val="Chthchhnh"/>
            </w:pPr>
            <w:r w:rsidRPr="00AC3951">
              <w:rPr>
                <w:noProof/>
              </w:rPr>
              <mc:AlternateContent>
                <mc:Choice Requires="wps">
                  <w:drawing>
                    <wp:anchor distT="0" distB="0" distL="114300" distR="114300" simplePos="0" relativeHeight="252174336" behindDoc="0" locked="0" layoutInCell="1" allowOverlap="1" wp14:anchorId="7E295104" wp14:editId="1215F101">
                      <wp:simplePos x="0" y="0"/>
                      <wp:positionH relativeFrom="column">
                        <wp:posOffset>2230298</wp:posOffset>
                      </wp:positionH>
                      <wp:positionV relativeFrom="paragraph">
                        <wp:posOffset>343078</wp:posOffset>
                      </wp:positionV>
                      <wp:extent cx="380391" cy="285293"/>
                      <wp:effectExtent l="0" t="0" r="0" b="635"/>
                      <wp:wrapNone/>
                      <wp:docPr id="50" name="Text Box 50"/>
                      <wp:cNvGraphicFramePr/>
                      <a:graphic xmlns:a="http://schemas.openxmlformats.org/drawingml/2006/main">
                        <a:graphicData uri="http://schemas.microsoft.com/office/word/2010/wordprocessingShape">
                          <wps:wsp>
                            <wps:cNvSpPr txBox="1"/>
                            <wps:spPr>
                              <a:xfrm>
                                <a:off x="0" y="0"/>
                                <a:ext cx="380391" cy="285293"/>
                              </a:xfrm>
                              <a:prstGeom prst="rect">
                                <a:avLst/>
                              </a:prstGeom>
                              <a:noFill/>
                              <a:ln w="6350">
                                <a:noFill/>
                              </a:ln>
                            </wps:spPr>
                            <wps:txbx>
                              <w:txbxContent>
                                <w:p w14:paraId="7E715D46" w14:textId="77777777" w:rsidR="00AC3951" w:rsidRPr="006671E3" w:rsidRDefault="00AC3951" w:rsidP="00AC3951">
                                  <w:pPr>
                                    <w:rPr>
                                      <w:sz w:val="22"/>
                                      <w:szCs w:val="22"/>
                                    </w:rPr>
                                  </w:pPr>
                                  <w:r w:rsidRPr="006671E3">
                                    <w:rPr>
                                      <w:sz w:val="22"/>
                                      <w:szCs w:val="22"/>
                                    </w:rPr>
                                    <w:t>(</w:t>
                                  </w:r>
                                  <w:r>
                                    <w:rPr>
                                      <w:sz w:val="22"/>
                                      <w:szCs w:val="22"/>
                                    </w:rPr>
                                    <w:t>b</w:t>
                                  </w:r>
                                  <w:r w:rsidRPr="006671E3">
                                    <w:rPr>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95104" id="Text Box 50" o:spid="_x0000_s1028" type="#_x0000_t202" style="position:absolute;left:0;text-align:left;margin-left:175.6pt;margin-top:27pt;width:29.95pt;height:22.45pt;z-index:25217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" filled="f" stroked="f" strokeweight=".5pt">
                      <v:textbox>
                        <w:txbxContent>
                          <w:p w14:paraId="7E715D46" w14:textId="77777777" w:rsidR="00AC3951" w:rsidRPr="006671E3" w:rsidRDefault="00AC3951" w:rsidP="00AC3951">
                            <w:pPr>
                              <w:rPr>
                                <w:sz w:val="22"/>
                                <w:szCs w:val="22"/>
                              </w:rPr>
                            </w:pPr>
                            <w:r w:rsidRPr="006671E3">
                              <w:rPr>
                                <w:sz w:val="22"/>
                                <w:szCs w:val="22"/>
                              </w:rPr>
                              <w:t>(</w:t>
                            </w:r>
                            <w:r>
                              <w:rPr>
                                <w:sz w:val="22"/>
                                <w:szCs w:val="22"/>
                              </w:rPr>
                              <w:t>b</w:t>
                            </w:r>
                            <w:r w:rsidRPr="006671E3">
                              <w:rPr>
                                <w:sz w:val="22"/>
                                <w:szCs w:val="22"/>
                              </w:rPr>
                              <w:t>)</w:t>
                            </w:r>
                          </w:p>
                        </w:txbxContent>
                      </v:textbox>
                    </v:shape>
                  </w:pict>
                </mc:Fallback>
              </mc:AlternateContent>
            </w:r>
            <w:r w:rsidRPr="00AC3951">
              <w:rPr>
                <w:noProof/>
              </w:rPr>
              <w:drawing>
                <wp:inline distT="0" distB="0" distL="0" distR="0" wp14:anchorId="6ECB723A" wp14:editId="536A1483">
                  <wp:extent cx="2732800" cy="971045"/>
                  <wp:effectExtent l="0" t="0" r="0" b="63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68557" cy="1054816"/>
                          </a:xfrm>
                          <a:prstGeom prst="rect">
                            <a:avLst/>
                          </a:prstGeom>
                          <a:noFill/>
                        </pic:spPr>
                      </pic:pic>
                    </a:graphicData>
                  </a:graphic>
                </wp:inline>
              </w:drawing>
            </w:r>
          </w:p>
        </w:tc>
      </w:tr>
      <w:tr w:rsidR="00AC3951" w:rsidRPr="00AC3951" w14:paraId="491F6BE7" w14:textId="77777777" w:rsidTr="00AC3951">
        <w:trPr>
          <w:jc w:val="center"/>
        </w:trPr>
        <w:tc>
          <w:tcPr>
            <w:tcW w:w="5000" w:type="pct"/>
            <w:vAlign w:val="center"/>
          </w:tcPr>
          <w:p w14:paraId="7926307F" w14:textId="65ACE636" w:rsidR="00AC3951" w:rsidRPr="00AC3951" w:rsidRDefault="00AC3951" w:rsidP="004B28C5">
            <w:pPr>
              <w:pStyle w:val="Chthchhnh"/>
            </w:pPr>
            <w:r w:rsidRPr="00AC3951">
              <w:t>Figure 3. Time history of earthquake signals: (a) horizontal motion and (b) vertical motion.</w:t>
            </w:r>
          </w:p>
        </w:tc>
      </w:tr>
    </w:tbl>
    <w:p w14:paraId="66A57D33" w14:textId="77777777" w:rsidR="000C3003" w:rsidRPr="000C3003" w:rsidRDefault="000C3003" w:rsidP="000C3003">
      <w:pPr>
        <w:pStyle w:val="1PhnthnhtcaV"/>
      </w:pPr>
      <w:r w:rsidRPr="000C3003">
        <w:t>2.</w:t>
      </w:r>
      <w:r w:rsidRPr="000C3003">
        <w:rPr>
          <w:lang w:val="vi-VN"/>
        </w:rPr>
        <w:t xml:space="preserve">2. </w:t>
      </w:r>
      <w:r w:rsidRPr="000C3003">
        <w:t>General description</w:t>
      </w:r>
    </w:p>
    <w:p w14:paraId="62956FFA" w14:textId="20399BD4" w:rsidR="000C3003" w:rsidRDefault="000C3003" w:rsidP="000C3003">
      <w:pPr>
        <w:pStyle w:val="Nidungbi"/>
        <w:rPr>
          <w:lang w:val="en-US"/>
        </w:rPr>
      </w:pPr>
      <w:r w:rsidRPr="000C3003">
        <w:rPr>
          <w:lang w:val="en-US"/>
        </w:rPr>
        <w:t xml:space="preserve">In this study, the non-liquefiable soil (clay layers) was modeled using the Hardening soil small strain model (HS small), whereas the bedrock layer was modeled as the linear elastic (LE) material of drained type behavior. </w:t>
      </w:r>
      <w:r w:rsidR="00AE1AE4">
        <w:rPr>
          <w:lang w:val="en-US"/>
        </w:rPr>
        <w:t>The s</w:t>
      </w:r>
      <w:r w:rsidRPr="000C3003">
        <w:rPr>
          <w:lang w:val="en-US"/>
        </w:rPr>
        <w:t xml:space="preserve">and plasticity constitutive model (PM4Sand) was used to simulate the liquefiable soil (sand layer). The PM4Sand has successfully simulated the material behavior of liquefiable soils in dynamic or cyclic loadings, including the pore pressure generation, liquefaction, and post-liquefaction phenomena. The PM4Sand model is the </w:t>
      </w:r>
      <w:proofErr w:type="spellStart"/>
      <w:r w:rsidRPr="000C3003">
        <w:rPr>
          <w:lang w:val="en-US"/>
        </w:rPr>
        <w:t>elasto</w:t>
      </w:r>
      <w:proofErr w:type="spellEnd"/>
      <w:r w:rsidRPr="000C3003">
        <w:rPr>
          <w:lang w:val="en-US"/>
        </w:rPr>
        <w:t>-</w:t>
      </w:r>
      <w:r w:rsidRPr="000C3003">
        <w:rPr>
          <w:lang w:val="en-US"/>
        </w:rPr>
        <w:lastRenderedPageBreak/>
        <w:t xml:space="preserve">plastic, bounding surface plasticity, and model critical state compatible (Boulanger and </w:t>
      </w:r>
      <w:proofErr w:type="spellStart"/>
      <w:r w:rsidRPr="000C3003">
        <w:rPr>
          <w:lang w:val="en-US"/>
        </w:rPr>
        <w:t>Ziotopoulou</w:t>
      </w:r>
      <w:proofErr w:type="spellEnd"/>
      <w:r w:rsidRPr="000C3003">
        <w:rPr>
          <w:lang w:val="en-US"/>
        </w:rPr>
        <w:t xml:space="preserve"> 2015). It was originally proposed from the </w:t>
      </w:r>
      <w:proofErr w:type="spellStart"/>
      <w:r w:rsidRPr="000C3003">
        <w:rPr>
          <w:lang w:val="en-US"/>
        </w:rPr>
        <w:t>Dafalias-Manzari</w:t>
      </w:r>
      <w:proofErr w:type="spellEnd"/>
      <w:r w:rsidRPr="000C3003">
        <w:rPr>
          <w:lang w:val="en-US"/>
        </w:rPr>
        <w:t xml:space="preserve"> model (</w:t>
      </w:r>
      <w:proofErr w:type="spellStart"/>
      <w:r w:rsidRPr="000C3003">
        <w:rPr>
          <w:lang w:val="en-US"/>
        </w:rPr>
        <w:t>Dafalias</w:t>
      </w:r>
      <w:proofErr w:type="spellEnd"/>
      <w:r w:rsidRPr="000C3003">
        <w:rPr>
          <w:lang w:val="en-US"/>
        </w:rPr>
        <w:t xml:space="preserve"> Yannis and </w:t>
      </w:r>
      <w:proofErr w:type="spellStart"/>
      <w:r w:rsidRPr="000C3003">
        <w:rPr>
          <w:lang w:val="en-US"/>
        </w:rPr>
        <w:t>Manzari</w:t>
      </w:r>
      <w:proofErr w:type="spellEnd"/>
      <w:r w:rsidRPr="000C3003">
        <w:rPr>
          <w:lang w:val="en-US"/>
        </w:rPr>
        <w:t xml:space="preserve"> Majid 2004; F. </w:t>
      </w:r>
      <w:proofErr w:type="spellStart"/>
      <w:r w:rsidRPr="000C3003">
        <w:rPr>
          <w:lang w:val="en-US"/>
        </w:rPr>
        <w:t>Dafalias</w:t>
      </w:r>
      <w:proofErr w:type="spellEnd"/>
      <w:r w:rsidRPr="000C3003">
        <w:rPr>
          <w:lang w:val="en-US"/>
        </w:rPr>
        <w:t xml:space="preserve"> and T. </w:t>
      </w:r>
      <w:proofErr w:type="spellStart"/>
      <w:r w:rsidRPr="000C3003">
        <w:rPr>
          <w:lang w:val="en-US"/>
        </w:rPr>
        <w:t>Manzari</w:t>
      </w:r>
      <w:proofErr w:type="spellEnd"/>
      <w:r w:rsidRPr="000C3003">
        <w:rPr>
          <w:lang w:val="en-US"/>
        </w:rPr>
        <w:t xml:space="preserve"> 1997) with the extensive development by Boulanger and </w:t>
      </w:r>
      <w:proofErr w:type="spellStart"/>
      <w:r w:rsidRPr="000C3003">
        <w:rPr>
          <w:lang w:val="en-US"/>
        </w:rPr>
        <w:t>Ziotopoulou</w:t>
      </w:r>
      <w:proofErr w:type="spellEnd"/>
      <w:r w:rsidRPr="000C3003">
        <w:rPr>
          <w:lang w:val="en-US"/>
        </w:rPr>
        <w:t xml:space="preserve"> (2015). There are various inherent advantages of using the PM4Sand model for the evaluation of dynamic properties of sand (e.g., proper stress-strain and pore pressure build-up simulations, acceptable approximation of empirical correlations used in practice, including the post-liquefaction settlements, precise simulation of the accumulation of shear strain and strength modulus reduction curves, easy forecast of a number of uniform cycles to cause initial liquefaction) (</w:t>
      </w:r>
      <w:proofErr w:type="spellStart"/>
      <w:r w:rsidRPr="000C3003">
        <w:rPr>
          <w:lang w:val="en-US"/>
        </w:rPr>
        <w:t>Vilhar</w:t>
      </w:r>
      <w:proofErr w:type="spellEnd"/>
      <w:r w:rsidRPr="000C3003">
        <w:rPr>
          <w:lang w:val="en-US"/>
        </w:rPr>
        <w:t xml:space="preserve"> et al. 2018). The PM4Sand has been used in many previous studies to analyze dynamic soil</w:t>
      </w:r>
      <w:r w:rsidR="00CB008D">
        <w:rPr>
          <w:lang w:val="en-US"/>
        </w:rPr>
        <w:t>-</w:t>
      </w:r>
      <w:r w:rsidRPr="000C3003">
        <w:rPr>
          <w:lang w:val="en-US"/>
        </w:rPr>
        <w:t xml:space="preserve">structure interactions with earthquake-induced soil liquefaction (Boulanger et al. 2018; Boulanger and Montgomery 2016; </w:t>
      </w:r>
      <w:proofErr w:type="spellStart"/>
      <w:r w:rsidRPr="000C3003">
        <w:rPr>
          <w:lang w:val="en-US"/>
        </w:rPr>
        <w:t>Vilhar</w:t>
      </w:r>
      <w:proofErr w:type="spellEnd"/>
      <w:r w:rsidRPr="000C3003">
        <w:rPr>
          <w:lang w:val="en-US"/>
        </w:rPr>
        <w:t xml:space="preserve"> et al. 2018; Zheng et al. 2021). In this study, input parameter values of clay and bedrock were adopted from a previous study by </w:t>
      </w:r>
      <w:proofErr w:type="spellStart"/>
      <w:r w:rsidRPr="000C3003">
        <w:rPr>
          <w:lang w:val="en-US"/>
        </w:rPr>
        <w:t>Vilhar</w:t>
      </w:r>
      <w:proofErr w:type="spellEnd"/>
      <w:r w:rsidRPr="000C3003">
        <w:rPr>
          <w:lang w:val="en-US"/>
        </w:rPr>
        <w:t xml:space="preserve"> et al. (2018). Input parameter values of the PM4Sand model were evaluated and calibrated based on the apparent relative density (D</w:t>
      </w:r>
      <w:r w:rsidRPr="000C3003">
        <w:rPr>
          <w:vertAlign w:val="subscript"/>
          <w:lang w:val="en-US"/>
        </w:rPr>
        <w:t>r</w:t>
      </w:r>
      <w:r w:rsidRPr="000C3003">
        <w:rPr>
          <w:lang w:val="en-US"/>
        </w:rPr>
        <w:t>) of sand, which is presented in detail in the report o</w:t>
      </w:r>
      <w:r w:rsidR="00AE1AE4">
        <w:rPr>
          <w:lang w:val="en-US"/>
        </w:rPr>
        <w:t>n</w:t>
      </w:r>
      <w:r w:rsidRPr="000C3003">
        <w:rPr>
          <w:lang w:val="en-US"/>
        </w:rPr>
        <w:t xml:space="preserve"> the PM4sand model by Boulanger and </w:t>
      </w:r>
      <w:proofErr w:type="spellStart"/>
      <w:r w:rsidRPr="000C3003">
        <w:rPr>
          <w:lang w:val="en-US"/>
        </w:rPr>
        <w:t>Ziotopoulou</w:t>
      </w:r>
      <w:proofErr w:type="spellEnd"/>
      <w:r w:rsidRPr="000C3003">
        <w:rPr>
          <w:lang w:val="en-US"/>
        </w:rPr>
        <w:t xml:space="preserve"> (2015). All input parameter values used in the numerical analyses are tabulated in Table 1. The continuous lining was characterized by the normal stiffness EA</w:t>
      </w:r>
      <w:r w:rsidR="00CB008D">
        <w:rPr>
          <w:lang w:val="en-US"/>
        </w:rPr>
        <w:t xml:space="preserve"> = </w:t>
      </w:r>
      <w:r w:rsidRPr="000C3003">
        <w:rPr>
          <w:lang w:val="en-US"/>
        </w:rPr>
        <w:t>1.4</w:t>
      </w:r>
      <w:r>
        <w:rPr>
          <w:lang w:val="en-US"/>
        </w:rPr>
        <w:t>x</w:t>
      </w:r>
      <w:r w:rsidRPr="000C3003">
        <w:rPr>
          <w:lang w:val="en-US"/>
        </w:rPr>
        <w:t xml:space="preserve">107 </w:t>
      </w:r>
      <w:proofErr w:type="spellStart"/>
      <w:r w:rsidRPr="000C3003">
        <w:rPr>
          <w:lang w:val="en-US"/>
        </w:rPr>
        <w:t>kN</w:t>
      </w:r>
      <w:proofErr w:type="spellEnd"/>
      <w:r w:rsidRPr="000C3003">
        <w:rPr>
          <w:lang w:val="en-US"/>
        </w:rPr>
        <w:t>/m, the flexural rigidity EI</w:t>
      </w:r>
      <w:r w:rsidR="00CB008D">
        <w:rPr>
          <w:lang w:val="en-US"/>
        </w:rPr>
        <w:t xml:space="preserve"> = </w:t>
      </w:r>
      <w:r w:rsidRPr="000C3003">
        <w:rPr>
          <w:lang w:val="en-US"/>
        </w:rPr>
        <w:t>1.4</w:t>
      </w:r>
      <w:r>
        <w:rPr>
          <w:lang w:val="en-US"/>
        </w:rPr>
        <w:t>x</w:t>
      </w:r>
      <w:r w:rsidRPr="000C3003">
        <w:rPr>
          <w:lang w:val="en-US"/>
        </w:rPr>
        <w:t>105 kNm</w:t>
      </w:r>
      <w:r w:rsidRPr="000C3003">
        <w:rPr>
          <w:vertAlign w:val="superscript"/>
          <w:lang w:val="en-US"/>
        </w:rPr>
        <w:t>2</w:t>
      </w:r>
      <w:r w:rsidRPr="000C3003">
        <w:rPr>
          <w:lang w:val="en-US"/>
        </w:rPr>
        <w:t>/m, weight w</w:t>
      </w:r>
      <w:r w:rsidR="00CB008D">
        <w:rPr>
          <w:lang w:val="en-US"/>
        </w:rPr>
        <w:t xml:space="preserve"> = </w:t>
      </w:r>
      <w:r w:rsidRPr="000C3003">
        <w:rPr>
          <w:lang w:val="en-US"/>
        </w:rPr>
        <w:t xml:space="preserve">8.4 </w:t>
      </w:r>
      <w:proofErr w:type="spellStart"/>
      <w:r w:rsidRPr="000C3003">
        <w:rPr>
          <w:lang w:val="en-US"/>
        </w:rPr>
        <w:t>kN</w:t>
      </w:r>
      <w:proofErr w:type="spellEnd"/>
      <w:r w:rsidRPr="000C3003">
        <w:rPr>
          <w:lang w:val="en-US"/>
        </w:rPr>
        <w:t>/m/m, lining thickness t</w:t>
      </w:r>
      <w:r w:rsidR="00CB008D">
        <w:rPr>
          <w:lang w:val="en-US"/>
        </w:rPr>
        <w:t xml:space="preserve"> = </w:t>
      </w:r>
      <w:r w:rsidRPr="000C3003">
        <w:rPr>
          <w:lang w:val="en-US"/>
        </w:rPr>
        <w:t>0.35 m, and the Poisson’</w:t>
      </w:r>
      <w:r w:rsidR="00AE1AE4">
        <w:rPr>
          <w:lang w:val="en-US"/>
        </w:rPr>
        <w:t xml:space="preserve"> </w:t>
      </w:r>
      <w:r w:rsidRPr="000C3003">
        <w:rPr>
          <w:lang w:val="en-US"/>
        </w:rPr>
        <w:t xml:space="preserve">ratio </w:t>
      </w:r>
      <w:r w:rsidRPr="000C3003">
        <w:rPr>
          <w:lang w:val="en-US"/>
        </w:rPr>
        <w:sym w:font="Symbol" w:char="F06E"/>
      </w:r>
      <w:r w:rsidR="00CB008D">
        <w:rPr>
          <w:lang w:val="en-US"/>
        </w:rPr>
        <w:t xml:space="preserve"> = </w:t>
      </w:r>
      <w:r w:rsidRPr="000C3003">
        <w:rPr>
          <w:lang w:val="en-US"/>
        </w:rPr>
        <w:t>0.15 (</w:t>
      </w:r>
      <w:proofErr w:type="spellStart"/>
      <w:r w:rsidRPr="000C3003">
        <w:rPr>
          <w:lang w:val="en-US"/>
        </w:rPr>
        <w:t>Brinkgreve</w:t>
      </w:r>
      <w:proofErr w:type="spellEnd"/>
      <w:r w:rsidRPr="000C3003">
        <w:rPr>
          <w:lang w:val="en-US"/>
        </w:rPr>
        <w:t xml:space="preserve"> et al. 2011).</w:t>
      </w:r>
    </w:p>
    <w:p w14:paraId="47BFB02D" w14:textId="63ECB8EF" w:rsidR="00AC3951" w:rsidRDefault="00C06935" w:rsidP="000C3003">
      <w:pPr>
        <w:pStyle w:val="Nidungbi"/>
        <w:rPr>
          <w:lang w:val="en-US"/>
        </w:rPr>
      </w:pPr>
      <w:r>
        <w:rPr>
          <w:noProof/>
          <w:lang w:val="en-US"/>
        </w:rPr>
        <mc:AlternateContent>
          <mc:Choice Requires="wps">
            <w:drawing>
              <wp:anchor distT="0" distB="0" distL="114300" distR="114300" simplePos="0" relativeHeight="252175360" behindDoc="0" locked="0" layoutInCell="1" allowOverlap="1" wp14:anchorId="36EF12D0" wp14:editId="25F00165">
                <wp:simplePos x="0" y="0"/>
                <wp:positionH relativeFrom="column">
                  <wp:posOffset>-15240</wp:posOffset>
                </wp:positionH>
                <wp:positionV relativeFrom="paragraph">
                  <wp:posOffset>90896</wp:posOffset>
                </wp:positionV>
                <wp:extent cx="2884714" cy="396000"/>
                <wp:effectExtent l="0" t="0" r="11430" b="4445"/>
                <wp:wrapNone/>
                <wp:docPr id="55" name="Text Box 55"/>
                <wp:cNvGraphicFramePr/>
                <a:graphic xmlns:a="http://schemas.openxmlformats.org/drawingml/2006/main">
                  <a:graphicData uri="http://schemas.microsoft.com/office/word/2010/wordprocessingShape">
                    <wps:wsp>
                      <wps:cNvSpPr txBox="1"/>
                      <wps:spPr>
                        <a:xfrm>
                          <a:off x="0" y="0"/>
                          <a:ext cx="2884714" cy="396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21F0BB" w14:textId="5D53711E" w:rsidR="00C06935" w:rsidRDefault="00C06935" w:rsidP="004B28C5">
                            <w:pPr>
                              <w:pStyle w:val="Chthchhnh"/>
                            </w:pPr>
                            <w:r w:rsidRPr="00C06935">
                              <w:t>Table 1. Parameter values of used in the numerical analyses.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6EF12D0" id="Text Box 55" o:spid="_x0000_s1029" type="#_x0000_t202" style="position:absolute;left:0;text-align:left;margin-left:-1.2pt;margin-top:7.15pt;width:227.15pt;height:31.2pt;z-index:252175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" filled="f" stroked="f" strokeweight=".5pt">
                <v:textbox inset="0,0,0,0">
                  <w:txbxContent>
                    <w:p w14:paraId="1321F0BB" w14:textId="5D53711E" w:rsidR="00C06935" w:rsidRDefault="00C06935" w:rsidP="004B28C5">
                      <w:pPr>
                        <w:pStyle w:val="Chthchhnh"/>
                      </w:pPr>
                      <w:r w:rsidRPr="00C06935">
                        <w:t>Table 1. Parameter values of used in the numerical analyses.</w:t>
                      </w:r>
                    </w:p>
                  </w:txbxContent>
                </v:textbox>
              </v:shape>
            </w:pict>
          </mc:Fallback>
        </mc:AlternateContent>
      </w:r>
    </w:p>
    <w:p w14:paraId="6AF30CC1" w14:textId="77777777" w:rsidR="00C06935" w:rsidRDefault="00C06935" w:rsidP="000C3003">
      <w:pPr>
        <w:pStyle w:val="Nidungbi"/>
        <w:rPr>
          <w:lang w:val="en-US"/>
        </w:rPr>
      </w:pPr>
    </w:p>
    <w:p w14:paraId="1FD69C32" w14:textId="29E8A6CB" w:rsidR="00AC3951" w:rsidRDefault="00AC3951" w:rsidP="004B28C5">
      <w:pPr>
        <w:pStyle w:val="Chthchhnh"/>
      </w:pPr>
    </w:p>
    <w:tbl>
      <w:tblPr>
        <w:tblW w:w="51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69"/>
        <w:gridCol w:w="582"/>
        <w:gridCol w:w="611"/>
        <w:gridCol w:w="526"/>
        <w:gridCol w:w="710"/>
      </w:tblGrid>
      <w:tr w:rsidR="00C06935" w:rsidRPr="00C06935" w14:paraId="333F9E8C" w14:textId="77777777" w:rsidTr="00C06935">
        <w:trPr>
          <w:trHeight w:val="268"/>
        </w:trPr>
        <w:tc>
          <w:tcPr>
            <w:tcW w:w="2358" w:type="pct"/>
            <w:shd w:val="clear" w:color="auto" w:fill="auto"/>
            <w:noWrap/>
            <w:vAlign w:val="center"/>
            <w:hideMark/>
          </w:tcPr>
          <w:p w14:paraId="039D015D" w14:textId="77777777" w:rsidR="00AC3951" w:rsidRPr="00C06935" w:rsidRDefault="00AC3951" w:rsidP="00C06935">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Parameter</w:t>
            </w:r>
          </w:p>
        </w:tc>
        <w:tc>
          <w:tcPr>
            <w:tcW w:w="633" w:type="pct"/>
            <w:shd w:val="clear" w:color="auto" w:fill="auto"/>
            <w:vAlign w:val="center"/>
            <w:hideMark/>
          </w:tcPr>
          <w:p w14:paraId="65F347C7" w14:textId="118B302D" w:rsidR="00AC3951" w:rsidRPr="00C06935" w:rsidRDefault="00AC3951" w:rsidP="00C06935">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Bed</w:t>
            </w:r>
            <w:r w:rsidR="00C06935" w:rsidRPr="00C06935">
              <w:rPr>
                <w:rFonts w:ascii="Cambria" w:eastAsia="Times New Roman" w:hAnsi="Cambria"/>
                <w:color w:val="000000"/>
                <w:sz w:val="19"/>
                <w:szCs w:val="19"/>
                <w:lang w:val="sv-SE" w:eastAsia="sv-SE"/>
              </w:rPr>
              <w:t xml:space="preserve"> </w:t>
            </w:r>
            <w:r w:rsidRPr="00C06935">
              <w:rPr>
                <w:rFonts w:ascii="Cambria" w:eastAsia="Times New Roman" w:hAnsi="Cambria"/>
                <w:color w:val="000000"/>
                <w:sz w:val="19"/>
                <w:szCs w:val="19"/>
                <w:lang w:val="sv-SE" w:eastAsia="sv-SE"/>
              </w:rPr>
              <w:t>rock</w:t>
            </w:r>
          </w:p>
        </w:tc>
        <w:tc>
          <w:tcPr>
            <w:tcW w:w="664" w:type="pct"/>
            <w:shd w:val="clear" w:color="auto" w:fill="auto"/>
            <w:vAlign w:val="center"/>
            <w:hideMark/>
          </w:tcPr>
          <w:p w14:paraId="4115946E"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Clay</w:t>
            </w:r>
          </w:p>
        </w:tc>
        <w:tc>
          <w:tcPr>
            <w:tcW w:w="572" w:type="pct"/>
            <w:vAlign w:val="center"/>
          </w:tcPr>
          <w:p w14:paraId="73EC1274" w14:textId="3D72CEA4"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Sand</w:t>
            </w:r>
          </w:p>
        </w:tc>
        <w:tc>
          <w:tcPr>
            <w:tcW w:w="772" w:type="pct"/>
            <w:shd w:val="clear" w:color="auto" w:fill="auto"/>
            <w:noWrap/>
            <w:vAlign w:val="center"/>
            <w:hideMark/>
          </w:tcPr>
          <w:p w14:paraId="428CEBD2"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Unit</w:t>
            </w:r>
          </w:p>
        </w:tc>
      </w:tr>
      <w:tr w:rsidR="00C06935" w:rsidRPr="00C06935" w14:paraId="0303DE1D" w14:textId="77777777" w:rsidTr="00C06935">
        <w:trPr>
          <w:trHeight w:val="260"/>
        </w:trPr>
        <w:tc>
          <w:tcPr>
            <w:tcW w:w="2358" w:type="pct"/>
            <w:shd w:val="clear" w:color="auto" w:fill="auto"/>
            <w:noWrap/>
            <w:vAlign w:val="center"/>
          </w:tcPr>
          <w:p w14:paraId="2AB230BC" w14:textId="77777777" w:rsidR="00AC3951"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Constitutive model</w:t>
            </w:r>
          </w:p>
        </w:tc>
        <w:tc>
          <w:tcPr>
            <w:tcW w:w="633" w:type="pct"/>
            <w:shd w:val="clear" w:color="auto" w:fill="auto"/>
            <w:noWrap/>
            <w:vAlign w:val="center"/>
          </w:tcPr>
          <w:p w14:paraId="110467E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LE</w:t>
            </w:r>
          </w:p>
        </w:tc>
        <w:tc>
          <w:tcPr>
            <w:tcW w:w="664" w:type="pct"/>
            <w:shd w:val="clear" w:color="auto" w:fill="auto"/>
            <w:noWrap/>
            <w:vAlign w:val="center"/>
          </w:tcPr>
          <w:p w14:paraId="7112C6F5"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HS small</w:t>
            </w:r>
          </w:p>
        </w:tc>
        <w:tc>
          <w:tcPr>
            <w:tcW w:w="572" w:type="pct"/>
            <w:vAlign w:val="center"/>
          </w:tcPr>
          <w:p w14:paraId="78678E20" w14:textId="4FF6B2C2"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PM4 sand</w:t>
            </w:r>
          </w:p>
        </w:tc>
        <w:tc>
          <w:tcPr>
            <w:tcW w:w="772" w:type="pct"/>
            <w:shd w:val="clear" w:color="auto" w:fill="auto"/>
            <w:noWrap/>
            <w:vAlign w:val="center"/>
          </w:tcPr>
          <w:p w14:paraId="37C45BD5"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5FEF846D" w14:textId="77777777" w:rsidTr="00C06935">
        <w:trPr>
          <w:trHeight w:val="65"/>
        </w:trPr>
        <w:tc>
          <w:tcPr>
            <w:tcW w:w="2358" w:type="pct"/>
            <w:shd w:val="clear" w:color="auto" w:fill="auto"/>
            <w:noWrap/>
            <w:vAlign w:val="center"/>
            <w:hideMark/>
          </w:tcPr>
          <w:p w14:paraId="466CA8F2" w14:textId="77777777" w:rsidR="00AC3951" w:rsidRPr="00C06935" w:rsidRDefault="00AC3951" w:rsidP="00C06935">
            <w:pPr>
              <w:rPr>
                <w:rFonts w:ascii="Cambria" w:eastAsia="Times New Roman" w:hAnsi="Cambria"/>
                <w:color w:val="000000"/>
                <w:sz w:val="19"/>
                <w:szCs w:val="19"/>
              </w:rPr>
            </w:pPr>
            <w:r w:rsidRPr="00C06935">
              <w:rPr>
                <w:rFonts w:ascii="Cambria" w:eastAsia="Times New Roman" w:hAnsi="Cambria"/>
                <w:color w:val="000000"/>
                <w:sz w:val="19"/>
                <w:szCs w:val="19"/>
                <w:lang w:eastAsia="sv-SE"/>
              </w:rPr>
              <w:t>Saturated unit weight</w:t>
            </w:r>
          </w:p>
        </w:tc>
        <w:tc>
          <w:tcPr>
            <w:tcW w:w="633" w:type="pct"/>
            <w:shd w:val="clear" w:color="auto" w:fill="auto"/>
            <w:noWrap/>
            <w:vAlign w:val="center"/>
            <w:hideMark/>
          </w:tcPr>
          <w:p w14:paraId="519A1E69"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22</w:t>
            </w:r>
          </w:p>
        </w:tc>
        <w:tc>
          <w:tcPr>
            <w:tcW w:w="664" w:type="pct"/>
            <w:shd w:val="clear" w:color="auto" w:fill="auto"/>
            <w:noWrap/>
            <w:vAlign w:val="center"/>
            <w:hideMark/>
          </w:tcPr>
          <w:p w14:paraId="208D9277"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21</w:t>
            </w:r>
          </w:p>
        </w:tc>
        <w:tc>
          <w:tcPr>
            <w:tcW w:w="572" w:type="pct"/>
            <w:vAlign w:val="center"/>
          </w:tcPr>
          <w:p w14:paraId="72389D6B"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18</w:t>
            </w:r>
          </w:p>
        </w:tc>
        <w:tc>
          <w:tcPr>
            <w:tcW w:w="772" w:type="pct"/>
            <w:shd w:val="clear" w:color="auto" w:fill="auto"/>
            <w:noWrap/>
            <w:vAlign w:val="center"/>
            <w:hideMark/>
          </w:tcPr>
          <w:p w14:paraId="00FC08F0"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3</w:t>
            </w:r>
          </w:p>
        </w:tc>
      </w:tr>
      <w:tr w:rsidR="00C06935" w:rsidRPr="00C06935" w14:paraId="36DF9164" w14:textId="77777777" w:rsidTr="00C06935">
        <w:trPr>
          <w:trHeight w:val="65"/>
        </w:trPr>
        <w:tc>
          <w:tcPr>
            <w:tcW w:w="2358" w:type="pct"/>
            <w:shd w:val="clear" w:color="auto" w:fill="auto"/>
            <w:noWrap/>
            <w:vAlign w:val="center"/>
          </w:tcPr>
          <w:p w14:paraId="02B82E02" w14:textId="77777777" w:rsidR="00AC3951"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Unsaturated unit weight</w:t>
            </w:r>
          </w:p>
        </w:tc>
        <w:tc>
          <w:tcPr>
            <w:tcW w:w="633" w:type="pct"/>
            <w:shd w:val="clear" w:color="auto" w:fill="auto"/>
            <w:noWrap/>
            <w:vAlign w:val="center"/>
          </w:tcPr>
          <w:p w14:paraId="6EC9AA96"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22</w:t>
            </w:r>
          </w:p>
        </w:tc>
        <w:tc>
          <w:tcPr>
            <w:tcW w:w="664" w:type="pct"/>
            <w:shd w:val="clear" w:color="auto" w:fill="auto"/>
            <w:noWrap/>
            <w:vAlign w:val="center"/>
          </w:tcPr>
          <w:p w14:paraId="49A22E9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19</w:t>
            </w:r>
          </w:p>
        </w:tc>
        <w:tc>
          <w:tcPr>
            <w:tcW w:w="572" w:type="pct"/>
            <w:vAlign w:val="center"/>
          </w:tcPr>
          <w:p w14:paraId="6DE2F9A6"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14</w:t>
            </w:r>
          </w:p>
        </w:tc>
        <w:tc>
          <w:tcPr>
            <w:tcW w:w="772" w:type="pct"/>
            <w:shd w:val="clear" w:color="auto" w:fill="auto"/>
            <w:noWrap/>
            <w:vAlign w:val="center"/>
          </w:tcPr>
          <w:p w14:paraId="3790537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3</w:t>
            </w:r>
          </w:p>
        </w:tc>
      </w:tr>
      <w:tr w:rsidR="00C06935" w:rsidRPr="00C06935" w14:paraId="1B85F205" w14:textId="77777777" w:rsidTr="00C06935">
        <w:trPr>
          <w:trHeight w:val="65"/>
        </w:trPr>
        <w:tc>
          <w:tcPr>
            <w:tcW w:w="2358" w:type="pct"/>
            <w:shd w:val="clear" w:color="auto" w:fill="auto"/>
            <w:vAlign w:val="center"/>
            <w:hideMark/>
          </w:tcPr>
          <w:p w14:paraId="39D97EE6" w14:textId="77777777" w:rsidR="00AC3951" w:rsidRPr="00C06935" w:rsidRDefault="00AC3951" w:rsidP="00C06935">
            <w:pP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Young’s modulus</w:t>
            </w:r>
          </w:p>
        </w:tc>
        <w:tc>
          <w:tcPr>
            <w:tcW w:w="633" w:type="pct"/>
            <w:shd w:val="clear" w:color="auto" w:fill="auto"/>
            <w:noWrap/>
            <w:vAlign w:val="center"/>
            <w:hideMark/>
          </w:tcPr>
          <w:p w14:paraId="67E601AA"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8</w:t>
            </w:r>
            <w:r w:rsidRPr="00C06935">
              <w:rPr>
                <w:rFonts w:ascii="Cambria" w:eastAsia="SimSun" w:hAnsi="Cambria"/>
                <w:color w:val="000000"/>
                <w:sz w:val="19"/>
                <w:szCs w:val="19"/>
              </w:rPr>
              <w:t>×10</w:t>
            </w:r>
            <w:r w:rsidRPr="00C06935">
              <w:rPr>
                <w:rFonts w:ascii="Cambria" w:eastAsia="SimSun" w:hAnsi="Cambria"/>
                <w:color w:val="000000"/>
                <w:sz w:val="19"/>
                <w:szCs w:val="19"/>
                <w:vertAlign w:val="superscript"/>
              </w:rPr>
              <w:t>6</w:t>
            </w:r>
          </w:p>
        </w:tc>
        <w:tc>
          <w:tcPr>
            <w:tcW w:w="664" w:type="pct"/>
            <w:shd w:val="clear" w:color="auto" w:fill="auto"/>
            <w:noWrap/>
            <w:vAlign w:val="center"/>
            <w:hideMark/>
          </w:tcPr>
          <w:p w14:paraId="7DDAB4DD"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w:t>
            </w:r>
          </w:p>
        </w:tc>
        <w:tc>
          <w:tcPr>
            <w:tcW w:w="572" w:type="pct"/>
            <w:vAlign w:val="center"/>
          </w:tcPr>
          <w:p w14:paraId="4A5987E2"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hideMark/>
          </w:tcPr>
          <w:p w14:paraId="67BEBDD8"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2</w:t>
            </w:r>
          </w:p>
        </w:tc>
      </w:tr>
      <w:tr w:rsidR="00C06935" w:rsidRPr="00C06935" w14:paraId="4A5B0572" w14:textId="77777777" w:rsidTr="00C06935">
        <w:trPr>
          <w:trHeight w:val="65"/>
        </w:trPr>
        <w:tc>
          <w:tcPr>
            <w:tcW w:w="2358" w:type="pct"/>
            <w:shd w:val="clear" w:color="auto" w:fill="auto"/>
            <w:noWrap/>
            <w:vAlign w:val="center"/>
          </w:tcPr>
          <w:p w14:paraId="7CA26887"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Poisson’s ratio</w:t>
            </w:r>
          </w:p>
        </w:tc>
        <w:tc>
          <w:tcPr>
            <w:tcW w:w="633" w:type="pct"/>
            <w:shd w:val="clear" w:color="auto" w:fill="auto"/>
            <w:noWrap/>
            <w:vAlign w:val="center"/>
          </w:tcPr>
          <w:p w14:paraId="7D910484"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0.2</w:t>
            </w:r>
          </w:p>
        </w:tc>
        <w:tc>
          <w:tcPr>
            <w:tcW w:w="664" w:type="pct"/>
            <w:shd w:val="clear" w:color="auto" w:fill="auto"/>
            <w:noWrap/>
            <w:vAlign w:val="center"/>
          </w:tcPr>
          <w:p w14:paraId="3F67375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0.2</w:t>
            </w:r>
          </w:p>
        </w:tc>
        <w:tc>
          <w:tcPr>
            <w:tcW w:w="572" w:type="pct"/>
            <w:vAlign w:val="center"/>
          </w:tcPr>
          <w:p w14:paraId="75C3A48D"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0.3</w:t>
            </w:r>
          </w:p>
        </w:tc>
        <w:tc>
          <w:tcPr>
            <w:tcW w:w="772" w:type="pct"/>
            <w:shd w:val="clear" w:color="auto" w:fill="auto"/>
            <w:noWrap/>
            <w:vAlign w:val="center"/>
          </w:tcPr>
          <w:p w14:paraId="6D8CB725"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6AEFFECB" w14:textId="77777777" w:rsidTr="00C06935">
        <w:trPr>
          <w:trHeight w:val="65"/>
        </w:trPr>
        <w:tc>
          <w:tcPr>
            <w:tcW w:w="2358" w:type="pct"/>
            <w:shd w:val="clear" w:color="auto" w:fill="auto"/>
            <w:noWrap/>
            <w:vAlign w:val="center"/>
            <w:hideMark/>
          </w:tcPr>
          <w:p w14:paraId="20ECBBC2" w14:textId="77777777" w:rsidR="00AC3951" w:rsidRPr="00C06935" w:rsidRDefault="00AC3951" w:rsidP="00C06935">
            <w:pP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Cohesion</w:t>
            </w:r>
          </w:p>
        </w:tc>
        <w:tc>
          <w:tcPr>
            <w:tcW w:w="633" w:type="pct"/>
            <w:shd w:val="clear" w:color="auto" w:fill="auto"/>
            <w:noWrap/>
            <w:vAlign w:val="center"/>
            <w:hideMark/>
          </w:tcPr>
          <w:p w14:paraId="34EBD70C"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hideMark/>
          </w:tcPr>
          <w:p w14:paraId="56A5AB78"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26</w:t>
            </w:r>
          </w:p>
        </w:tc>
        <w:tc>
          <w:tcPr>
            <w:tcW w:w="572" w:type="pct"/>
            <w:vAlign w:val="center"/>
          </w:tcPr>
          <w:p w14:paraId="2CAFF8B5"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hideMark/>
          </w:tcPr>
          <w:p w14:paraId="75E4F09F"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2</w:t>
            </w:r>
          </w:p>
        </w:tc>
      </w:tr>
      <w:tr w:rsidR="00C06935" w:rsidRPr="00C06935" w14:paraId="6EA4ADE3" w14:textId="77777777" w:rsidTr="00C06935">
        <w:trPr>
          <w:trHeight w:val="65"/>
        </w:trPr>
        <w:tc>
          <w:tcPr>
            <w:tcW w:w="2358" w:type="pct"/>
            <w:shd w:val="clear" w:color="auto" w:fill="auto"/>
            <w:noWrap/>
            <w:vAlign w:val="center"/>
            <w:hideMark/>
          </w:tcPr>
          <w:p w14:paraId="140E957B" w14:textId="77777777" w:rsidR="00AC3951" w:rsidRPr="00C06935" w:rsidRDefault="00AC3951" w:rsidP="00C06935">
            <w:pP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Friction angle</w:t>
            </w:r>
          </w:p>
        </w:tc>
        <w:tc>
          <w:tcPr>
            <w:tcW w:w="633" w:type="pct"/>
            <w:shd w:val="clear" w:color="auto" w:fill="auto"/>
            <w:noWrap/>
            <w:vAlign w:val="center"/>
            <w:hideMark/>
          </w:tcPr>
          <w:p w14:paraId="0E893A2C"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hideMark/>
          </w:tcPr>
          <w:p w14:paraId="41895D16"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35</w:t>
            </w:r>
          </w:p>
        </w:tc>
        <w:tc>
          <w:tcPr>
            <w:tcW w:w="572" w:type="pct"/>
            <w:vAlign w:val="center"/>
          </w:tcPr>
          <w:p w14:paraId="4DC4EA2F"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33</w:t>
            </w:r>
          </w:p>
        </w:tc>
        <w:tc>
          <w:tcPr>
            <w:tcW w:w="772" w:type="pct"/>
            <w:shd w:val="clear" w:color="auto" w:fill="auto"/>
            <w:noWrap/>
            <w:vAlign w:val="center"/>
            <w:hideMark/>
          </w:tcPr>
          <w:p w14:paraId="1658FB12" w14:textId="77777777" w:rsidR="00AC3951" w:rsidRPr="00C06935" w:rsidRDefault="00AC3951" w:rsidP="00AC3951">
            <w:pPr>
              <w:jc w:val="center"/>
              <w:rPr>
                <w:rFonts w:ascii="Cambria" w:eastAsia="Times New Roman" w:hAnsi="Cambria"/>
                <w:color w:val="000000"/>
                <w:sz w:val="19"/>
                <w:szCs w:val="19"/>
              </w:rPr>
            </w:pPr>
            <w:r w:rsidRPr="00C06935">
              <w:rPr>
                <w:rFonts w:ascii="Cambria" w:eastAsia="Times New Roman" w:hAnsi="Cambria"/>
                <w:color w:val="000000"/>
                <w:sz w:val="19"/>
                <w:szCs w:val="19"/>
                <w:lang w:val="sv-SE" w:eastAsia="sv-SE"/>
              </w:rPr>
              <w:t>degrees</w:t>
            </w:r>
          </w:p>
        </w:tc>
      </w:tr>
      <w:tr w:rsidR="00C06935" w:rsidRPr="00C06935" w14:paraId="56C48B6F" w14:textId="77777777" w:rsidTr="00C06935">
        <w:trPr>
          <w:trHeight w:val="300"/>
        </w:trPr>
        <w:tc>
          <w:tcPr>
            <w:tcW w:w="2358" w:type="pct"/>
            <w:shd w:val="clear" w:color="auto" w:fill="auto"/>
            <w:noWrap/>
            <w:vAlign w:val="center"/>
          </w:tcPr>
          <w:p w14:paraId="3EAFE130" w14:textId="77777777" w:rsidR="00AC3951"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Secant stiffness in standard drained triaxial test</w:t>
            </w:r>
          </w:p>
        </w:tc>
        <w:tc>
          <w:tcPr>
            <w:tcW w:w="633" w:type="pct"/>
            <w:shd w:val="clear" w:color="auto" w:fill="auto"/>
            <w:noWrap/>
            <w:vAlign w:val="center"/>
          </w:tcPr>
          <w:p w14:paraId="7C5ED4D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5D1907BD"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9000</w:t>
            </w:r>
          </w:p>
        </w:tc>
        <w:tc>
          <w:tcPr>
            <w:tcW w:w="572" w:type="pct"/>
            <w:vAlign w:val="center"/>
          </w:tcPr>
          <w:p w14:paraId="244AB56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tcPr>
          <w:p w14:paraId="611DFECB"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2</w:t>
            </w:r>
          </w:p>
        </w:tc>
      </w:tr>
      <w:tr w:rsidR="00C06935" w:rsidRPr="00C06935" w14:paraId="6D330995" w14:textId="77777777" w:rsidTr="00C06935">
        <w:trPr>
          <w:trHeight w:val="300"/>
        </w:trPr>
        <w:tc>
          <w:tcPr>
            <w:tcW w:w="2358" w:type="pct"/>
            <w:shd w:val="clear" w:color="auto" w:fill="auto"/>
            <w:noWrap/>
            <w:vAlign w:val="center"/>
          </w:tcPr>
          <w:p w14:paraId="4D260B6C" w14:textId="77777777" w:rsidR="00AC3951"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Tangent stiffness for primary oedometer loading</w:t>
            </w:r>
          </w:p>
        </w:tc>
        <w:tc>
          <w:tcPr>
            <w:tcW w:w="633" w:type="pct"/>
            <w:shd w:val="clear" w:color="auto" w:fill="auto"/>
            <w:noWrap/>
            <w:vAlign w:val="center"/>
          </w:tcPr>
          <w:p w14:paraId="47910FDE"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231A8520"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9000</w:t>
            </w:r>
          </w:p>
        </w:tc>
        <w:tc>
          <w:tcPr>
            <w:tcW w:w="572" w:type="pct"/>
            <w:vAlign w:val="center"/>
          </w:tcPr>
          <w:p w14:paraId="4B71EF6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tcPr>
          <w:p w14:paraId="6CFAD10E"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2</w:t>
            </w:r>
          </w:p>
        </w:tc>
      </w:tr>
      <w:tr w:rsidR="00C06935" w:rsidRPr="00C06935" w14:paraId="7DF7C669" w14:textId="77777777" w:rsidTr="00C06935">
        <w:trPr>
          <w:trHeight w:val="300"/>
        </w:trPr>
        <w:tc>
          <w:tcPr>
            <w:tcW w:w="2358" w:type="pct"/>
            <w:shd w:val="clear" w:color="auto" w:fill="auto"/>
            <w:noWrap/>
            <w:vAlign w:val="center"/>
          </w:tcPr>
          <w:p w14:paraId="5A0390F0" w14:textId="033E94A5"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Unloading</w:t>
            </w:r>
            <w:r w:rsidR="00C06935" w:rsidRPr="00C06935">
              <w:rPr>
                <w:rFonts w:ascii="Cambria" w:eastAsia="Times New Roman" w:hAnsi="Cambria"/>
                <w:color w:val="000000"/>
                <w:sz w:val="19"/>
                <w:szCs w:val="19"/>
                <w:lang w:val="sv-SE" w:eastAsia="sv-SE"/>
              </w:rPr>
              <w:t xml:space="preserve"> </w:t>
            </w:r>
            <w:r w:rsidRPr="00C06935">
              <w:rPr>
                <w:rFonts w:ascii="Cambria" w:eastAsia="Times New Roman" w:hAnsi="Cambria"/>
                <w:color w:val="000000"/>
                <w:sz w:val="19"/>
                <w:szCs w:val="19"/>
                <w:lang w:val="sv-SE" w:eastAsia="sv-SE"/>
              </w:rPr>
              <w:t>-</w:t>
            </w:r>
            <w:r w:rsidR="00C06935" w:rsidRPr="00C06935">
              <w:rPr>
                <w:rFonts w:ascii="Cambria" w:eastAsia="Times New Roman" w:hAnsi="Cambria"/>
                <w:color w:val="000000"/>
                <w:sz w:val="19"/>
                <w:szCs w:val="19"/>
                <w:lang w:val="sv-SE" w:eastAsia="sv-SE"/>
              </w:rPr>
              <w:t xml:space="preserve"> </w:t>
            </w:r>
            <w:r w:rsidRPr="00C06935">
              <w:rPr>
                <w:rFonts w:ascii="Cambria" w:eastAsia="Times New Roman" w:hAnsi="Cambria"/>
                <w:color w:val="000000"/>
                <w:sz w:val="19"/>
                <w:szCs w:val="19"/>
                <w:lang w:val="sv-SE" w:eastAsia="sv-SE"/>
              </w:rPr>
              <w:t>reloading stiffness</w:t>
            </w:r>
          </w:p>
        </w:tc>
        <w:tc>
          <w:tcPr>
            <w:tcW w:w="633" w:type="pct"/>
            <w:shd w:val="clear" w:color="auto" w:fill="auto"/>
            <w:noWrap/>
            <w:vAlign w:val="center"/>
          </w:tcPr>
          <w:p w14:paraId="55DC321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7B7B3DBA"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27000</w:t>
            </w:r>
          </w:p>
        </w:tc>
        <w:tc>
          <w:tcPr>
            <w:tcW w:w="572" w:type="pct"/>
            <w:vAlign w:val="center"/>
          </w:tcPr>
          <w:p w14:paraId="41FBF571"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tcPr>
          <w:p w14:paraId="7A03C70A"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2</w:t>
            </w:r>
          </w:p>
        </w:tc>
      </w:tr>
      <w:tr w:rsidR="00C06935" w:rsidRPr="00C06935" w14:paraId="5FDA4566" w14:textId="77777777" w:rsidTr="00C06935">
        <w:trPr>
          <w:trHeight w:val="300"/>
        </w:trPr>
        <w:tc>
          <w:tcPr>
            <w:tcW w:w="2358" w:type="pct"/>
            <w:shd w:val="clear" w:color="auto" w:fill="auto"/>
            <w:noWrap/>
            <w:vAlign w:val="center"/>
          </w:tcPr>
          <w:p w14:paraId="2583AD0C" w14:textId="77777777" w:rsidR="00AC3951"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Power for stress-level dependency of stiffness</w:t>
            </w:r>
          </w:p>
        </w:tc>
        <w:tc>
          <w:tcPr>
            <w:tcW w:w="633" w:type="pct"/>
            <w:shd w:val="clear" w:color="auto" w:fill="auto"/>
            <w:noWrap/>
            <w:vAlign w:val="center"/>
          </w:tcPr>
          <w:p w14:paraId="4792656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5649C5B0"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1</w:t>
            </w:r>
          </w:p>
        </w:tc>
        <w:tc>
          <w:tcPr>
            <w:tcW w:w="572" w:type="pct"/>
            <w:vAlign w:val="center"/>
          </w:tcPr>
          <w:p w14:paraId="6731C88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tcPr>
          <w:p w14:paraId="7BE6C9D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5D25888C" w14:textId="77777777" w:rsidTr="00C06935">
        <w:trPr>
          <w:trHeight w:val="300"/>
        </w:trPr>
        <w:tc>
          <w:tcPr>
            <w:tcW w:w="2358" w:type="pct"/>
            <w:shd w:val="clear" w:color="auto" w:fill="auto"/>
            <w:noWrap/>
            <w:vAlign w:val="center"/>
          </w:tcPr>
          <w:p w14:paraId="53A5437A" w14:textId="77777777" w:rsidR="00AC3951"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Shear modulus at very small strains</w:t>
            </w:r>
          </w:p>
        </w:tc>
        <w:tc>
          <w:tcPr>
            <w:tcW w:w="633" w:type="pct"/>
            <w:shd w:val="clear" w:color="auto" w:fill="auto"/>
            <w:noWrap/>
            <w:vAlign w:val="center"/>
          </w:tcPr>
          <w:p w14:paraId="061A8EF8"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43EB65EF"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60000</w:t>
            </w:r>
          </w:p>
        </w:tc>
        <w:tc>
          <w:tcPr>
            <w:tcW w:w="572" w:type="pct"/>
            <w:vAlign w:val="center"/>
          </w:tcPr>
          <w:p w14:paraId="38B25140"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tcPr>
          <w:p w14:paraId="2BE3CC68"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2</w:t>
            </w:r>
          </w:p>
        </w:tc>
      </w:tr>
      <w:tr w:rsidR="00C06935" w:rsidRPr="00C06935" w14:paraId="4D3CD42E" w14:textId="77777777" w:rsidTr="00C06935">
        <w:trPr>
          <w:trHeight w:val="300"/>
        </w:trPr>
        <w:tc>
          <w:tcPr>
            <w:tcW w:w="2358" w:type="pct"/>
            <w:shd w:val="clear" w:color="auto" w:fill="auto"/>
            <w:noWrap/>
            <w:vAlign w:val="center"/>
          </w:tcPr>
          <w:p w14:paraId="12D939E3" w14:textId="77777777" w:rsidR="00C06935"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Shear strain at which</w:t>
            </w:r>
          </w:p>
          <w:p w14:paraId="03F449BD" w14:textId="1EC22D89" w:rsidR="00AC3951" w:rsidRPr="00C06935" w:rsidRDefault="00AC3951" w:rsidP="00C06935">
            <w:pPr>
              <w:rPr>
                <w:rFonts w:ascii="Cambria" w:eastAsia="Times New Roman" w:hAnsi="Cambria"/>
                <w:color w:val="000000"/>
                <w:sz w:val="19"/>
                <w:szCs w:val="19"/>
                <w:lang w:eastAsia="sv-SE"/>
              </w:rPr>
            </w:pPr>
            <w:proofErr w:type="spellStart"/>
            <w:r w:rsidRPr="00C06935">
              <w:rPr>
                <w:rFonts w:ascii="Cambria" w:eastAsia="Times New Roman" w:hAnsi="Cambria"/>
                <w:color w:val="000000"/>
                <w:sz w:val="19"/>
                <w:szCs w:val="19"/>
                <w:lang w:eastAsia="sv-SE"/>
              </w:rPr>
              <w:t>G</w:t>
            </w:r>
            <w:r w:rsidRPr="00C06935">
              <w:rPr>
                <w:rFonts w:ascii="Cambria" w:eastAsia="Times New Roman" w:hAnsi="Cambria"/>
                <w:color w:val="000000"/>
                <w:sz w:val="19"/>
                <w:szCs w:val="19"/>
                <w:vertAlign w:val="subscript"/>
                <w:lang w:eastAsia="sv-SE"/>
              </w:rPr>
              <w:t>s</w:t>
            </w:r>
            <w:proofErr w:type="spellEnd"/>
            <w:r w:rsidRPr="00C06935">
              <w:rPr>
                <w:rFonts w:ascii="Cambria" w:eastAsia="Times New Roman" w:hAnsi="Cambria"/>
                <w:color w:val="000000"/>
                <w:sz w:val="19"/>
                <w:szCs w:val="19"/>
                <w:lang w:eastAsia="sv-SE"/>
              </w:rPr>
              <w:t xml:space="preserve"> = 0.722 G</w:t>
            </w:r>
            <w:r w:rsidRPr="00C06935">
              <w:rPr>
                <w:rFonts w:ascii="Cambria" w:eastAsia="Times New Roman" w:hAnsi="Cambria"/>
                <w:color w:val="000000"/>
                <w:sz w:val="19"/>
                <w:szCs w:val="19"/>
                <w:vertAlign w:val="subscript"/>
                <w:lang w:eastAsia="sv-SE"/>
              </w:rPr>
              <w:t>0</w:t>
            </w:r>
          </w:p>
        </w:tc>
        <w:tc>
          <w:tcPr>
            <w:tcW w:w="633" w:type="pct"/>
            <w:shd w:val="clear" w:color="auto" w:fill="auto"/>
            <w:noWrap/>
            <w:vAlign w:val="center"/>
          </w:tcPr>
          <w:p w14:paraId="4DBD9A32"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7DD15564"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0.0007</w:t>
            </w:r>
          </w:p>
        </w:tc>
        <w:tc>
          <w:tcPr>
            <w:tcW w:w="572" w:type="pct"/>
            <w:vAlign w:val="center"/>
          </w:tcPr>
          <w:p w14:paraId="62C5C660"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tcPr>
          <w:p w14:paraId="58584430" w14:textId="77777777" w:rsidR="00AC3951" w:rsidRPr="00C06935" w:rsidRDefault="00AC3951" w:rsidP="00AC3951">
            <w:pPr>
              <w:jc w:val="center"/>
              <w:rPr>
                <w:rFonts w:ascii="Cambria" w:eastAsia="Times New Roman" w:hAnsi="Cambria"/>
                <w:color w:val="000000"/>
                <w:sz w:val="19"/>
                <w:szCs w:val="19"/>
                <w:lang w:val="sv-SE" w:eastAsia="sv-SE"/>
              </w:rPr>
            </w:pPr>
          </w:p>
        </w:tc>
      </w:tr>
      <w:tr w:rsidR="00C06935" w:rsidRPr="00C06935" w14:paraId="29ABD146" w14:textId="77777777" w:rsidTr="00C06935">
        <w:trPr>
          <w:trHeight w:val="65"/>
        </w:trPr>
        <w:tc>
          <w:tcPr>
            <w:tcW w:w="2358" w:type="pct"/>
            <w:shd w:val="clear" w:color="auto" w:fill="auto"/>
            <w:noWrap/>
            <w:vAlign w:val="center"/>
          </w:tcPr>
          <w:p w14:paraId="31A4D462"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Failure ratio</w:t>
            </w:r>
          </w:p>
        </w:tc>
        <w:tc>
          <w:tcPr>
            <w:tcW w:w="633" w:type="pct"/>
            <w:shd w:val="clear" w:color="auto" w:fill="auto"/>
            <w:noWrap/>
            <w:vAlign w:val="center"/>
          </w:tcPr>
          <w:p w14:paraId="1B748E1E"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617CD88F"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0.9</w:t>
            </w:r>
          </w:p>
        </w:tc>
        <w:tc>
          <w:tcPr>
            <w:tcW w:w="572" w:type="pct"/>
            <w:vAlign w:val="center"/>
          </w:tcPr>
          <w:p w14:paraId="0D8CC09E"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772" w:type="pct"/>
            <w:shd w:val="clear" w:color="auto" w:fill="auto"/>
            <w:noWrap/>
            <w:vAlign w:val="center"/>
          </w:tcPr>
          <w:p w14:paraId="6BC618A1"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6499B23D" w14:textId="77777777" w:rsidTr="00C06935">
        <w:trPr>
          <w:trHeight w:val="65"/>
        </w:trPr>
        <w:tc>
          <w:tcPr>
            <w:tcW w:w="2358" w:type="pct"/>
            <w:shd w:val="clear" w:color="auto" w:fill="auto"/>
            <w:noWrap/>
            <w:vAlign w:val="center"/>
          </w:tcPr>
          <w:p w14:paraId="3F883CC7"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Reference stress</w:t>
            </w:r>
          </w:p>
        </w:tc>
        <w:tc>
          <w:tcPr>
            <w:tcW w:w="633" w:type="pct"/>
            <w:shd w:val="clear" w:color="auto" w:fill="auto"/>
            <w:noWrap/>
            <w:vAlign w:val="center"/>
          </w:tcPr>
          <w:p w14:paraId="689069AB"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0732BAFD"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100</w:t>
            </w:r>
          </w:p>
        </w:tc>
        <w:tc>
          <w:tcPr>
            <w:tcW w:w="572" w:type="pct"/>
            <w:vAlign w:val="center"/>
          </w:tcPr>
          <w:p w14:paraId="403C24A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100</w:t>
            </w:r>
          </w:p>
        </w:tc>
        <w:tc>
          <w:tcPr>
            <w:tcW w:w="772" w:type="pct"/>
            <w:shd w:val="clear" w:color="auto" w:fill="auto"/>
            <w:noWrap/>
            <w:vAlign w:val="center"/>
          </w:tcPr>
          <w:p w14:paraId="5E57AD21"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kN/m</w:t>
            </w:r>
            <w:r w:rsidRPr="00C06935">
              <w:rPr>
                <w:rFonts w:ascii="Cambria" w:eastAsia="Times New Roman" w:hAnsi="Cambria"/>
                <w:color w:val="000000"/>
                <w:sz w:val="19"/>
                <w:szCs w:val="19"/>
                <w:vertAlign w:val="superscript"/>
                <w:lang w:val="sv-SE" w:eastAsia="sv-SE"/>
              </w:rPr>
              <w:t>2</w:t>
            </w:r>
          </w:p>
        </w:tc>
      </w:tr>
      <w:tr w:rsidR="00C06935" w:rsidRPr="00C06935" w14:paraId="64B0065B" w14:textId="77777777" w:rsidTr="00C06935">
        <w:trPr>
          <w:trHeight w:val="65"/>
        </w:trPr>
        <w:tc>
          <w:tcPr>
            <w:tcW w:w="2358" w:type="pct"/>
            <w:shd w:val="clear" w:color="auto" w:fill="auto"/>
            <w:noWrap/>
            <w:vAlign w:val="center"/>
          </w:tcPr>
          <w:p w14:paraId="7757B389"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Over-consolidation ratio</w:t>
            </w:r>
          </w:p>
        </w:tc>
        <w:tc>
          <w:tcPr>
            <w:tcW w:w="633" w:type="pct"/>
            <w:shd w:val="clear" w:color="auto" w:fill="auto"/>
            <w:noWrap/>
            <w:vAlign w:val="center"/>
          </w:tcPr>
          <w:p w14:paraId="7A8F85C1"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6F0B2809"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1A0BC2E7" w14:textId="77777777" w:rsidR="00AC3951" w:rsidRPr="00C06935" w:rsidRDefault="00AC3951" w:rsidP="00AC3951">
            <w:pPr>
              <w:jc w:val="center"/>
              <w:rPr>
                <w:rFonts w:ascii="Cambria" w:eastAsia="Times New Roman" w:hAnsi="Cambria"/>
                <w:color w:val="000000"/>
                <w:sz w:val="19"/>
                <w:szCs w:val="19"/>
                <w:lang w:val="sv-SE" w:eastAsia="sv-SE"/>
              </w:rPr>
            </w:pPr>
          </w:p>
        </w:tc>
        <w:tc>
          <w:tcPr>
            <w:tcW w:w="772" w:type="pct"/>
            <w:shd w:val="clear" w:color="auto" w:fill="auto"/>
            <w:noWrap/>
            <w:vAlign w:val="center"/>
          </w:tcPr>
          <w:p w14:paraId="5040E578"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56D418EE" w14:textId="77777777" w:rsidTr="00C06935">
        <w:trPr>
          <w:trHeight w:val="65"/>
        </w:trPr>
        <w:tc>
          <w:tcPr>
            <w:tcW w:w="2358" w:type="pct"/>
            <w:shd w:val="clear" w:color="auto" w:fill="auto"/>
            <w:noWrap/>
            <w:vAlign w:val="center"/>
          </w:tcPr>
          <w:p w14:paraId="4FF0C220"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Relative density</w:t>
            </w:r>
          </w:p>
        </w:tc>
        <w:tc>
          <w:tcPr>
            <w:tcW w:w="633" w:type="pct"/>
            <w:shd w:val="clear" w:color="auto" w:fill="auto"/>
            <w:noWrap/>
            <w:vAlign w:val="center"/>
          </w:tcPr>
          <w:p w14:paraId="62542322"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50D4C391"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0D5F60F4"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55</w:t>
            </w:r>
          </w:p>
        </w:tc>
        <w:tc>
          <w:tcPr>
            <w:tcW w:w="772" w:type="pct"/>
            <w:shd w:val="clear" w:color="auto" w:fill="auto"/>
            <w:noWrap/>
            <w:vAlign w:val="center"/>
          </w:tcPr>
          <w:p w14:paraId="1F172ADD"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4B7E30F2" w14:textId="77777777" w:rsidTr="00C06935">
        <w:trPr>
          <w:trHeight w:val="65"/>
        </w:trPr>
        <w:tc>
          <w:tcPr>
            <w:tcW w:w="2358" w:type="pct"/>
            <w:shd w:val="clear" w:color="auto" w:fill="auto"/>
            <w:noWrap/>
            <w:vAlign w:val="center"/>
          </w:tcPr>
          <w:p w14:paraId="21CD4897"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Shear modulus coefficient</w:t>
            </w:r>
          </w:p>
        </w:tc>
        <w:tc>
          <w:tcPr>
            <w:tcW w:w="633" w:type="pct"/>
            <w:shd w:val="clear" w:color="auto" w:fill="auto"/>
            <w:noWrap/>
            <w:vAlign w:val="center"/>
          </w:tcPr>
          <w:p w14:paraId="5B66926F"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090C946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42A5F25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677</w:t>
            </w:r>
          </w:p>
        </w:tc>
        <w:tc>
          <w:tcPr>
            <w:tcW w:w="772" w:type="pct"/>
            <w:shd w:val="clear" w:color="auto" w:fill="auto"/>
            <w:noWrap/>
            <w:vAlign w:val="center"/>
          </w:tcPr>
          <w:p w14:paraId="734F7D13"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74210F53" w14:textId="77777777" w:rsidTr="00C06935">
        <w:trPr>
          <w:trHeight w:val="65"/>
        </w:trPr>
        <w:tc>
          <w:tcPr>
            <w:tcW w:w="2358" w:type="pct"/>
            <w:shd w:val="clear" w:color="auto" w:fill="auto"/>
            <w:noWrap/>
            <w:vAlign w:val="center"/>
          </w:tcPr>
          <w:p w14:paraId="4328953F"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Contraction rate</w:t>
            </w:r>
          </w:p>
        </w:tc>
        <w:tc>
          <w:tcPr>
            <w:tcW w:w="633" w:type="pct"/>
            <w:shd w:val="clear" w:color="auto" w:fill="auto"/>
            <w:noWrap/>
            <w:vAlign w:val="center"/>
          </w:tcPr>
          <w:p w14:paraId="06F269DB"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1CD3B37A"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00991CA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0.4</w:t>
            </w:r>
          </w:p>
        </w:tc>
        <w:tc>
          <w:tcPr>
            <w:tcW w:w="772" w:type="pct"/>
            <w:shd w:val="clear" w:color="auto" w:fill="auto"/>
            <w:noWrap/>
            <w:vAlign w:val="center"/>
          </w:tcPr>
          <w:p w14:paraId="0CECD12B"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5E01B82A" w14:textId="77777777" w:rsidTr="00C06935">
        <w:trPr>
          <w:trHeight w:val="300"/>
        </w:trPr>
        <w:tc>
          <w:tcPr>
            <w:tcW w:w="2358" w:type="pct"/>
            <w:shd w:val="clear" w:color="auto" w:fill="auto"/>
            <w:noWrap/>
            <w:vAlign w:val="center"/>
          </w:tcPr>
          <w:p w14:paraId="3355CB0B" w14:textId="77777777" w:rsidR="00AC3951" w:rsidRPr="00C06935" w:rsidRDefault="00AC3951" w:rsidP="00C06935">
            <w:pPr>
              <w:rPr>
                <w:rFonts w:ascii="Cambria" w:eastAsia="Times New Roman" w:hAnsi="Cambria"/>
                <w:color w:val="000000"/>
                <w:sz w:val="19"/>
                <w:szCs w:val="19"/>
                <w:lang w:eastAsia="sv-SE"/>
              </w:rPr>
            </w:pPr>
            <w:r w:rsidRPr="00C06935">
              <w:rPr>
                <w:rFonts w:ascii="Cambria" w:eastAsia="Times New Roman" w:hAnsi="Cambria"/>
                <w:color w:val="000000"/>
                <w:sz w:val="19"/>
                <w:szCs w:val="19"/>
                <w:lang w:eastAsia="sv-SE"/>
              </w:rPr>
              <w:t>Parameter controlling the peak stress ratio</w:t>
            </w:r>
          </w:p>
        </w:tc>
        <w:tc>
          <w:tcPr>
            <w:tcW w:w="633" w:type="pct"/>
            <w:shd w:val="clear" w:color="auto" w:fill="auto"/>
            <w:noWrap/>
            <w:vAlign w:val="center"/>
          </w:tcPr>
          <w:p w14:paraId="7D5B25CE"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2CC6549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4FA8B96A"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0.5</w:t>
            </w:r>
          </w:p>
        </w:tc>
        <w:tc>
          <w:tcPr>
            <w:tcW w:w="772" w:type="pct"/>
            <w:shd w:val="clear" w:color="auto" w:fill="auto"/>
            <w:noWrap/>
            <w:vAlign w:val="center"/>
          </w:tcPr>
          <w:p w14:paraId="16DE020F"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46380EFE" w14:textId="77777777" w:rsidTr="00C06935">
        <w:trPr>
          <w:trHeight w:val="65"/>
        </w:trPr>
        <w:tc>
          <w:tcPr>
            <w:tcW w:w="2358" w:type="pct"/>
            <w:shd w:val="clear" w:color="auto" w:fill="auto"/>
            <w:noWrap/>
            <w:vAlign w:val="center"/>
          </w:tcPr>
          <w:p w14:paraId="0302FE60"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Parameter controlling dilatancy</w:t>
            </w:r>
          </w:p>
        </w:tc>
        <w:tc>
          <w:tcPr>
            <w:tcW w:w="633" w:type="pct"/>
            <w:shd w:val="clear" w:color="auto" w:fill="auto"/>
            <w:noWrap/>
            <w:vAlign w:val="center"/>
          </w:tcPr>
          <w:p w14:paraId="24E5578F"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0D5CC2A6"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3AA41F8A"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0.1</w:t>
            </w:r>
          </w:p>
        </w:tc>
        <w:tc>
          <w:tcPr>
            <w:tcW w:w="772" w:type="pct"/>
            <w:shd w:val="clear" w:color="auto" w:fill="auto"/>
            <w:noWrap/>
            <w:vAlign w:val="center"/>
          </w:tcPr>
          <w:p w14:paraId="455AC4AE"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4ED36596" w14:textId="77777777" w:rsidTr="00C06935">
        <w:trPr>
          <w:trHeight w:val="65"/>
        </w:trPr>
        <w:tc>
          <w:tcPr>
            <w:tcW w:w="2358" w:type="pct"/>
            <w:shd w:val="clear" w:color="auto" w:fill="auto"/>
            <w:noWrap/>
            <w:vAlign w:val="center"/>
          </w:tcPr>
          <w:p w14:paraId="6FA4008F"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Maximum void ratio</w:t>
            </w:r>
          </w:p>
        </w:tc>
        <w:tc>
          <w:tcPr>
            <w:tcW w:w="633" w:type="pct"/>
            <w:shd w:val="clear" w:color="auto" w:fill="auto"/>
            <w:noWrap/>
            <w:vAlign w:val="center"/>
          </w:tcPr>
          <w:p w14:paraId="01B6696F"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4DF787FD"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2C28C563"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0.60</w:t>
            </w:r>
          </w:p>
        </w:tc>
        <w:tc>
          <w:tcPr>
            <w:tcW w:w="772" w:type="pct"/>
            <w:shd w:val="clear" w:color="auto" w:fill="auto"/>
            <w:noWrap/>
            <w:vAlign w:val="center"/>
          </w:tcPr>
          <w:p w14:paraId="3329349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r w:rsidR="00C06935" w:rsidRPr="00C06935" w14:paraId="6156F5D6" w14:textId="77777777" w:rsidTr="00C06935">
        <w:trPr>
          <w:trHeight w:val="65"/>
        </w:trPr>
        <w:tc>
          <w:tcPr>
            <w:tcW w:w="2358" w:type="pct"/>
            <w:shd w:val="clear" w:color="auto" w:fill="auto"/>
            <w:noWrap/>
            <w:vAlign w:val="center"/>
          </w:tcPr>
          <w:p w14:paraId="1EED1871" w14:textId="77777777" w:rsidR="00AC3951" w:rsidRPr="00C06935" w:rsidRDefault="00AC3951" w:rsidP="00C06935">
            <w:pP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Minimum void ratio</w:t>
            </w:r>
          </w:p>
        </w:tc>
        <w:tc>
          <w:tcPr>
            <w:tcW w:w="633" w:type="pct"/>
            <w:shd w:val="clear" w:color="auto" w:fill="auto"/>
            <w:noWrap/>
            <w:vAlign w:val="center"/>
          </w:tcPr>
          <w:p w14:paraId="08CF5E94"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664" w:type="pct"/>
            <w:shd w:val="clear" w:color="auto" w:fill="auto"/>
            <w:noWrap/>
            <w:vAlign w:val="center"/>
          </w:tcPr>
          <w:p w14:paraId="166BF7BC"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c>
          <w:tcPr>
            <w:tcW w:w="572" w:type="pct"/>
            <w:vAlign w:val="center"/>
          </w:tcPr>
          <w:p w14:paraId="470BA1F7"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0.31</w:t>
            </w:r>
          </w:p>
        </w:tc>
        <w:tc>
          <w:tcPr>
            <w:tcW w:w="772" w:type="pct"/>
            <w:shd w:val="clear" w:color="auto" w:fill="auto"/>
            <w:noWrap/>
            <w:vAlign w:val="center"/>
          </w:tcPr>
          <w:p w14:paraId="24516330" w14:textId="77777777" w:rsidR="00AC3951" w:rsidRPr="00C06935" w:rsidRDefault="00AC3951" w:rsidP="00AC3951">
            <w:pPr>
              <w:jc w:val="center"/>
              <w:rPr>
                <w:rFonts w:ascii="Cambria" w:eastAsia="Times New Roman" w:hAnsi="Cambria"/>
                <w:color w:val="000000"/>
                <w:sz w:val="19"/>
                <w:szCs w:val="19"/>
                <w:lang w:val="sv-SE" w:eastAsia="sv-SE"/>
              </w:rPr>
            </w:pPr>
            <w:r w:rsidRPr="00C06935">
              <w:rPr>
                <w:rFonts w:ascii="Cambria" w:eastAsia="Times New Roman" w:hAnsi="Cambria"/>
                <w:color w:val="000000"/>
                <w:sz w:val="19"/>
                <w:szCs w:val="19"/>
                <w:lang w:val="sv-SE" w:eastAsia="sv-SE"/>
              </w:rPr>
              <w:t>-</w:t>
            </w:r>
          </w:p>
        </w:tc>
      </w:tr>
    </w:tbl>
    <w:p w14:paraId="2E2A88CA" w14:textId="77777777" w:rsidR="000C3003" w:rsidRPr="000C3003" w:rsidRDefault="000C3003" w:rsidP="000C3003">
      <w:pPr>
        <w:pStyle w:val="1tvn"/>
        <w:rPr>
          <w:lang w:val="en-US"/>
        </w:rPr>
      </w:pPr>
      <w:r w:rsidRPr="000C3003">
        <w:rPr>
          <w:lang w:val="en-US"/>
        </w:rPr>
        <w:t>3</w:t>
      </w:r>
      <w:r w:rsidRPr="000C3003">
        <w:t>. Results and discussion</w:t>
      </w:r>
    </w:p>
    <w:p w14:paraId="30CE6B80" w14:textId="77777777" w:rsidR="000C3003" w:rsidRPr="000C3003" w:rsidRDefault="000C3003" w:rsidP="000C3003">
      <w:pPr>
        <w:pStyle w:val="1PhnthnhtcaV"/>
      </w:pPr>
      <w:r w:rsidRPr="000C3003">
        <w:t>3.</w:t>
      </w:r>
      <w:r w:rsidRPr="000C3003">
        <w:rPr>
          <w:lang w:val="vi-VN"/>
        </w:rPr>
        <w:t xml:space="preserve">1. </w:t>
      </w:r>
      <w:r w:rsidRPr="000C3003">
        <w:t>Soil liquefaction due to seismic loading</w:t>
      </w:r>
    </w:p>
    <w:p w14:paraId="79FED73A" w14:textId="5D1BD4AD" w:rsidR="000C3003" w:rsidRPr="000C3003" w:rsidRDefault="000C3003" w:rsidP="000C3003">
      <w:pPr>
        <w:pStyle w:val="Nidungbi"/>
        <w:rPr>
          <w:lang w:val="vi-VN"/>
        </w:rPr>
      </w:pPr>
      <w:r w:rsidRPr="000C3003">
        <w:rPr>
          <w:lang w:val="vi-VN"/>
        </w:rPr>
        <w:t xml:space="preserve">The potential of liquefaction can be expressed in terms of </w:t>
      </w:r>
      <w:r w:rsidR="00AE1AE4">
        <w:rPr>
          <w:lang w:val="vi-VN"/>
        </w:rPr>
        <w:t xml:space="preserve">the </w:t>
      </w:r>
      <w:r w:rsidRPr="000C3003">
        <w:rPr>
          <w:lang w:val="vi-VN"/>
        </w:rPr>
        <w:t>excess pore pressure ratio, r</w:t>
      </w:r>
      <w:r w:rsidRPr="000C3003">
        <w:rPr>
          <w:vertAlign w:val="subscript"/>
          <w:lang w:val="vi-VN"/>
        </w:rPr>
        <w:t>u</w:t>
      </w:r>
      <w:r w:rsidRPr="000C3003">
        <w:rPr>
          <w:lang w:val="vi-VN"/>
        </w:rPr>
        <w:t>, which is defined as a ratio between the excess pore water pressure and the initial vertical effective stress (Eq. 1). The excess pore water pressure ratio (r</w:t>
      </w:r>
      <w:r w:rsidRPr="000C3003">
        <w:rPr>
          <w:vertAlign w:val="subscript"/>
          <w:lang w:val="vi-VN"/>
        </w:rPr>
        <w:t>u</w:t>
      </w:r>
      <w:r w:rsidRPr="000C3003">
        <w:rPr>
          <w:lang w:val="vi-VN"/>
        </w:rPr>
        <w:t>) is one of the most important parameters for liquefaction potential analysis. As r</w:t>
      </w:r>
      <w:r w:rsidRPr="000C3003">
        <w:rPr>
          <w:vertAlign w:val="subscript"/>
          <w:lang w:val="vi-VN"/>
        </w:rPr>
        <w:t>u</w:t>
      </w:r>
      <w:r w:rsidRPr="000C3003">
        <w:rPr>
          <w:lang w:val="vi-VN"/>
        </w:rPr>
        <w:t xml:space="preserve"> reaches nearly 1.0, the final pore pressure (u</w:t>
      </w:r>
      <w:r w:rsidRPr="000C3003">
        <w:rPr>
          <w:vertAlign w:val="subscript"/>
          <w:lang w:val="vi-VN"/>
        </w:rPr>
        <w:t>f</w:t>
      </w:r>
      <w:r w:rsidRPr="000C3003">
        <w:rPr>
          <w:lang w:val="vi-VN"/>
        </w:rPr>
        <w:t>) can be calculated as initial effective stress plus initial pore water pressure. Thus, the final effective stress is then determined as zero, so-called zero effective stress or initial liquefaction.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521"/>
      </w:tblGrid>
      <w:tr w:rsidR="000C3003" w:rsidRPr="000C3003" w14:paraId="58843C93" w14:textId="77777777" w:rsidTr="000C3003">
        <w:trPr>
          <w:jc w:val="center"/>
        </w:trPr>
        <w:tc>
          <w:tcPr>
            <w:tcW w:w="3964" w:type="dxa"/>
            <w:vAlign w:val="center"/>
          </w:tcPr>
          <w:p w14:paraId="4093C215" w14:textId="66CA0841" w:rsidR="000C3003" w:rsidRPr="000C3003" w:rsidRDefault="00000000" w:rsidP="000C3003">
            <w:pPr>
              <w:pStyle w:val="Cngthc"/>
              <w:rPr>
                <w:spacing w:val="-4"/>
                <w:szCs w:val="22"/>
                <w:lang w:val="sv-SE"/>
              </w:rPr>
            </w:pPr>
            <m:oMathPara>
              <m:oMathParaPr>
                <m:jc m:val="center"/>
              </m:oMathParaPr>
              <m:oMath>
                <m:sSub>
                  <m:sSubPr>
                    <m:ctrlPr>
                      <w:rPr>
                        <w:rFonts w:ascii="Cambria Math" w:hAnsi="Cambria Math"/>
                        <w:spacing w:val="-4"/>
                        <w:szCs w:val="22"/>
                        <w:lang w:val="sv-SE"/>
                      </w:rPr>
                    </m:ctrlPr>
                  </m:sSubPr>
                  <m:e>
                    <m:r>
                      <w:rPr>
                        <w:rFonts w:ascii="Cambria Math" w:hAnsi="Cambria Math"/>
                        <w:lang w:val="sv-SE"/>
                      </w:rPr>
                      <m:t>r</m:t>
                    </m:r>
                  </m:e>
                  <m:sub>
                    <m:r>
                      <w:rPr>
                        <w:rFonts w:ascii="Cambria Math" w:hAnsi="Cambria Math"/>
                        <w:lang w:val="sv-SE"/>
                      </w:rPr>
                      <m:t>u</m:t>
                    </m:r>
                  </m:sub>
                </m:sSub>
                <m:r>
                  <w:rPr>
                    <w:rFonts w:ascii="Cambria Math" w:hAnsi="Cambria Math"/>
                    <w:lang w:val="sv-SE"/>
                  </w:rPr>
                  <m:t xml:space="preserve"> = </m:t>
                </m:r>
                <m:f>
                  <m:fPr>
                    <m:ctrlPr>
                      <w:rPr>
                        <w:rFonts w:ascii="Cambria Math" w:hAnsi="Cambria Math"/>
                        <w:spacing w:val="-4"/>
                        <w:szCs w:val="22"/>
                        <w:lang w:val="sv-SE"/>
                      </w:rPr>
                    </m:ctrlPr>
                  </m:fPr>
                  <m:num>
                    <m:sSub>
                      <m:sSubPr>
                        <m:ctrlPr>
                          <w:rPr>
                            <w:rFonts w:ascii="Cambria Math" w:hAnsi="Cambria Math"/>
                            <w:spacing w:val="-4"/>
                            <w:szCs w:val="22"/>
                          </w:rPr>
                        </m:ctrlPr>
                      </m:sSubPr>
                      <m:e>
                        <m:r>
                          <w:rPr>
                            <w:rFonts w:ascii="Cambria Math" w:hAnsi="Cambria Math"/>
                          </w:rPr>
                          <m:t>∆</m:t>
                        </m:r>
                      </m:e>
                      <m:sub>
                        <m:r>
                          <w:rPr>
                            <w:rFonts w:ascii="Cambria Math" w:hAnsi="Cambria Math"/>
                          </w:rPr>
                          <m:t>pw</m:t>
                        </m:r>
                      </m:sub>
                    </m:sSub>
                  </m:num>
                  <m:den>
                    <m:sSubSup>
                      <m:sSubSupPr>
                        <m:ctrlPr>
                          <w:rPr>
                            <w:rFonts w:ascii="Cambria Math" w:hAnsi="Cambria Math"/>
                            <w:spacing w:val="-4"/>
                            <w:szCs w:val="22"/>
                          </w:rPr>
                        </m:ctrlPr>
                      </m:sSubSupPr>
                      <m:e>
                        <m:r>
                          <w:rPr>
                            <w:rFonts w:ascii="Cambria Math" w:hAnsi="Cambria Math"/>
                          </w:rPr>
                          <m:t>σ</m:t>
                        </m:r>
                      </m:e>
                      <m:sub>
                        <m:r>
                          <w:rPr>
                            <w:rFonts w:ascii="Cambria Math" w:hAnsi="Cambria Math"/>
                          </w:rPr>
                          <m:t>ν0</m:t>
                        </m:r>
                      </m:sub>
                      <m:sup>
                        <m:r>
                          <w:rPr>
                            <w:rFonts w:ascii="Cambria Math" w:hAnsi="Cambria Math"/>
                          </w:rPr>
                          <m:t>'</m:t>
                        </m:r>
                      </m:sup>
                    </m:sSubSup>
                    <m:r>
                      <w:rPr>
                        <w:rFonts w:ascii="Cambria Math" w:hAnsi="Cambria Math"/>
                      </w:rPr>
                      <m:t xml:space="preserve"> </m:t>
                    </m:r>
                  </m:den>
                </m:f>
                <m:r>
                  <w:rPr>
                    <w:rFonts w:ascii="Cambria Math" w:hAnsi="Cambria Math"/>
                    <w:lang w:val="sv-SE"/>
                  </w:rPr>
                  <m:t xml:space="preserve"> = </m:t>
                </m:r>
                <m:f>
                  <m:fPr>
                    <m:ctrlPr>
                      <w:rPr>
                        <w:rFonts w:ascii="Cambria Math" w:hAnsi="Cambria Math"/>
                        <w:spacing w:val="-4"/>
                        <w:szCs w:val="22"/>
                        <w:lang w:val="sv-SE"/>
                      </w:rPr>
                    </m:ctrlPr>
                  </m:fPr>
                  <m:num>
                    <m:sSubSup>
                      <m:sSubSupPr>
                        <m:ctrlPr>
                          <w:rPr>
                            <w:rFonts w:ascii="Cambria Math" w:hAnsi="Cambria Math"/>
                            <w:spacing w:val="-4"/>
                            <w:szCs w:val="22"/>
                          </w:rPr>
                        </m:ctrlPr>
                      </m:sSubSupPr>
                      <m:e>
                        <m:r>
                          <w:rPr>
                            <w:rFonts w:ascii="Cambria Math" w:hAnsi="Cambria Math"/>
                          </w:rPr>
                          <m:t>σ</m:t>
                        </m:r>
                      </m:e>
                      <m:sub>
                        <m:r>
                          <w:rPr>
                            <w:rFonts w:ascii="Cambria Math" w:hAnsi="Cambria Math"/>
                          </w:rPr>
                          <m:t>ν0</m:t>
                        </m:r>
                      </m:sub>
                      <m:sup>
                        <m:r>
                          <w:rPr>
                            <w:rFonts w:ascii="Cambria Math" w:hAnsi="Cambria Math"/>
                          </w:rPr>
                          <m:t>'</m:t>
                        </m:r>
                      </m:sup>
                    </m:sSubSup>
                    <m:r>
                      <w:rPr>
                        <w:rFonts w:ascii="Cambria Math" w:hAnsi="Cambria Math"/>
                      </w:rPr>
                      <m:t>-</m:t>
                    </m:r>
                    <m:sSubSup>
                      <m:sSubSupPr>
                        <m:ctrlPr>
                          <w:rPr>
                            <w:rFonts w:ascii="Cambria Math" w:hAnsi="Cambria Math"/>
                            <w:spacing w:val="-4"/>
                            <w:szCs w:val="22"/>
                          </w:rPr>
                        </m:ctrlPr>
                      </m:sSubSupPr>
                      <m:e>
                        <m:r>
                          <w:rPr>
                            <w:rFonts w:ascii="Cambria Math" w:hAnsi="Cambria Math"/>
                          </w:rPr>
                          <m:t>σ</m:t>
                        </m:r>
                      </m:e>
                      <m:sub>
                        <m:r>
                          <w:rPr>
                            <w:rFonts w:ascii="Cambria Math" w:hAnsi="Cambria Math"/>
                          </w:rPr>
                          <m:t>ν</m:t>
                        </m:r>
                      </m:sub>
                      <m:sup>
                        <m:r>
                          <w:rPr>
                            <w:rFonts w:ascii="Cambria Math" w:hAnsi="Cambria Math"/>
                          </w:rPr>
                          <m:t>'</m:t>
                        </m:r>
                      </m:sup>
                    </m:sSubSup>
                  </m:num>
                  <m:den>
                    <m:sSubSup>
                      <m:sSubSupPr>
                        <m:ctrlPr>
                          <w:rPr>
                            <w:rFonts w:ascii="Cambria Math" w:hAnsi="Cambria Math"/>
                            <w:spacing w:val="-4"/>
                            <w:szCs w:val="22"/>
                          </w:rPr>
                        </m:ctrlPr>
                      </m:sSubSupPr>
                      <m:e>
                        <m:r>
                          <w:rPr>
                            <w:rFonts w:ascii="Cambria Math" w:hAnsi="Cambria Math"/>
                          </w:rPr>
                          <m:t>σ</m:t>
                        </m:r>
                      </m:e>
                      <m:sub>
                        <m:r>
                          <w:rPr>
                            <w:rFonts w:ascii="Cambria Math" w:hAnsi="Cambria Math"/>
                          </w:rPr>
                          <m:t>ν0</m:t>
                        </m:r>
                      </m:sub>
                      <m:sup>
                        <m:r>
                          <w:rPr>
                            <w:rFonts w:ascii="Cambria Math" w:hAnsi="Cambria Math"/>
                          </w:rPr>
                          <m:t>'</m:t>
                        </m:r>
                      </m:sup>
                    </m:sSubSup>
                  </m:den>
                </m:f>
                <m:r>
                  <w:rPr>
                    <w:rFonts w:ascii="Cambria Math" w:hAnsi="Cambria Math"/>
                    <w:lang w:val="sv-SE"/>
                  </w:rPr>
                  <m:t xml:space="preserve"> = 1-</m:t>
                </m:r>
                <m:f>
                  <m:fPr>
                    <m:ctrlPr>
                      <w:rPr>
                        <w:rFonts w:ascii="Cambria Math" w:hAnsi="Cambria Math"/>
                        <w:spacing w:val="-4"/>
                        <w:szCs w:val="22"/>
                        <w:lang w:val="sv-SE"/>
                      </w:rPr>
                    </m:ctrlPr>
                  </m:fPr>
                  <m:num>
                    <m:sSubSup>
                      <m:sSubSupPr>
                        <m:ctrlPr>
                          <w:rPr>
                            <w:rFonts w:ascii="Cambria Math" w:hAnsi="Cambria Math"/>
                            <w:spacing w:val="-4"/>
                            <w:szCs w:val="22"/>
                          </w:rPr>
                        </m:ctrlPr>
                      </m:sSubSupPr>
                      <m:e>
                        <m:r>
                          <w:rPr>
                            <w:rFonts w:ascii="Cambria Math" w:hAnsi="Cambria Math"/>
                          </w:rPr>
                          <m:t>σ</m:t>
                        </m:r>
                      </m:e>
                      <m:sub>
                        <m:r>
                          <w:rPr>
                            <w:rFonts w:ascii="Cambria Math" w:hAnsi="Cambria Math"/>
                          </w:rPr>
                          <m:t>ν</m:t>
                        </m:r>
                      </m:sub>
                      <m:sup>
                        <m:r>
                          <w:rPr>
                            <w:rFonts w:ascii="Cambria Math" w:hAnsi="Cambria Math"/>
                          </w:rPr>
                          <m:t>'</m:t>
                        </m:r>
                      </m:sup>
                    </m:sSubSup>
                  </m:num>
                  <m:den>
                    <m:sSubSup>
                      <m:sSubSupPr>
                        <m:ctrlPr>
                          <w:rPr>
                            <w:rFonts w:ascii="Cambria Math" w:hAnsi="Cambria Math"/>
                            <w:spacing w:val="-4"/>
                            <w:szCs w:val="22"/>
                          </w:rPr>
                        </m:ctrlPr>
                      </m:sSubSupPr>
                      <m:e>
                        <m:r>
                          <w:rPr>
                            <w:rFonts w:ascii="Cambria Math" w:hAnsi="Cambria Math"/>
                          </w:rPr>
                          <m:t>σ</m:t>
                        </m:r>
                      </m:e>
                      <m:sub>
                        <m:r>
                          <w:rPr>
                            <w:rFonts w:ascii="Cambria Math" w:hAnsi="Cambria Math"/>
                          </w:rPr>
                          <m:t>ν0</m:t>
                        </m:r>
                      </m:sub>
                      <m:sup>
                        <m:r>
                          <w:rPr>
                            <w:rFonts w:ascii="Cambria Math" w:hAnsi="Cambria Math"/>
                          </w:rPr>
                          <m:t>'</m:t>
                        </m:r>
                      </m:sup>
                    </m:sSubSup>
                  </m:den>
                </m:f>
              </m:oMath>
            </m:oMathPara>
          </w:p>
        </w:tc>
        <w:tc>
          <w:tcPr>
            <w:tcW w:w="521" w:type="dxa"/>
            <w:vAlign w:val="center"/>
          </w:tcPr>
          <w:p w14:paraId="7F897CC3" w14:textId="1A00B666" w:rsidR="000C3003" w:rsidRPr="000C3003" w:rsidRDefault="000C3003" w:rsidP="000C3003">
            <w:pPr>
              <w:pStyle w:val="Cngthc"/>
              <w:rPr>
                <w:spacing w:val="-4"/>
                <w:szCs w:val="22"/>
                <w:lang w:val="sv-SE"/>
              </w:rPr>
            </w:pPr>
            <m:oMathPara>
              <m:oMath>
                <m:r>
                  <w:rPr>
                    <w:rFonts w:ascii="Cambria Math" w:hAnsi="Cambria Math"/>
                    <w:lang w:val="sv-SE"/>
                  </w:rPr>
                  <m:t>(1)</m:t>
                </m:r>
              </m:oMath>
            </m:oMathPara>
          </w:p>
        </w:tc>
      </w:tr>
    </w:tbl>
    <w:p w14:paraId="1F88ABFF" w14:textId="77777777" w:rsidR="00AE1AE4" w:rsidRDefault="000C3003" w:rsidP="005E7746">
      <w:pPr>
        <w:pStyle w:val="Nidungbi"/>
        <w:rPr>
          <w:lang w:val="en-US"/>
        </w:rPr>
      </w:pPr>
      <w:r w:rsidRPr="000C3003">
        <w:rPr>
          <w:lang w:val="en-US"/>
        </w:rPr>
        <w:t>Where</w:t>
      </w:r>
      <w:r>
        <w:rPr>
          <w:lang w:val="en-US"/>
        </w:rPr>
        <w:t xml:space="preserve"> </w:t>
      </w:r>
      <m:oMath>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pw</m:t>
            </m:r>
          </m:sub>
        </m:sSub>
      </m:oMath>
      <w:r w:rsidRPr="000C3003">
        <w:rPr>
          <w:lang w:val="en-US"/>
        </w:rPr>
        <w:t xml:space="preserve"> </w:t>
      </w:r>
      <w:r>
        <w:rPr>
          <w:lang w:val="en-US"/>
        </w:rPr>
        <w:t xml:space="preserve">is excess pore water pressure; </w:t>
      </w:r>
      <m:oMath>
        <m:sSubSup>
          <m:sSubSupPr>
            <m:ctrlPr>
              <w:rPr>
                <w:rFonts w:ascii="Cambria Math" w:hAnsi="Cambria Math"/>
                <w:i/>
                <w:lang w:val="en-US"/>
              </w:rPr>
            </m:ctrlPr>
          </m:sSubSupPr>
          <m:e>
            <m:r>
              <w:rPr>
                <w:rFonts w:ascii="Cambria Math" w:hAnsi="Cambria Math"/>
                <w:lang w:val="en-US"/>
              </w:rPr>
              <m:t>σ</m:t>
            </m:r>
          </m:e>
          <m:sub>
            <m:r>
              <w:rPr>
                <w:rFonts w:ascii="Cambria Math" w:hAnsi="Cambria Math"/>
                <w:lang w:val="en-US"/>
              </w:rPr>
              <m:t>ν</m:t>
            </m:r>
          </m:sub>
          <m:sup>
            <m:r>
              <w:rPr>
                <w:rFonts w:ascii="Cambria Math" w:hAnsi="Cambria Math"/>
                <w:lang w:val="en-US"/>
              </w:rPr>
              <m:t>'</m:t>
            </m:r>
          </m:sup>
        </m:sSubSup>
      </m:oMath>
      <w:r>
        <w:rPr>
          <w:lang w:val="en-US"/>
        </w:rPr>
        <w:t xml:space="preserve"> </w:t>
      </w:r>
      <w:r w:rsidRPr="000C3003">
        <w:rPr>
          <w:lang w:val="en-US"/>
        </w:rPr>
        <w:t xml:space="preserve">is vertical effective stress and </w:t>
      </w:r>
      <m:oMath>
        <m:sSubSup>
          <m:sSubSupPr>
            <m:ctrlPr>
              <w:rPr>
                <w:rFonts w:ascii="Cambria Math" w:hAnsi="Cambria Math"/>
                <w:i/>
                <w:lang w:val="en-US"/>
              </w:rPr>
            </m:ctrlPr>
          </m:sSubSupPr>
          <m:e>
            <m:r>
              <w:rPr>
                <w:rFonts w:ascii="Cambria Math" w:hAnsi="Cambria Math"/>
                <w:lang w:val="en-US"/>
              </w:rPr>
              <m:t>σ</m:t>
            </m:r>
          </m:e>
          <m:sub>
            <m:r>
              <w:rPr>
                <w:rFonts w:ascii="Cambria Math" w:hAnsi="Cambria Math"/>
                <w:lang w:val="en-US"/>
              </w:rPr>
              <m:t>ν0</m:t>
            </m:r>
          </m:sub>
          <m:sup>
            <m:r>
              <w:rPr>
                <w:rFonts w:ascii="Cambria Math" w:hAnsi="Cambria Math"/>
                <w:lang w:val="en-US"/>
              </w:rPr>
              <m:t>'</m:t>
            </m:r>
          </m:sup>
        </m:sSubSup>
      </m:oMath>
      <w:r>
        <w:rPr>
          <w:lang w:val="en-US"/>
        </w:rPr>
        <w:t xml:space="preserve"> </w:t>
      </w:r>
      <w:r w:rsidRPr="000C3003">
        <w:rPr>
          <w:lang w:val="en-US"/>
        </w:rPr>
        <w:t xml:space="preserve">is initial vertical effective stress at the beginning of the dynamic calculation. </w:t>
      </w:r>
    </w:p>
    <w:p w14:paraId="19F5C754" w14:textId="4B910FE9" w:rsidR="000C3003" w:rsidRDefault="000C3003" w:rsidP="005E7746">
      <w:pPr>
        <w:pStyle w:val="Nidungbi"/>
      </w:pPr>
      <w:r w:rsidRPr="000C3003">
        <w:rPr>
          <w:lang w:val="en-US"/>
        </w:rPr>
        <w:t>Figure 4 shows the excess pore pressure ratio at the end of the earthquake (non-liquefiable soil thickness H</w:t>
      </w:r>
      <w:r w:rsidR="00CB008D">
        <w:rPr>
          <w:lang w:val="en-US"/>
        </w:rPr>
        <w:t xml:space="preserve"> = </w:t>
      </w:r>
      <w:r w:rsidRPr="000C3003">
        <w:rPr>
          <w:lang w:val="en-US"/>
        </w:rPr>
        <w:t>10</w:t>
      </w:r>
      <w:r w:rsidR="00AE1AE4">
        <w:rPr>
          <w:lang w:val="en-US"/>
        </w:rPr>
        <w:t xml:space="preserve"> m</w:t>
      </w:r>
      <w:r w:rsidRPr="000C3003">
        <w:rPr>
          <w:lang w:val="en-US"/>
        </w:rPr>
        <w:t xml:space="preserve">). The excess </w:t>
      </w:r>
      <w:r w:rsidRPr="000C3003">
        <w:rPr>
          <w:lang w:val="en-US"/>
        </w:rPr>
        <w:lastRenderedPageBreak/>
        <w:t xml:space="preserve">pore pressure ratio, </w:t>
      </w:r>
      <w:proofErr w:type="spellStart"/>
      <w:r w:rsidRPr="000C3003">
        <w:rPr>
          <w:lang w:val="en-US"/>
        </w:rPr>
        <w:t>r</w:t>
      </w:r>
      <w:r w:rsidRPr="000C3003">
        <w:rPr>
          <w:vertAlign w:val="subscript"/>
          <w:lang w:val="en-US"/>
        </w:rPr>
        <w:t>u</w:t>
      </w:r>
      <w:proofErr w:type="spellEnd"/>
      <w:r w:rsidRPr="000C3003">
        <w:rPr>
          <w:lang w:val="en-US"/>
        </w:rPr>
        <w:t xml:space="preserve">, which is attained in a soil element, is used to evaluate the liquefaction potential of the soil layers around the tunnel. As can be observed, most of the liquefiable soil layer (sand) liquefied during the earthquake (i.e., </w:t>
      </w:r>
      <w:proofErr w:type="spellStart"/>
      <w:r w:rsidRPr="000C3003">
        <w:rPr>
          <w:lang w:val="en-US"/>
        </w:rPr>
        <w:t>r</w:t>
      </w:r>
      <w:r w:rsidRPr="000C3003">
        <w:rPr>
          <w:vertAlign w:val="subscript"/>
          <w:lang w:val="en-US"/>
        </w:rPr>
        <w:t>u</w:t>
      </w:r>
      <w:proofErr w:type="spellEnd"/>
      <w:r w:rsidRPr="000C3003">
        <w:rPr>
          <w:lang w:val="en-US"/>
        </w:rPr>
        <w:t xml:space="preserve"> reached 1.0), whereas the rest (i.e., non-liquefiable soil layers) had low </w:t>
      </w:r>
      <w:proofErr w:type="spellStart"/>
      <w:r w:rsidRPr="000C3003">
        <w:rPr>
          <w:lang w:val="en-US"/>
        </w:rPr>
        <w:t>r</w:t>
      </w:r>
      <w:r w:rsidRPr="000C3003">
        <w:rPr>
          <w:vertAlign w:val="subscript"/>
          <w:lang w:val="en-US"/>
        </w:rPr>
        <w:t>u</w:t>
      </w:r>
      <w:proofErr w:type="spellEnd"/>
      <w:r w:rsidRPr="000C3003">
        <w:rPr>
          <w:lang w:val="en-US"/>
        </w:rPr>
        <w:t>, i.e., no liquefaction.</w:t>
      </w:r>
    </w:p>
    <w:p w14:paraId="749BBFC5" w14:textId="77777777" w:rsidR="000C3003" w:rsidRDefault="000C3003" w:rsidP="000C3003">
      <w:pPr>
        <w:pStyle w:val="Nidungbi"/>
        <w:rPr>
          <w:lang w:val="vi-VN"/>
        </w:rPr>
      </w:pPr>
      <w:r w:rsidRPr="000C3003">
        <w:rPr>
          <w:lang w:val="vi-VN"/>
        </w:rPr>
        <w:t>Additional insight into the liquefaction potential analysis can be attained by looking into r</w:t>
      </w:r>
      <w:r w:rsidRPr="000C3003">
        <w:rPr>
          <w:vertAlign w:val="subscript"/>
          <w:lang w:val="vi-VN"/>
        </w:rPr>
        <w:t>u</w:t>
      </w:r>
      <w:r w:rsidRPr="000C3003">
        <w:rPr>
          <w:lang w:val="vi-VN"/>
        </w:rPr>
        <w:t xml:space="preserve"> of typical points B and D, as shown in Figure 5. Point B (at the middle of the clay layer) is represented for non-liquefiable soil, and point D (at the middle of the sand layer) is represented for liquefiable soil. As can be seen, the increase in r</w:t>
      </w:r>
      <w:r w:rsidRPr="000C3003">
        <w:rPr>
          <w:vertAlign w:val="subscript"/>
          <w:lang w:val="vi-VN"/>
        </w:rPr>
        <w:t>u</w:t>
      </w:r>
      <w:r w:rsidRPr="000C3003">
        <w:rPr>
          <w:lang w:val="vi-VN"/>
        </w:rPr>
        <w:t xml:space="preserve"> at point B was relatively insignificant during the earthquake (30 s). However, r</w:t>
      </w:r>
      <w:r w:rsidRPr="000C3003">
        <w:rPr>
          <w:vertAlign w:val="subscript"/>
          <w:lang w:val="vi-VN"/>
        </w:rPr>
        <w:t>u</w:t>
      </w:r>
      <w:r w:rsidRPr="000C3003">
        <w:rPr>
          <w:lang w:val="vi-VN"/>
        </w:rPr>
        <w:t xml:space="preserve"> at point D accumulated rapidly up to 1.0 (liquefaction) after about 7 s and remained high until the end of the earthquake.</w:t>
      </w:r>
    </w:p>
    <w:p w14:paraId="51425DC6" w14:textId="77777777" w:rsidR="004B28C5" w:rsidRDefault="004B28C5" w:rsidP="000C3003">
      <w:pPr>
        <w:pStyle w:val="Nidungbi"/>
        <w:rPr>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3"/>
      </w:tblGrid>
      <w:tr w:rsidR="004B28C5" w14:paraId="3CC2A7C4" w14:textId="77777777" w:rsidTr="00282557">
        <w:tc>
          <w:tcPr>
            <w:tcW w:w="4440" w:type="dxa"/>
          </w:tcPr>
          <w:p w14:paraId="4C0D7EB4" w14:textId="77777777" w:rsidR="004B28C5" w:rsidRDefault="004B28C5" w:rsidP="004B28C5">
            <w:pPr>
              <w:pStyle w:val="Chthchhnh"/>
            </w:pPr>
            <w:r>
              <w:rPr>
                <w:noProof/>
              </w:rPr>
              <w:drawing>
                <wp:inline distT="0" distB="0" distL="0" distR="0" wp14:anchorId="5590FF54" wp14:editId="6E8B4FBF">
                  <wp:extent cx="2734873" cy="1767254"/>
                  <wp:effectExtent l="0" t="0" r="889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87021" cy="1800951"/>
                          </a:xfrm>
                          <a:prstGeom prst="rect">
                            <a:avLst/>
                          </a:prstGeom>
                          <a:noFill/>
                        </pic:spPr>
                      </pic:pic>
                    </a:graphicData>
                  </a:graphic>
                </wp:inline>
              </w:drawing>
            </w:r>
          </w:p>
        </w:tc>
      </w:tr>
      <w:tr w:rsidR="004B28C5" w14:paraId="4120A9FD" w14:textId="77777777" w:rsidTr="00282557">
        <w:tc>
          <w:tcPr>
            <w:tcW w:w="4440" w:type="dxa"/>
          </w:tcPr>
          <w:p w14:paraId="12AAE505" w14:textId="77777777" w:rsidR="004B28C5" w:rsidRPr="00BE5072" w:rsidRDefault="004B28C5" w:rsidP="004B28C5">
            <w:pPr>
              <w:pStyle w:val="Chthchhnh"/>
            </w:pPr>
            <w:r w:rsidRPr="00BE5072">
              <w:t>Figure 4. Excess pore pressure ratio (</w:t>
            </w:r>
            <w:proofErr w:type="spellStart"/>
            <w:r w:rsidRPr="00BE5072">
              <w:t>r</w:t>
            </w:r>
            <w:r w:rsidRPr="00392C64">
              <w:rPr>
                <w:vertAlign w:val="subscript"/>
              </w:rPr>
              <w:t>u</w:t>
            </w:r>
            <w:proofErr w:type="spellEnd"/>
            <w:r w:rsidRPr="00BE5072">
              <w:t>) of soil layers at the end of the earthquake (Case study H=10 m)</w:t>
            </w:r>
            <w:r>
              <w:t>.</w:t>
            </w:r>
          </w:p>
        </w:tc>
      </w:tr>
      <w:tr w:rsidR="004B28C5" w14:paraId="599D5A73" w14:textId="77777777" w:rsidTr="00282557">
        <w:tc>
          <w:tcPr>
            <w:tcW w:w="4440" w:type="dxa"/>
          </w:tcPr>
          <w:p w14:paraId="1D261917" w14:textId="77777777" w:rsidR="004B28C5" w:rsidRDefault="004B28C5" w:rsidP="004B28C5">
            <w:pPr>
              <w:pStyle w:val="Chthchhnh"/>
            </w:pPr>
            <w:r>
              <w:rPr>
                <w:noProof/>
              </w:rPr>
              <w:drawing>
                <wp:inline distT="0" distB="0" distL="0" distR="0" wp14:anchorId="357822B7" wp14:editId="2C4F71D7">
                  <wp:extent cx="2766695" cy="189034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06797" cy="1917745"/>
                          </a:xfrm>
                          <a:prstGeom prst="rect">
                            <a:avLst/>
                          </a:prstGeom>
                          <a:noFill/>
                        </pic:spPr>
                      </pic:pic>
                    </a:graphicData>
                  </a:graphic>
                </wp:inline>
              </w:drawing>
            </w:r>
          </w:p>
        </w:tc>
      </w:tr>
      <w:tr w:rsidR="004B28C5" w14:paraId="1CB48CF9" w14:textId="77777777" w:rsidTr="00282557">
        <w:tc>
          <w:tcPr>
            <w:tcW w:w="4440" w:type="dxa"/>
          </w:tcPr>
          <w:p w14:paraId="124A5032" w14:textId="77777777" w:rsidR="004B28C5" w:rsidRDefault="004B28C5" w:rsidP="004B28C5">
            <w:pPr>
              <w:pStyle w:val="Chthchhnh"/>
            </w:pPr>
            <w:r>
              <w:t>Figure 5</w:t>
            </w:r>
            <w:r w:rsidRPr="000048A9">
              <w:t xml:space="preserve">. </w:t>
            </w:r>
            <w:r w:rsidRPr="00212261">
              <w:t>Excess pore pressure ratio at points B and D during the earthquake</w:t>
            </w:r>
          </w:p>
          <w:p w14:paraId="04A3D87B" w14:textId="5D20E01B" w:rsidR="004B28C5" w:rsidRPr="00345943" w:rsidRDefault="004B28C5" w:rsidP="004B28C5">
            <w:pPr>
              <w:pStyle w:val="Chthchhnh"/>
            </w:pPr>
            <w:r w:rsidRPr="00212261">
              <w:t>(Case study H=10 m)</w:t>
            </w:r>
            <w:r>
              <w:t>.</w:t>
            </w:r>
          </w:p>
        </w:tc>
      </w:tr>
    </w:tbl>
    <w:p w14:paraId="091BD90D" w14:textId="77777777" w:rsidR="004D064D" w:rsidRDefault="004D064D" w:rsidP="000C3003">
      <w:pPr>
        <w:pStyle w:val="1PhnthnhtcaV"/>
      </w:pPr>
    </w:p>
    <w:p w14:paraId="1618CE9F" w14:textId="77777777" w:rsidR="000C3003" w:rsidRPr="000C3003" w:rsidRDefault="000C3003" w:rsidP="000C3003">
      <w:pPr>
        <w:pStyle w:val="1PhnthnhtcaV"/>
        <w:rPr>
          <w:lang w:val="vi-VN"/>
        </w:rPr>
      </w:pPr>
      <w:r w:rsidRPr="000C3003">
        <w:t>3.2</w:t>
      </w:r>
      <w:r w:rsidRPr="000C3003">
        <w:rPr>
          <w:lang w:val="vi-VN"/>
        </w:rPr>
        <w:t>. Tunnel uplift displacement due to seismic loading</w:t>
      </w:r>
    </w:p>
    <w:p w14:paraId="50BB6C86" w14:textId="10570190" w:rsidR="000C3003" w:rsidRPr="000C3003" w:rsidRDefault="000C3003" w:rsidP="000C3003">
      <w:pPr>
        <w:pStyle w:val="Nidungbi"/>
        <w:rPr>
          <w:lang w:val="vi-VN"/>
        </w:rPr>
      </w:pPr>
      <w:r w:rsidRPr="000C3003">
        <w:rPr>
          <w:lang w:val="vi-VN"/>
        </w:rPr>
        <w:t>It is well-known that the uplift behavior of a tunnel involves the liquefaction-induced large deformation of surrounding soils. Figure 6 illustrates the spatial deformation plot produced from the numerical analysis (Case study H</w:t>
      </w:r>
      <w:r w:rsidR="00CB008D">
        <w:rPr>
          <w:lang w:val="vi-VN"/>
        </w:rPr>
        <w:t xml:space="preserve"> = </w:t>
      </w:r>
      <w:r w:rsidRPr="000C3003">
        <w:rPr>
          <w:lang w:val="vi-VN"/>
        </w:rPr>
        <w:t xml:space="preserve">10). It can be seen </w:t>
      </w:r>
      <w:r w:rsidR="00AE1AE4">
        <w:rPr>
          <w:lang w:val="vi-VN"/>
        </w:rPr>
        <w:t xml:space="preserve">in </w:t>
      </w:r>
      <w:r w:rsidRPr="000C3003">
        <w:rPr>
          <w:lang w:val="vi-VN"/>
        </w:rPr>
        <w:t>relative motion and interaction zones at both sides of the tunnel, which induces uplift of the tunnel. In addition, the development of excess pore water pressure during the earthquake of the liquefiable soil layer beneath the tunnel would exert a force causing the tunnel to uplift. A similar observation can also be found in the previous studies on tunnel uplift behavior (Chian et al. 2014; Zheng et al. 2021).</w:t>
      </w:r>
    </w:p>
    <w:p w14:paraId="7F1272B8" w14:textId="77777777" w:rsidR="000C3003" w:rsidRDefault="000C3003" w:rsidP="000C3003">
      <w:pPr>
        <w:pStyle w:val="Nidungbi"/>
        <w:rPr>
          <w:lang w:val="vi-VN"/>
        </w:rPr>
      </w:pPr>
      <w:r w:rsidRPr="000C3003">
        <w:rPr>
          <w:lang w:val="vi-VN"/>
        </w:rPr>
        <w:t>Take Point A (crown of the tunnel) and Point C (invert of the tunnel) as examples: the movement of the tunnel was insignificant at the beginning of the earthquake (before 5 s), followed by a large movement until the end of the earthquake. Both settlement and uplift behaviors can be observed in this period, probably due to the earthquake input motions (both vertical and horizontal motions). The final uplift displacement of the tunnel was found to be 0.078 m at the end of the earthquake. In addition, it is expected to observe the most likely same displacement at Point A (crown of the tunnel) and Point C (invert of the tunnel), as shown in Figure 7.</w:t>
      </w:r>
    </w:p>
    <w:p w14:paraId="735DD92A" w14:textId="77777777" w:rsidR="00BB7C59" w:rsidRDefault="00BB7C59" w:rsidP="000C3003">
      <w:pPr>
        <w:pStyle w:val="Nidungbi"/>
        <w:rPr>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tblGrid>
      <w:tr w:rsidR="00BB7C59" w14:paraId="7B7F4715" w14:textId="77777777" w:rsidTr="00282557">
        <w:tc>
          <w:tcPr>
            <w:tcW w:w="4440" w:type="dxa"/>
          </w:tcPr>
          <w:p w14:paraId="78FF76D8" w14:textId="77777777" w:rsidR="00BB7C59" w:rsidRDefault="00BB7C59" w:rsidP="00BB7C59">
            <w:pPr>
              <w:pStyle w:val="Chthchhnh"/>
            </w:pPr>
            <w:r>
              <w:rPr>
                <w:noProof/>
              </w:rPr>
              <w:drawing>
                <wp:inline distT="0" distB="0" distL="0" distR="0" wp14:anchorId="212BE31E" wp14:editId="6B209FBF">
                  <wp:extent cx="1774174" cy="1728000"/>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74174" cy="1728000"/>
                          </a:xfrm>
                          <a:prstGeom prst="rect">
                            <a:avLst/>
                          </a:prstGeom>
                          <a:noFill/>
                        </pic:spPr>
                      </pic:pic>
                    </a:graphicData>
                  </a:graphic>
                </wp:inline>
              </w:drawing>
            </w:r>
          </w:p>
        </w:tc>
      </w:tr>
      <w:tr w:rsidR="00BB7C59" w14:paraId="3D1B6A8A" w14:textId="77777777" w:rsidTr="00282557">
        <w:tc>
          <w:tcPr>
            <w:tcW w:w="4440" w:type="dxa"/>
          </w:tcPr>
          <w:p w14:paraId="51A8D33E" w14:textId="77777777" w:rsidR="00BB7C59" w:rsidRDefault="00BB7C59" w:rsidP="00BB7C59">
            <w:pPr>
              <w:pStyle w:val="Chthchhnh"/>
            </w:pPr>
            <w:r>
              <w:t>Figure 6</w:t>
            </w:r>
            <w:r w:rsidRPr="000048A9">
              <w:t>.</w:t>
            </w:r>
            <w:r>
              <w:t xml:space="preserve"> </w:t>
            </w:r>
            <w:r w:rsidRPr="0059146B">
              <w:t>Spatial deformation plot produced from the numerical analysis at the end of the earthquake (Case study H=10 m)</w:t>
            </w:r>
            <w:r>
              <w:t>.</w:t>
            </w:r>
          </w:p>
          <w:p w14:paraId="5CD6F254" w14:textId="1281100D" w:rsidR="00BB7C59" w:rsidRPr="00345943" w:rsidRDefault="00BB7C59" w:rsidP="00BB7C59">
            <w:pPr>
              <w:pStyle w:val="Chthchhnh"/>
            </w:pPr>
          </w:p>
        </w:tc>
      </w:tr>
      <w:tr w:rsidR="00BB7C59" w14:paraId="3E5205B5" w14:textId="77777777" w:rsidTr="00282557">
        <w:tc>
          <w:tcPr>
            <w:tcW w:w="4440" w:type="dxa"/>
          </w:tcPr>
          <w:p w14:paraId="5FD30ACB" w14:textId="77777777" w:rsidR="00BB7C59" w:rsidRDefault="00BB7C59" w:rsidP="00BB7C59">
            <w:pPr>
              <w:pStyle w:val="Chthchhnh"/>
            </w:pPr>
            <w:r>
              <w:rPr>
                <w:noProof/>
              </w:rPr>
              <w:lastRenderedPageBreak/>
              <w:drawing>
                <wp:inline distT="0" distB="0" distL="0" distR="0" wp14:anchorId="5210FD27" wp14:editId="61348347">
                  <wp:extent cx="2726055" cy="198254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48293" cy="1998721"/>
                          </a:xfrm>
                          <a:prstGeom prst="rect">
                            <a:avLst/>
                          </a:prstGeom>
                          <a:noFill/>
                        </pic:spPr>
                      </pic:pic>
                    </a:graphicData>
                  </a:graphic>
                </wp:inline>
              </w:drawing>
            </w:r>
          </w:p>
        </w:tc>
      </w:tr>
      <w:tr w:rsidR="00BB7C59" w14:paraId="1D9967B2" w14:textId="77777777" w:rsidTr="00282557">
        <w:tc>
          <w:tcPr>
            <w:tcW w:w="4440" w:type="dxa"/>
          </w:tcPr>
          <w:p w14:paraId="6BB1C32C" w14:textId="54BCE18A" w:rsidR="00BB7C59" w:rsidRPr="00345943" w:rsidRDefault="00BB7C59" w:rsidP="00BB7C59">
            <w:pPr>
              <w:pStyle w:val="Chthchhnh"/>
            </w:pPr>
            <w:r>
              <w:t>Figure 7</w:t>
            </w:r>
            <w:r w:rsidRPr="000048A9">
              <w:t xml:space="preserve">. </w:t>
            </w:r>
            <w:r w:rsidRPr="0059146B">
              <w:t>Tunnel uplift displacement vs time histories during the earthquake (Case study H=10 m)</w:t>
            </w:r>
            <w:r>
              <w:t>.</w:t>
            </w:r>
          </w:p>
        </w:tc>
      </w:tr>
    </w:tbl>
    <w:p w14:paraId="01C7FE8C" w14:textId="77777777" w:rsidR="000C3003" w:rsidRPr="000C3003" w:rsidRDefault="000C3003" w:rsidP="000C3003">
      <w:pPr>
        <w:pStyle w:val="1PhnthnhtcaV"/>
        <w:rPr>
          <w:lang w:val="vi-VN"/>
        </w:rPr>
      </w:pPr>
      <w:r w:rsidRPr="000C3003">
        <w:rPr>
          <w:lang w:val="vi-VN"/>
        </w:rPr>
        <w:t>3.3. Effects of the non-liquefiable soil thickness on the tunnel uplift displacement and excess pore water pressure</w:t>
      </w:r>
    </w:p>
    <w:p w14:paraId="04EC9E83" w14:textId="369D1EC0" w:rsidR="000C3003" w:rsidRDefault="000C3003" w:rsidP="000C3003">
      <w:pPr>
        <w:pStyle w:val="Nidungbi"/>
        <w:rPr>
          <w:lang w:val="en-US"/>
        </w:rPr>
      </w:pPr>
      <w:r w:rsidRPr="000C3003">
        <w:rPr>
          <w:lang w:val="en-US"/>
        </w:rPr>
        <w:t xml:space="preserve">Figure 8 shows the effects of the non-liquefiable soil thickness on excess pore water pressure development during the earthquake (typical point right beneath the invert of the tunnel). As shown, the build-up of excess pore water pressure was dependent on the non-liquefiable soil thickness H. </w:t>
      </w:r>
      <w:proofErr w:type="gramStart"/>
      <w:r w:rsidRPr="000C3003">
        <w:rPr>
          <w:lang w:val="en-US"/>
        </w:rPr>
        <w:t>In particular, when</w:t>
      </w:r>
      <w:proofErr w:type="gramEnd"/>
      <w:r w:rsidRPr="000C3003">
        <w:rPr>
          <w:lang w:val="en-US"/>
        </w:rPr>
        <w:t xml:space="preserve"> the tunnel was entirely buried in clay (i.e., H</w:t>
      </w:r>
      <w:r w:rsidR="00CB008D">
        <w:rPr>
          <w:lang w:val="en-US"/>
        </w:rPr>
        <w:t xml:space="preserve"> = </w:t>
      </w:r>
      <w:r w:rsidRPr="000C3003">
        <w:rPr>
          <w:lang w:val="en-US"/>
        </w:rPr>
        <w:t xml:space="preserve">15 m), the increase in </w:t>
      </w:r>
      <w:proofErr w:type="spellStart"/>
      <w:r w:rsidRPr="000C3003">
        <w:rPr>
          <w:lang w:val="en-US"/>
        </w:rPr>
        <w:t>r</w:t>
      </w:r>
      <w:r w:rsidRPr="000C3003">
        <w:rPr>
          <w:vertAlign w:val="subscript"/>
          <w:lang w:val="en-US"/>
        </w:rPr>
        <w:t>u</w:t>
      </w:r>
      <w:proofErr w:type="spellEnd"/>
      <w:r w:rsidRPr="000C3003">
        <w:rPr>
          <w:lang w:val="en-US"/>
        </w:rPr>
        <w:t xml:space="preserve"> was relatively insignificant during the earthquake (30 s). The insignificant excess pore water pressure of soil beneath the invert of the tunnel might lead to an insignificant uplift displacement of the tunnel, as shown in Figure 9. However, </w:t>
      </w:r>
      <w:proofErr w:type="spellStart"/>
      <w:r w:rsidRPr="000C3003">
        <w:rPr>
          <w:lang w:val="en-US"/>
        </w:rPr>
        <w:t>r</w:t>
      </w:r>
      <w:r w:rsidRPr="000C3003">
        <w:rPr>
          <w:vertAlign w:val="subscript"/>
          <w:lang w:val="en-US"/>
        </w:rPr>
        <w:t>u</w:t>
      </w:r>
      <w:proofErr w:type="spellEnd"/>
      <w:r w:rsidRPr="000C3003">
        <w:rPr>
          <w:lang w:val="en-US"/>
        </w:rPr>
        <w:t xml:space="preserve"> accumulated rapidly up to about 0.5, 0.64, 0.6 as H</w:t>
      </w:r>
      <w:r w:rsidR="00CB008D">
        <w:rPr>
          <w:lang w:val="en-US"/>
        </w:rPr>
        <w:t xml:space="preserve"> = </w:t>
      </w:r>
      <w:r w:rsidRPr="000C3003">
        <w:rPr>
          <w:lang w:val="en-US"/>
        </w:rPr>
        <w:t>10 m, H</w:t>
      </w:r>
      <w:r w:rsidR="00CB008D">
        <w:rPr>
          <w:lang w:val="en-US"/>
        </w:rPr>
        <w:t xml:space="preserve"> = </w:t>
      </w:r>
      <w:r w:rsidRPr="000C3003">
        <w:rPr>
          <w:lang w:val="en-US"/>
        </w:rPr>
        <w:t>5</w:t>
      </w:r>
      <w:r w:rsidR="00BB7C59">
        <w:rPr>
          <w:lang w:val="en-US"/>
        </w:rPr>
        <w:t xml:space="preserve"> </w:t>
      </w:r>
      <w:r w:rsidRPr="000C3003">
        <w:rPr>
          <w:lang w:val="en-US"/>
        </w:rPr>
        <w:t>m, and H</w:t>
      </w:r>
      <w:r w:rsidR="00CB008D">
        <w:rPr>
          <w:lang w:val="en-US"/>
        </w:rPr>
        <w:t xml:space="preserve"> = </w:t>
      </w:r>
      <w:r w:rsidRPr="000C3003">
        <w:rPr>
          <w:lang w:val="en-US"/>
        </w:rPr>
        <w:t>0 m, respectively, at the ends of the earthquake. The uplift displacement became larger as the thickness of the non-liquefiable soil was smaller. In this sense, the thickness of the non-liquefiable soil H played an important role in the stability of the tunnel. However, this finding is promising for the case studies in this research as the tunnel diameter and the position of the tunnel are fixed.</w:t>
      </w:r>
    </w:p>
    <w:p w14:paraId="2F51813C" w14:textId="77777777" w:rsidR="00BB7C59" w:rsidRDefault="00BB7C59" w:rsidP="000C3003">
      <w:pPr>
        <w:pStyle w:val="Nidungbi"/>
        <w:rPr>
          <w:lang w:val="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6"/>
      </w:tblGrid>
      <w:tr w:rsidR="00BB7C59" w14:paraId="43C67838" w14:textId="77777777" w:rsidTr="00BB7C59">
        <w:tc>
          <w:tcPr>
            <w:tcW w:w="5000" w:type="pct"/>
          </w:tcPr>
          <w:p w14:paraId="3BFF149C" w14:textId="77777777" w:rsidR="00BB7C59" w:rsidRDefault="00BB7C59" w:rsidP="00BB7C59">
            <w:pPr>
              <w:pStyle w:val="Chthchhnh"/>
            </w:pPr>
            <w:r>
              <w:rPr>
                <w:noProof/>
              </w:rPr>
              <w:drawing>
                <wp:inline distT="0" distB="0" distL="0" distR="0" wp14:anchorId="45A3FD5A" wp14:editId="60A96CAF">
                  <wp:extent cx="2484000" cy="177472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84000" cy="1774726"/>
                          </a:xfrm>
                          <a:prstGeom prst="rect">
                            <a:avLst/>
                          </a:prstGeom>
                          <a:noFill/>
                        </pic:spPr>
                      </pic:pic>
                    </a:graphicData>
                  </a:graphic>
                </wp:inline>
              </w:drawing>
            </w:r>
          </w:p>
        </w:tc>
      </w:tr>
      <w:tr w:rsidR="00BB7C59" w14:paraId="5BB6D9EA" w14:textId="77777777" w:rsidTr="00BB7C59">
        <w:tc>
          <w:tcPr>
            <w:tcW w:w="5000" w:type="pct"/>
          </w:tcPr>
          <w:p w14:paraId="2FFEC420" w14:textId="3677FBDA" w:rsidR="00BB7C59" w:rsidRPr="00345943" w:rsidRDefault="00BB7C59" w:rsidP="00BB7C59">
            <w:pPr>
              <w:pStyle w:val="Chthchhnh"/>
            </w:pPr>
            <w:r>
              <w:t>Figure 8</w:t>
            </w:r>
            <w:r w:rsidRPr="000048A9">
              <w:t>.</w:t>
            </w:r>
            <w:r>
              <w:t xml:space="preserve"> </w:t>
            </w:r>
            <w:r w:rsidRPr="00407BF7">
              <w:t>Effects of the non-liquefiable soil thickness on excess pore water pressure</w:t>
            </w:r>
            <w:r>
              <w:t>.</w:t>
            </w:r>
          </w:p>
        </w:tc>
      </w:tr>
      <w:tr w:rsidR="00BB7C59" w14:paraId="7F61A1A6" w14:textId="77777777" w:rsidTr="00BB7C59">
        <w:tc>
          <w:tcPr>
            <w:tcW w:w="5000" w:type="pct"/>
          </w:tcPr>
          <w:p w14:paraId="10D2BB21" w14:textId="77777777" w:rsidR="00BB7C59" w:rsidRDefault="00BB7C59" w:rsidP="00BB7C59">
            <w:pPr>
              <w:pStyle w:val="Chthchhnh"/>
            </w:pPr>
            <w:r>
              <w:rPr>
                <w:noProof/>
              </w:rPr>
              <w:drawing>
                <wp:inline distT="0" distB="0" distL="0" distR="0" wp14:anchorId="60826B1C" wp14:editId="1A8DE6E5">
                  <wp:extent cx="2556000" cy="181578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56000" cy="1815783"/>
                          </a:xfrm>
                          <a:prstGeom prst="rect">
                            <a:avLst/>
                          </a:prstGeom>
                          <a:noFill/>
                        </pic:spPr>
                      </pic:pic>
                    </a:graphicData>
                  </a:graphic>
                </wp:inline>
              </w:drawing>
            </w:r>
          </w:p>
        </w:tc>
      </w:tr>
      <w:tr w:rsidR="00BB7C59" w14:paraId="4C3FC637" w14:textId="77777777" w:rsidTr="00BB7C59">
        <w:tc>
          <w:tcPr>
            <w:tcW w:w="5000" w:type="pct"/>
          </w:tcPr>
          <w:p w14:paraId="5F835424" w14:textId="58E439EF" w:rsidR="00BB7C59" w:rsidRPr="00345943" w:rsidRDefault="00BB7C59" w:rsidP="00BB7C59">
            <w:pPr>
              <w:pStyle w:val="Chthchhnh"/>
            </w:pPr>
            <w:r>
              <w:t>Figure 9</w:t>
            </w:r>
            <w:r w:rsidRPr="000048A9">
              <w:t>.</w:t>
            </w:r>
            <w:r>
              <w:t xml:space="preserve"> </w:t>
            </w:r>
            <w:r w:rsidRPr="007F1B5F">
              <w:t>Effects of the non-liquefiable soil thickness on the tunnel uplift displacement</w:t>
            </w:r>
            <w:r>
              <w:t>.</w:t>
            </w:r>
          </w:p>
        </w:tc>
      </w:tr>
    </w:tbl>
    <w:p w14:paraId="2CE14ED9" w14:textId="77777777" w:rsidR="000C3003" w:rsidRPr="000C3003" w:rsidRDefault="000C3003" w:rsidP="000C3003">
      <w:pPr>
        <w:pStyle w:val="1tvn"/>
      </w:pPr>
      <w:r w:rsidRPr="000C3003">
        <w:rPr>
          <w:lang w:val="en-US"/>
        </w:rPr>
        <w:t>4</w:t>
      </w:r>
      <w:r w:rsidRPr="000C3003">
        <w:t>. Conclusions</w:t>
      </w:r>
    </w:p>
    <w:p w14:paraId="5A9AA4A3" w14:textId="77777777" w:rsidR="000C3003" w:rsidRPr="000C3003" w:rsidRDefault="000C3003" w:rsidP="000C3003">
      <w:pPr>
        <w:pStyle w:val="Nidungbi"/>
        <w:rPr>
          <w:lang w:val="vi-VN"/>
        </w:rPr>
      </w:pPr>
      <w:r w:rsidRPr="000C3003">
        <w:rPr>
          <w:lang w:val="vi-VN"/>
        </w:rPr>
        <w:t>In this study, a numerical analysis of the tunnel uplift behavior subjected to seismic loading was conducted. A finite-element software was used to simulate the tunnel buried in liquefiable and non-liquefiable soils under seismic loading. PM4sand, an advanced constitutive model for dynamic soil-structure interactions with earthquake-induced soil liquefaction, was adopted in the finite-element models. Based on the results of this study, the following conclusions can be drawn:</w:t>
      </w:r>
    </w:p>
    <w:p w14:paraId="79AAD7D4" w14:textId="3C8A2E56" w:rsidR="000C3003" w:rsidRPr="000C3003" w:rsidRDefault="000C3003" w:rsidP="000C3003">
      <w:pPr>
        <w:pStyle w:val="Nidungbi"/>
        <w:rPr>
          <w:lang w:val="vi-VN"/>
        </w:rPr>
      </w:pPr>
      <w:r w:rsidRPr="000C3003">
        <w:rPr>
          <w:lang w:val="vi-VN"/>
        </w:rPr>
        <w:t>•</w:t>
      </w:r>
      <w:r w:rsidR="00CB008D">
        <w:t xml:space="preserve"> </w:t>
      </w:r>
      <w:r w:rsidRPr="000C3003">
        <w:rPr>
          <w:lang w:val="vi-VN"/>
        </w:rPr>
        <w:t>Liquefaction happened at the most part of the liquefiable soil layer (sand) during the earthquake (i.e., r</w:t>
      </w:r>
      <w:r w:rsidRPr="000C3003">
        <w:rPr>
          <w:vertAlign w:val="subscript"/>
          <w:lang w:val="vi-VN"/>
        </w:rPr>
        <w:t>u</w:t>
      </w:r>
      <w:r w:rsidRPr="000C3003">
        <w:rPr>
          <w:lang w:val="vi-VN"/>
        </w:rPr>
        <w:t xml:space="preserve"> reached 1.0), not in the non-liquefiable soil layers (clay layers).</w:t>
      </w:r>
    </w:p>
    <w:p w14:paraId="2A26DF52" w14:textId="74E3B4BF" w:rsidR="000C3003" w:rsidRPr="000C3003" w:rsidRDefault="000C3003" w:rsidP="000C3003">
      <w:pPr>
        <w:pStyle w:val="Nidungbi"/>
        <w:rPr>
          <w:lang w:val="vi-VN"/>
        </w:rPr>
      </w:pPr>
      <w:r w:rsidRPr="000C3003">
        <w:rPr>
          <w:lang w:val="vi-VN"/>
        </w:rPr>
        <w:t>•</w:t>
      </w:r>
      <w:r w:rsidR="00CB008D">
        <w:t xml:space="preserve"> </w:t>
      </w:r>
      <w:r w:rsidRPr="000C3003">
        <w:rPr>
          <w:lang w:val="vi-VN"/>
        </w:rPr>
        <w:t>The tunnel uplift displacement was triggered due to the relative motion and interaction at both sides of the tunnel. It also involved the development of excess pore water pressure beneath the invert of the tunnel.</w:t>
      </w:r>
    </w:p>
    <w:p w14:paraId="305217A5" w14:textId="702B1942" w:rsidR="000C3003" w:rsidRPr="000C3003" w:rsidRDefault="000C3003" w:rsidP="000C3003">
      <w:pPr>
        <w:pStyle w:val="Nidungbi"/>
        <w:rPr>
          <w:lang w:val="vi-VN"/>
        </w:rPr>
      </w:pPr>
      <w:r w:rsidRPr="000C3003">
        <w:rPr>
          <w:lang w:val="vi-VN"/>
        </w:rPr>
        <w:t>•</w:t>
      </w:r>
      <w:r w:rsidR="00CB008D">
        <w:t xml:space="preserve"> </w:t>
      </w:r>
      <w:r w:rsidRPr="000C3003">
        <w:rPr>
          <w:lang w:val="vi-VN"/>
        </w:rPr>
        <w:t xml:space="preserve">The thickness of the non-liquefiable soil layer significantly affected the tunnel uplift </w:t>
      </w:r>
      <w:r w:rsidRPr="000C3003">
        <w:rPr>
          <w:lang w:val="vi-VN"/>
        </w:rPr>
        <w:lastRenderedPageBreak/>
        <w:t>displacement and the build-up of excess pore water pressure. The uplift displacement and the excess pore water pressure build-up became larger as the thickness of the non-liquefiable soil was smaller.</w:t>
      </w:r>
    </w:p>
    <w:p w14:paraId="5861DA06" w14:textId="5E779A46" w:rsidR="000C3003" w:rsidRPr="000C3003" w:rsidRDefault="000C3003" w:rsidP="000C3003">
      <w:pPr>
        <w:pStyle w:val="Nidungbi"/>
        <w:rPr>
          <w:lang w:val="vi-VN"/>
        </w:rPr>
      </w:pPr>
      <w:r w:rsidRPr="000C3003">
        <w:rPr>
          <w:lang w:val="vi-VN"/>
        </w:rPr>
        <w:t>•</w:t>
      </w:r>
      <w:r w:rsidR="00CB008D">
        <w:t xml:space="preserve"> </w:t>
      </w:r>
      <w:r w:rsidRPr="000C3003">
        <w:rPr>
          <w:lang w:val="vi-VN"/>
        </w:rPr>
        <w:t>This numerical study provided an in-depth analysis of the tunnel uplift displacement and the excess pore water pressure build-up of surrounding soils under seismic loading. It is believed that the finite element method could be used to study how a tunnel should be built in order to reduce the risk of an earthquake.</w:t>
      </w:r>
    </w:p>
    <w:p w14:paraId="3CF60427" w14:textId="77777777" w:rsidR="000C3003" w:rsidRPr="000C3003" w:rsidRDefault="000C3003" w:rsidP="000C3003">
      <w:pPr>
        <w:pStyle w:val="1tvn"/>
      </w:pPr>
      <w:r w:rsidRPr="000C3003">
        <w:t>Acknowledgments</w:t>
      </w:r>
    </w:p>
    <w:p w14:paraId="450A1C31" w14:textId="77777777" w:rsidR="000C3003" w:rsidRPr="000C3003" w:rsidRDefault="000C3003" w:rsidP="000C3003">
      <w:pPr>
        <w:pStyle w:val="Nidungbi"/>
        <w:rPr>
          <w:lang w:val="vi-VN"/>
        </w:rPr>
      </w:pPr>
      <w:r w:rsidRPr="000C3003">
        <w:rPr>
          <w:lang w:val="vi-VN"/>
        </w:rPr>
        <w:t>This study was supported by Hanoi University of Mining and Geology, Vietnam, and Lulea University of Technology, Sweden.</w:t>
      </w:r>
    </w:p>
    <w:p w14:paraId="2FE85D57" w14:textId="77777777" w:rsidR="000C3003" w:rsidRPr="000C3003" w:rsidRDefault="000C3003" w:rsidP="000C3003">
      <w:pPr>
        <w:pStyle w:val="1tvn"/>
      </w:pPr>
      <w:r w:rsidRPr="000C3003">
        <w:t>Contribution of authors</w:t>
      </w:r>
    </w:p>
    <w:p w14:paraId="0051AEC5" w14:textId="40FE7C87" w:rsidR="000C3003" w:rsidRPr="000C3003" w:rsidRDefault="000C3003" w:rsidP="000C3003">
      <w:pPr>
        <w:pStyle w:val="Nidungbi"/>
        <w:rPr>
          <w:lang w:val="vi-VN"/>
        </w:rPr>
      </w:pPr>
      <w:r w:rsidRPr="000C3003">
        <w:rPr>
          <w:lang w:val="vi-VN"/>
        </w:rPr>
        <w:t>Conceptualization</w:t>
      </w:r>
      <w:r w:rsidR="00AE1AE4">
        <w:rPr>
          <w:lang w:val="en-US"/>
        </w:rPr>
        <w:t>:</w:t>
      </w:r>
      <w:r w:rsidRPr="000C3003">
        <w:rPr>
          <w:lang w:val="vi-VN"/>
        </w:rPr>
        <w:t xml:space="preserve"> </w:t>
      </w:r>
      <w:r>
        <w:t xml:space="preserve">Tan </w:t>
      </w:r>
      <w:proofErr w:type="spellStart"/>
      <w:r>
        <w:t>Manh</w:t>
      </w:r>
      <w:proofErr w:type="spellEnd"/>
      <w:r>
        <w:t xml:space="preserve"> Do</w:t>
      </w:r>
      <w:r w:rsidR="00AE1AE4">
        <w:rPr>
          <w:lang w:val="en-US"/>
        </w:rPr>
        <w:t>,</w:t>
      </w:r>
      <w:r>
        <w:t xml:space="preserve"> Anh Ngoc Do</w:t>
      </w:r>
      <w:r w:rsidR="00AE1AE4">
        <w:rPr>
          <w:lang w:val="en-US"/>
        </w:rPr>
        <w:t>,</w:t>
      </w:r>
      <w:r w:rsidRPr="000C3003">
        <w:rPr>
          <w:lang w:val="vi-VN"/>
        </w:rPr>
        <w:t xml:space="preserve"> </w:t>
      </w:r>
      <w:r w:rsidR="00AE1AE4">
        <w:t xml:space="preserve">Hung </w:t>
      </w:r>
      <w:proofErr w:type="spellStart"/>
      <w:r w:rsidR="00AE1AE4">
        <w:t>Trong</w:t>
      </w:r>
      <w:proofErr w:type="spellEnd"/>
      <w:r w:rsidR="00AE1AE4">
        <w:t xml:space="preserve"> Vo</w:t>
      </w:r>
      <w:r w:rsidRPr="000C3003">
        <w:rPr>
          <w:lang w:val="vi-VN"/>
        </w:rPr>
        <w:t xml:space="preserve">; </w:t>
      </w:r>
      <w:r w:rsidR="00AE1AE4">
        <w:rPr>
          <w:lang w:val="en-US"/>
        </w:rPr>
        <w:t>M</w:t>
      </w:r>
      <w:r w:rsidRPr="000C3003">
        <w:rPr>
          <w:lang w:val="vi-VN"/>
        </w:rPr>
        <w:t>ethodology</w:t>
      </w:r>
      <w:r w:rsidR="00AE1AE4">
        <w:rPr>
          <w:lang w:val="en-US"/>
        </w:rPr>
        <w:t>:</w:t>
      </w:r>
      <w:r w:rsidRPr="000C3003">
        <w:rPr>
          <w:lang w:val="vi-VN"/>
        </w:rPr>
        <w:t xml:space="preserve"> </w:t>
      </w:r>
      <w:r>
        <w:t xml:space="preserve">Tan </w:t>
      </w:r>
      <w:proofErr w:type="spellStart"/>
      <w:r>
        <w:t>Manh</w:t>
      </w:r>
      <w:proofErr w:type="spellEnd"/>
      <w:r>
        <w:t xml:space="preserve"> Do</w:t>
      </w:r>
      <w:r w:rsidR="00AE1AE4">
        <w:rPr>
          <w:lang w:val="en-US"/>
        </w:rPr>
        <w:t>,</w:t>
      </w:r>
      <w:r w:rsidRPr="000C3003">
        <w:rPr>
          <w:lang w:val="vi-VN"/>
        </w:rPr>
        <w:t xml:space="preserve"> </w:t>
      </w:r>
      <w:r>
        <w:t>Anh Ngoc Do</w:t>
      </w:r>
      <w:r w:rsidR="00AE1AE4">
        <w:rPr>
          <w:lang w:val="en-US"/>
        </w:rPr>
        <w:t>;</w:t>
      </w:r>
      <w:r w:rsidRPr="000C3003">
        <w:rPr>
          <w:lang w:val="vi-VN"/>
        </w:rPr>
        <w:t xml:space="preserve"> </w:t>
      </w:r>
      <w:r w:rsidR="00AE1AE4">
        <w:rPr>
          <w:lang w:val="en-US"/>
        </w:rPr>
        <w:t>S</w:t>
      </w:r>
      <w:r w:rsidRPr="000C3003">
        <w:rPr>
          <w:lang w:val="vi-VN"/>
        </w:rPr>
        <w:t>oftware</w:t>
      </w:r>
      <w:r w:rsidR="00AE1AE4">
        <w:rPr>
          <w:lang w:val="en-US"/>
        </w:rPr>
        <w:t>:</w:t>
      </w:r>
      <w:r w:rsidRPr="000C3003">
        <w:rPr>
          <w:lang w:val="vi-VN"/>
        </w:rPr>
        <w:t xml:space="preserve"> </w:t>
      </w:r>
      <w:r>
        <w:t xml:space="preserve">Tan </w:t>
      </w:r>
      <w:proofErr w:type="spellStart"/>
      <w:r>
        <w:t>Manh</w:t>
      </w:r>
      <w:proofErr w:type="spellEnd"/>
      <w:r>
        <w:t xml:space="preserve"> Do</w:t>
      </w:r>
      <w:r w:rsidR="00AE1AE4">
        <w:rPr>
          <w:lang w:val="en-US"/>
        </w:rPr>
        <w:t>,</w:t>
      </w:r>
      <w:r w:rsidRPr="000C3003">
        <w:rPr>
          <w:lang w:val="vi-VN"/>
        </w:rPr>
        <w:t xml:space="preserve"> </w:t>
      </w:r>
      <w:r>
        <w:t>Anh Ngoc Do</w:t>
      </w:r>
      <w:r w:rsidRPr="000C3003">
        <w:rPr>
          <w:lang w:val="vi-VN"/>
        </w:rPr>
        <w:t xml:space="preserve">; </w:t>
      </w:r>
      <w:r w:rsidR="00AE1AE4">
        <w:rPr>
          <w:lang w:val="en-US"/>
        </w:rPr>
        <w:t>V</w:t>
      </w:r>
      <w:r w:rsidRPr="000C3003">
        <w:rPr>
          <w:lang w:val="vi-VN"/>
        </w:rPr>
        <w:t>alidation</w:t>
      </w:r>
      <w:r w:rsidR="00AE1AE4">
        <w:rPr>
          <w:lang w:val="en-US"/>
        </w:rPr>
        <w:t>:</w:t>
      </w:r>
      <w:r w:rsidR="00CB008D" w:rsidRPr="00CB008D">
        <w:t xml:space="preserve"> </w:t>
      </w:r>
      <w:r w:rsidR="00CB008D">
        <w:t xml:space="preserve">Tan </w:t>
      </w:r>
      <w:proofErr w:type="spellStart"/>
      <w:r w:rsidR="00CB008D">
        <w:t>Manh</w:t>
      </w:r>
      <w:proofErr w:type="spellEnd"/>
      <w:r w:rsidR="00CB008D">
        <w:t xml:space="preserve"> Do</w:t>
      </w:r>
      <w:r w:rsidR="00AE1AE4">
        <w:rPr>
          <w:lang w:val="en-US"/>
        </w:rPr>
        <w:t>,</w:t>
      </w:r>
      <w:r w:rsidRPr="000C3003">
        <w:rPr>
          <w:lang w:val="vi-VN"/>
        </w:rPr>
        <w:t xml:space="preserve"> </w:t>
      </w:r>
      <w:r>
        <w:t>Anh Ngoc Do</w:t>
      </w:r>
      <w:r w:rsidRPr="000C3003">
        <w:rPr>
          <w:lang w:val="vi-VN"/>
        </w:rPr>
        <w:t xml:space="preserve">; </w:t>
      </w:r>
      <w:r w:rsidR="00AE1AE4">
        <w:rPr>
          <w:lang w:val="en-US"/>
        </w:rPr>
        <w:t>W</w:t>
      </w:r>
      <w:r w:rsidRPr="000C3003">
        <w:rPr>
          <w:lang w:val="vi-VN"/>
        </w:rPr>
        <w:t>riting</w:t>
      </w:r>
      <w:r w:rsidR="00CB008D">
        <w:rPr>
          <w:lang w:val="vi-VN"/>
        </w:rPr>
        <w:t>-</w:t>
      </w:r>
      <w:r w:rsidRPr="000C3003">
        <w:rPr>
          <w:lang w:val="vi-VN"/>
        </w:rPr>
        <w:t>original draft preparation</w:t>
      </w:r>
      <w:r w:rsidR="00AE1AE4">
        <w:rPr>
          <w:lang w:val="en-US"/>
        </w:rPr>
        <w:t>:</w:t>
      </w:r>
      <w:r w:rsidRPr="000C3003">
        <w:rPr>
          <w:lang w:val="vi-VN"/>
        </w:rPr>
        <w:t xml:space="preserve"> </w:t>
      </w:r>
      <w:r w:rsidR="00CB008D">
        <w:t xml:space="preserve">Tan </w:t>
      </w:r>
      <w:proofErr w:type="spellStart"/>
      <w:r w:rsidR="00CB008D">
        <w:t>Manh</w:t>
      </w:r>
      <w:proofErr w:type="spellEnd"/>
      <w:r w:rsidR="00CB008D">
        <w:t xml:space="preserve"> Do</w:t>
      </w:r>
      <w:r w:rsidRPr="000C3003">
        <w:rPr>
          <w:lang w:val="vi-VN"/>
        </w:rPr>
        <w:t xml:space="preserve">; </w:t>
      </w:r>
      <w:r w:rsidR="00AE1AE4">
        <w:rPr>
          <w:lang w:val="en-US"/>
        </w:rPr>
        <w:t>W</w:t>
      </w:r>
      <w:r w:rsidRPr="000C3003">
        <w:rPr>
          <w:lang w:val="vi-VN"/>
        </w:rPr>
        <w:t>riting</w:t>
      </w:r>
      <w:r w:rsidR="00CB008D">
        <w:rPr>
          <w:lang w:val="vi-VN"/>
        </w:rPr>
        <w:t>-</w:t>
      </w:r>
      <w:r w:rsidRPr="000C3003">
        <w:rPr>
          <w:lang w:val="vi-VN"/>
        </w:rPr>
        <w:t>review and editing</w:t>
      </w:r>
      <w:r w:rsidR="00AE1AE4">
        <w:rPr>
          <w:lang w:val="en-US"/>
        </w:rPr>
        <w:t>:</w:t>
      </w:r>
      <w:r w:rsidRPr="000C3003">
        <w:rPr>
          <w:lang w:val="vi-VN"/>
        </w:rPr>
        <w:t xml:space="preserve"> </w:t>
      </w:r>
      <w:r>
        <w:t xml:space="preserve">Tan </w:t>
      </w:r>
      <w:proofErr w:type="spellStart"/>
      <w:r>
        <w:t>Manh</w:t>
      </w:r>
      <w:proofErr w:type="spellEnd"/>
      <w:r>
        <w:t xml:space="preserve"> Do</w:t>
      </w:r>
      <w:r w:rsidR="00AE1AE4">
        <w:rPr>
          <w:lang w:val="en-US"/>
        </w:rPr>
        <w:t>,</w:t>
      </w:r>
      <w:r w:rsidRPr="000C3003">
        <w:rPr>
          <w:lang w:val="vi-VN"/>
        </w:rPr>
        <w:t xml:space="preserve"> </w:t>
      </w:r>
      <w:r>
        <w:t>Anh Ngoc Do</w:t>
      </w:r>
      <w:r w:rsidR="00AE1AE4">
        <w:rPr>
          <w:lang w:val="en-US"/>
        </w:rPr>
        <w:t>,</w:t>
      </w:r>
      <w:r w:rsidR="00CB008D">
        <w:t xml:space="preserve"> Hung </w:t>
      </w:r>
      <w:proofErr w:type="spellStart"/>
      <w:r w:rsidR="00CB008D">
        <w:t>Trong</w:t>
      </w:r>
      <w:proofErr w:type="spellEnd"/>
      <w:r w:rsidR="00CB008D">
        <w:t xml:space="preserve"> Vo</w:t>
      </w:r>
      <w:r w:rsidRPr="000C3003">
        <w:rPr>
          <w:lang w:val="vi-VN"/>
        </w:rPr>
        <w:t xml:space="preserve">; </w:t>
      </w:r>
      <w:r w:rsidR="00AE1AE4">
        <w:rPr>
          <w:lang w:val="en-US"/>
        </w:rPr>
        <w:t>S</w:t>
      </w:r>
      <w:r w:rsidRPr="000C3003">
        <w:rPr>
          <w:lang w:val="vi-VN"/>
        </w:rPr>
        <w:t>upervision</w:t>
      </w:r>
      <w:r w:rsidR="00AE1AE4">
        <w:rPr>
          <w:lang w:val="en-US"/>
        </w:rPr>
        <w:t>:</w:t>
      </w:r>
      <w:r w:rsidRPr="000C3003">
        <w:rPr>
          <w:lang w:val="vi-VN"/>
        </w:rPr>
        <w:t xml:space="preserve"> </w:t>
      </w:r>
      <w:r>
        <w:t>Anh Ngoc Do</w:t>
      </w:r>
      <w:r w:rsidR="00AE1AE4">
        <w:rPr>
          <w:lang w:val="en-US"/>
        </w:rPr>
        <w:t>,</w:t>
      </w:r>
      <w:r w:rsidRPr="000C3003">
        <w:rPr>
          <w:lang w:val="vi-VN"/>
        </w:rPr>
        <w:t xml:space="preserve"> </w:t>
      </w:r>
      <w:r w:rsidR="00CB008D">
        <w:t xml:space="preserve">Hung </w:t>
      </w:r>
      <w:proofErr w:type="spellStart"/>
      <w:r w:rsidR="00CB008D">
        <w:t>Trong</w:t>
      </w:r>
      <w:proofErr w:type="spellEnd"/>
      <w:r w:rsidR="00CB008D">
        <w:t xml:space="preserve"> Vo</w:t>
      </w:r>
      <w:r w:rsidRPr="000C3003">
        <w:rPr>
          <w:lang w:val="vi-VN"/>
        </w:rPr>
        <w:t>; All</w:t>
      </w:r>
      <w:r w:rsidRPr="000C3003">
        <w:t xml:space="preserve"> </w:t>
      </w:r>
      <w:r w:rsidRPr="000C3003">
        <w:rPr>
          <w:lang w:val="vi-VN"/>
        </w:rPr>
        <w:t>authors have read and agreed to the published version of the manuscript</w:t>
      </w:r>
      <w:r w:rsidRPr="000C3003">
        <w:t>.</w:t>
      </w:r>
    </w:p>
    <w:p w14:paraId="58AA7F13" w14:textId="77777777" w:rsidR="000C3003" w:rsidRPr="000C3003" w:rsidRDefault="000C3003" w:rsidP="000C3003">
      <w:pPr>
        <w:pStyle w:val="1tvn"/>
      </w:pPr>
      <w:r w:rsidRPr="000C3003">
        <w:t>References</w:t>
      </w:r>
    </w:p>
    <w:p w14:paraId="1FD9EEFF" w14:textId="77777777" w:rsidR="000C3003" w:rsidRPr="000C3003" w:rsidRDefault="000C3003" w:rsidP="00CB008D">
      <w:pPr>
        <w:pStyle w:val="TiliuTK"/>
      </w:pPr>
      <w:r w:rsidRPr="000C3003">
        <w:fldChar w:fldCharType="begin"/>
      </w:r>
      <w:r w:rsidRPr="000C3003">
        <w:instrText xml:space="preserve"> ADDIN EN.REFLIST </w:instrText>
      </w:r>
      <w:r w:rsidRPr="000C3003">
        <w:fldChar w:fldCharType="separate"/>
      </w:r>
      <w:bookmarkStart w:id="0" w:name="_ENREF_1"/>
      <w:r w:rsidRPr="000C3003">
        <w:t xml:space="preserve">Adalier, K., Abdoun, T., Dobry, R., Phillips, R., Yang, D., and Naesgaard, E. (2003). "Centrifuge modelling for seismic retrofit design of an immersed tube tunnel." </w:t>
      </w:r>
      <w:r w:rsidRPr="000C3003">
        <w:rPr>
          <w:i/>
        </w:rPr>
        <w:t>International Journal of Physical Modelling in Geotechnics</w:t>
      </w:r>
      <w:r w:rsidRPr="000C3003">
        <w:t>, 3(2), 23-35.</w:t>
      </w:r>
      <w:bookmarkEnd w:id="0"/>
    </w:p>
    <w:p w14:paraId="06B26E81" w14:textId="77777777" w:rsidR="000C3003" w:rsidRPr="000C3003" w:rsidRDefault="000C3003" w:rsidP="00CB008D">
      <w:pPr>
        <w:pStyle w:val="TiliuTK"/>
      </w:pPr>
      <w:bookmarkStart w:id="1" w:name="_ENREF_2"/>
      <w:r w:rsidRPr="000C3003">
        <w:t xml:space="preserve">Azadi, M., and Hosseini, S. M. M. (2010). "The uplifting behavior of shallow tunnels within the liquefiable soils under cyclic loadings." </w:t>
      </w:r>
      <w:r w:rsidRPr="000C3003">
        <w:rPr>
          <w:i/>
        </w:rPr>
        <w:t>Tunnelling and Underground Space Technology</w:t>
      </w:r>
      <w:r w:rsidRPr="000C3003">
        <w:t>, 25(2), 158-167.</w:t>
      </w:r>
      <w:bookmarkEnd w:id="1"/>
    </w:p>
    <w:p w14:paraId="0645F161" w14:textId="77777777" w:rsidR="000C3003" w:rsidRPr="000C3003" w:rsidRDefault="000C3003" w:rsidP="00CB008D">
      <w:pPr>
        <w:pStyle w:val="TiliuTK"/>
      </w:pPr>
      <w:bookmarkStart w:id="2" w:name="_ENREF_3"/>
      <w:r w:rsidRPr="000C3003">
        <w:t xml:space="preserve">Boulanger, R., and Ziotopoulou, K. (2015). "PM4Sand (Version 3): A sand plasticity model for earthquake engineering applications." </w:t>
      </w:r>
      <w:r w:rsidRPr="000C3003">
        <w:rPr>
          <w:i/>
        </w:rPr>
        <w:t xml:space="preserve">Center for Geotechnical Modeling Report No. UCD/CGM-15/01, Department of Civil and Environmental </w:t>
      </w:r>
      <w:r w:rsidRPr="000C3003">
        <w:rPr>
          <w:i/>
        </w:rPr>
        <w:t>Engineering, University of California, Davis, Calif</w:t>
      </w:r>
      <w:r w:rsidRPr="000C3003">
        <w:t>.</w:t>
      </w:r>
      <w:bookmarkEnd w:id="2"/>
    </w:p>
    <w:p w14:paraId="4449D7A7" w14:textId="77777777" w:rsidR="000C3003" w:rsidRPr="000C3003" w:rsidRDefault="000C3003" w:rsidP="00CB008D">
      <w:pPr>
        <w:pStyle w:val="TiliuTK"/>
      </w:pPr>
      <w:bookmarkStart w:id="3" w:name="_ENREF_4"/>
      <w:r w:rsidRPr="000C3003">
        <w:t xml:space="preserve">Boulanger, R. W., Khosravi, M., Khosravi, A., and Wilson, D. W. (2018). "Remediation of liquefaction effects for an embankment using soil-cement walls: Centrifuge and numerical modeling." </w:t>
      </w:r>
      <w:r w:rsidRPr="000C3003">
        <w:rPr>
          <w:i/>
        </w:rPr>
        <w:t>Soil Dynamics and Earthquake Engineering</w:t>
      </w:r>
      <w:r w:rsidRPr="000C3003">
        <w:t>, 114, 38-50.</w:t>
      </w:r>
      <w:bookmarkEnd w:id="3"/>
    </w:p>
    <w:p w14:paraId="5FE2EB19" w14:textId="77777777" w:rsidR="000C3003" w:rsidRPr="000C3003" w:rsidRDefault="000C3003" w:rsidP="00CB008D">
      <w:pPr>
        <w:pStyle w:val="TiliuTK"/>
      </w:pPr>
      <w:bookmarkStart w:id="4" w:name="_ENREF_5"/>
      <w:r w:rsidRPr="000C3003">
        <w:t xml:space="preserve">Boulanger, R. W., and Montgomery, J. (2016). "Nonlinear deformation analyses of an embankment dam on a spatially variable liquefiable deposit." </w:t>
      </w:r>
      <w:r w:rsidRPr="000C3003">
        <w:rPr>
          <w:i/>
        </w:rPr>
        <w:t>Soil Dynamics and Earthquake Engineering</w:t>
      </w:r>
      <w:r w:rsidRPr="000C3003">
        <w:t>, 91, 222-233.</w:t>
      </w:r>
      <w:bookmarkEnd w:id="4"/>
    </w:p>
    <w:p w14:paraId="1F61F839" w14:textId="77777777" w:rsidR="000C3003" w:rsidRPr="000C3003" w:rsidRDefault="000C3003" w:rsidP="00CB008D">
      <w:pPr>
        <w:pStyle w:val="TiliuTK"/>
      </w:pPr>
      <w:bookmarkStart w:id="5" w:name="_ENREF_6"/>
      <w:r w:rsidRPr="000C3003">
        <w:t>Boulanger, R. W., and Ziotopoulou, K. (2015). "A Sand Plasticity Model for Earthquake Engineering Applications."</w:t>
      </w:r>
      <w:bookmarkEnd w:id="5"/>
    </w:p>
    <w:p w14:paraId="0C7C69E4" w14:textId="77777777" w:rsidR="000C3003" w:rsidRPr="000C3003" w:rsidRDefault="000C3003" w:rsidP="00CB008D">
      <w:pPr>
        <w:pStyle w:val="TiliuTK"/>
      </w:pPr>
      <w:bookmarkStart w:id="6" w:name="_ENREF_7"/>
      <w:r w:rsidRPr="000C3003">
        <w:t xml:space="preserve">Brinkgreve, R., Swolfs, W., Engin, E., Waterman, D., Chesaru, A., Bonnier, P., and Galavi, V. (2018). "PLAXIS 2D Reference manual." </w:t>
      </w:r>
      <w:r w:rsidRPr="000C3003">
        <w:rPr>
          <w:i/>
        </w:rPr>
        <w:t>Delft University of Technology and PLAXIS bv The Netherlands</w:t>
      </w:r>
      <w:r w:rsidRPr="000C3003">
        <w:t>.</w:t>
      </w:r>
      <w:bookmarkEnd w:id="6"/>
    </w:p>
    <w:p w14:paraId="1BF718BC" w14:textId="58E53DE3" w:rsidR="000C3003" w:rsidRPr="000C3003" w:rsidRDefault="000C3003" w:rsidP="00CB008D">
      <w:pPr>
        <w:pStyle w:val="TiliuTK"/>
      </w:pPr>
      <w:bookmarkStart w:id="7" w:name="_ENREF_8"/>
      <w:r w:rsidRPr="000C3003">
        <w:t>Chian, S. C., Tokimatsu, K., and Madabhushi, S. P. G. (2014). "Soil liquefaction</w:t>
      </w:r>
      <w:r w:rsidR="00CB008D">
        <w:t>-</w:t>
      </w:r>
      <w:r w:rsidRPr="000C3003">
        <w:t xml:space="preserve">induced uplift of underground structures: Physical and numerical modeling." </w:t>
      </w:r>
      <w:r w:rsidRPr="000C3003">
        <w:rPr>
          <w:i/>
        </w:rPr>
        <w:t>Journal of Geotechnical and Geoenvironmental Engineering</w:t>
      </w:r>
      <w:r w:rsidRPr="000C3003">
        <w:t>, 140(10), 04014057.</w:t>
      </w:r>
      <w:bookmarkEnd w:id="7"/>
    </w:p>
    <w:p w14:paraId="717CB405" w14:textId="77777777" w:rsidR="000C3003" w:rsidRPr="000C3003" w:rsidRDefault="000C3003" w:rsidP="00CB008D">
      <w:pPr>
        <w:pStyle w:val="TiliuTK"/>
      </w:pPr>
      <w:bookmarkStart w:id="8" w:name="_ENREF_9"/>
      <w:r w:rsidRPr="000C3003">
        <w:t xml:space="preserve">Chou, J., Kutter, B., Travasarou, T., and Chacko, J. (2011). "Centrifuge modeling of seismically induced uplift for the BART transbay tube." </w:t>
      </w:r>
      <w:r w:rsidRPr="000C3003">
        <w:rPr>
          <w:i/>
        </w:rPr>
        <w:t>Journal of Geotechnical and Geoenvironmental Engineering</w:t>
      </w:r>
      <w:r w:rsidRPr="000C3003">
        <w:t>, 137(8), 754-765.</w:t>
      </w:r>
      <w:bookmarkEnd w:id="8"/>
    </w:p>
    <w:p w14:paraId="581307D8" w14:textId="77777777" w:rsidR="000C3003" w:rsidRPr="000C3003" w:rsidRDefault="000C3003" w:rsidP="00CB008D">
      <w:pPr>
        <w:pStyle w:val="TiliuTK"/>
      </w:pPr>
      <w:bookmarkStart w:id="9" w:name="_ENREF_10"/>
      <w:r w:rsidRPr="000C3003">
        <w:t xml:space="preserve">Dafalias Yannis, F., and Manzari Majid, T. (2004). "Simple Plasticity Sand Model Accounting for Fabric Change Effects." </w:t>
      </w:r>
      <w:r w:rsidRPr="000C3003">
        <w:rPr>
          <w:i/>
        </w:rPr>
        <w:t>Journal of Engineering Mechanics</w:t>
      </w:r>
      <w:r w:rsidRPr="000C3003">
        <w:t>, 130(6), 622-634.</w:t>
      </w:r>
      <w:bookmarkEnd w:id="9"/>
    </w:p>
    <w:p w14:paraId="6D20D630" w14:textId="77777777" w:rsidR="000C3003" w:rsidRPr="000C3003" w:rsidRDefault="000C3003" w:rsidP="00CB008D">
      <w:pPr>
        <w:pStyle w:val="TiliuTK"/>
      </w:pPr>
      <w:bookmarkStart w:id="10" w:name="_ENREF_11"/>
      <w:r w:rsidRPr="000C3003">
        <w:t xml:space="preserve">F. Dafalias, Y., and T. Manzari, M. (1997). </w:t>
      </w:r>
      <w:r w:rsidRPr="000C3003">
        <w:rPr>
          <w:i/>
        </w:rPr>
        <w:t>A Critical State Two-Surface Plasticity Model for Sands</w:t>
      </w:r>
      <w:r w:rsidRPr="000C3003">
        <w:t>.</w:t>
      </w:r>
      <w:bookmarkEnd w:id="10"/>
    </w:p>
    <w:p w14:paraId="1FC5DEC9" w14:textId="77777777" w:rsidR="000C3003" w:rsidRPr="000C3003" w:rsidRDefault="000C3003" w:rsidP="00CB008D">
      <w:pPr>
        <w:pStyle w:val="TiliuTK"/>
      </w:pPr>
      <w:bookmarkStart w:id="11" w:name="_ENREF_12"/>
      <w:r w:rsidRPr="000C3003">
        <w:t xml:space="preserve">Hu, J., Chen, Q., and Liu, H. (2018). "Relationship between earthquake-induced uplift of rectangular underground structures and the excess pore water pressure ratio in saturated sandy soils." </w:t>
      </w:r>
      <w:r w:rsidRPr="000C3003">
        <w:rPr>
          <w:i/>
        </w:rPr>
        <w:t>Tunnelling and Underground Space Technology</w:t>
      </w:r>
      <w:r w:rsidRPr="000C3003">
        <w:t>, 79, 35-51.</w:t>
      </w:r>
      <w:bookmarkEnd w:id="11"/>
    </w:p>
    <w:p w14:paraId="05007581" w14:textId="77777777" w:rsidR="000C3003" w:rsidRPr="000C3003" w:rsidRDefault="000C3003" w:rsidP="00CB008D">
      <w:pPr>
        <w:pStyle w:val="TiliuTK"/>
      </w:pPr>
      <w:bookmarkStart w:id="12" w:name="_ENREF_13"/>
      <w:r w:rsidRPr="000C3003">
        <w:lastRenderedPageBreak/>
        <w:t xml:space="preserve">Lin, S.-Y., Hung, H.-H., Yang, J. P., and Yang, Y. (2017). "Seismic analysis of twin tunnels by a finite/infinite element approach." </w:t>
      </w:r>
      <w:r w:rsidRPr="000C3003">
        <w:rPr>
          <w:i/>
        </w:rPr>
        <w:t>International Journal of Geomechanics</w:t>
      </w:r>
      <w:r w:rsidRPr="000C3003">
        <w:t>, 17(9), 04017060.</w:t>
      </w:r>
      <w:bookmarkEnd w:id="12"/>
    </w:p>
    <w:p w14:paraId="7DA876FA" w14:textId="77777777" w:rsidR="000C3003" w:rsidRPr="000C3003" w:rsidRDefault="000C3003" w:rsidP="00CB008D">
      <w:pPr>
        <w:pStyle w:val="TiliuTK"/>
      </w:pPr>
      <w:bookmarkStart w:id="13" w:name="_ENREF_14"/>
      <w:r w:rsidRPr="000C3003">
        <w:t xml:space="preserve">Liu, H., and Song, E. (2006). "Working mechanism of cutoff walls in reducing uplift of large underground structures induced by soil liquefaction." </w:t>
      </w:r>
      <w:r w:rsidRPr="000C3003">
        <w:rPr>
          <w:i/>
        </w:rPr>
        <w:t>Computers and Geotechnics</w:t>
      </w:r>
      <w:r w:rsidRPr="000C3003">
        <w:t>, 33(4-5), 209-221.</w:t>
      </w:r>
      <w:bookmarkEnd w:id="13"/>
    </w:p>
    <w:p w14:paraId="42E95FF6" w14:textId="77777777" w:rsidR="000C3003" w:rsidRPr="000C3003" w:rsidRDefault="000C3003" w:rsidP="00CB008D">
      <w:pPr>
        <w:pStyle w:val="TiliuTK"/>
      </w:pPr>
      <w:bookmarkStart w:id="14" w:name="_ENREF_15"/>
      <w:r w:rsidRPr="000C3003">
        <w:t xml:space="preserve">Saeedzadeh, R., and Hataf, N. (2011). "Uplift response of buried pipelines in saturated sand deposit under earthquake loading." </w:t>
      </w:r>
      <w:r w:rsidRPr="000C3003">
        <w:rPr>
          <w:i/>
        </w:rPr>
        <w:t>Soil Dynamics and Earthquake Engineering</w:t>
      </w:r>
      <w:r w:rsidRPr="000C3003">
        <w:t>, 31(10), 1378-1384.</w:t>
      </w:r>
      <w:bookmarkEnd w:id="14"/>
    </w:p>
    <w:p w14:paraId="0E13460C" w14:textId="77777777" w:rsidR="000C3003" w:rsidRPr="000C3003" w:rsidRDefault="000C3003" w:rsidP="00CB008D">
      <w:pPr>
        <w:pStyle w:val="TiliuTK"/>
      </w:pPr>
      <w:bookmarkStart w:id="15" w:name="_ENREF_16"/>
      <w:r w:rsidRPr="000C3003">
        <w:t xml:space="preserve">Sun, Y., Klein, S., Caulfield, J., Romero, V., and Wong, J. (2008). "Seismic analyses of the Bay Tunnel." </w:t>
      </w:r>
      <w:r w:rsidRPr="000C3003">
        <w:rPr>
          <w:i/>
        </w:rPr>
        <w:t>Geotechnical Earthquake Engineering and Soil Dynamics IV</w:t>
      </w:r>
      <w:r w:rsidRPr="000C3003">
        <w:t>, 1-11.</w:t>
      </w:r>
      <w:bookmarkEnd w:id="15"/>
    </w:p>
    <w:p w14:paraId="1473007F" w14:textId="77777777" w:rsidR="000C3003" w:rsidRPr="000C3003" w:rsidRDefault="000C3003" w:rsidP="00CB008D">
      <w:pPr>
        <w:pStyle w:val="TiliuTK"/>
      </w:pPr>
      <w:bookmarkStart w:id="16" w:name="_ENREF_17"/>
      <w:r w:rsidRPr="000C3003">
        <w:rPr>
          <w:lang w:val="sv-SE"/>
        </w:rPr>
        <w:t xml:space="preserve">Tobita, T., Kang, G.-C., and Iai, S. (2011). </w:t>
      </w:r>
      <w:r w:rsidRPr="000C3003">
        <w:t xml:space="preserve">"Centrifuge modeling on manhole uplift in a liquefied trench." </w:t>
      </w:r>
      <w:r w:rsidRPr="000C3003">
        <w:rPr>
          <w:i/>
        </w:rPr>
        <w:t>Soils and foundations</w:t>
      </w:r>
      <w:r w:rsidRPr="000C3003">
        <w:t>, 51(6), 1091-1102.</w:t>
      </w:r>
      <w:bookmarkEnd w:id="16"/>
    </w:p>
    <w:p w14:paraId="1AE6BC37" w14:textId="77777777" w:rsidR="000C3003" w:rsidRPr="000C3003" w:rsidRDefault="000C3003" w:rsidP="00CB008D">
      <w:pPr>
        <w:pStyle w:val="TiliuTK"/>
      </w:pPr>
      <w:bookmarkStart w:id="17" w:name="_ENREF_18"/>
      <w:r w:rsidRPr="000C3003">
        <w:t xml:space="preserve">Unutmaz, B. (2016). "Liquefaction potential of soils around circular double tunnels." </w:t>
      </w:r>
      <w:r w:rsidRPr="000C3003">
        <w:rPr>
          <w:i/>
        </w:rPr>
        <w:t>Bulletin of Earthquake Engineering</w:t>
      </w:r>
      <w:r w:rsidRPr="000C3003">
        <w:t>, 14(2), 391-411.</w:t>
      </w:r>
      <w:bookmarkEnd w:id="17"/>
    </w:p>
    <w:p w14:paraId="20CF46AD" w14:textId="77777777" w:rsidR="000C3003" w:rsidRPr="000C3003" w:rsidRDefault="000C3003" w:rsidP="00CB008D">
      <w:pPr>
        <w:pStyle w:val="TiliuTK"/>
      </w:pPr>
      <w:bookmarkStart w:id="18" w:name="_ENREF_19"/>
      <w:r w:rsidRPr="000C3003">
        <w:t xml:space="preserve">Vilhar, G., Laera, A., Foria, F., Gupta, A., and Brinkgreve, R. B. (2018). "Implementation, Validation, and Application of PM4Sand Model in PLAXIS." </w:t>
      </w:r>
      <w:r w:rsidRPr="000C3003">
        <w:rPr>
          <w:i/>
        </w:rPr>
        <w:t>Geotechnical Earthquake Engineering and Soil Dynamics V: Numerical Modeling and Soil Structure Interaction</w:t>
      </w:r>
      <w:r w:rsidRPr="000C3003">
        <w:t>, American Society of Civil Engineers Reston, VA, 200-211.</w:t>
      </w:r>
      <w:bookmarkEnd w:id="18"/>
    </w:p>
    <w:p w14:paraId="4AD71345" w14:textId="77777777" w:rsidR="000C3003" w:rsidRPr="000C3003" w:rsidRDefault="000C3003" w:rsidP="00CB008D">
      <w:pPr>
        <w:pStyle w:val="TiliuTK"/>
        <w:rPr>
          <w:i/>
        </w:rPr>
      </w:pPr>
      <w:bookmarkStart w:id="19" w:name="_ENREF_20"/>
      <w:r w:rsidRPr="000C3003">
        <w:t xml:space="preserve">Vilhar, G., Laera, A., Foria, F., Gupta, A., and Brinkgreve Ronald, B. J. (2018). "Implementation, Validation, and Application of PM4Sand Model in PLAXIS." </w:t>
      </w:r>
      <w:r w:rsidRPr="000C3003">
        <w:rPr>
          <w:i/>
        </w:rPr>
        <w:t xml:space="preserve">Geotechnical Earthquake Engineering and Soil Dynamics </w:t>
      </w:r>
      <w:bookmarkEnd w:id="19"/>
    </w:p>
    <w:p w14:paraId="0CB39739" w14:textId="135F3D4F" w:rsidR="00A803F2" w:rsidRPr="0089315F" w:rsidRDefault="000C3003" w:rsidP="00A803F2">
      <w:pPr>
        <w:pStyle w:val="TiliuTK"/>
        <w:sectPr w:rsidR="00A803F2" w:rsidRPr="0089315F" w:rsidSect="004D064D">
          <w:headerReference w:type="even" r:id="rId24"/>
          <w:pgSz w:w="11907" w:h="15649" w:code="9"/>
          <w:pgMar w:top="1247" w:right="1276" w:bottom="1304" w:left="1276" w:header="737" w:footer="850" w:gutter="0"/>
          <w:cols w:num="2" w:space="454"/>
          <w:docGrid w:linePitch="272"/>
        </w:sectPr>
      </w:pPr>
      <w:bookmarkStart w:id="20" w:name="_ENREF_21"/>
      <w:r w:rsidRPr="000C3003">
        <w:t xml:space="preserve">Zheng, G., Yang, P., Zhou, H., Zhang, W., Zhang, T., and Ma, S. (2021). "Numerical Modeling of the Seismically Induced Uplift Behavior of Twin Tunnels." </w:t>
      </w:r>
      <w:r w:rsidRPr="000C3003">
        <w:rPr>
          <w:i/>
        </w:rPr>
        <w:t>International Journal of Geomechanics</w:t>
      </w:r>
      <w:r w:rsidRPr="000C3003">
        <w:t>, 21(1), 04020240.</w:t>
      </w:r>
      <w:bookmarkEnd w:id="20"/>
      <w:r w:rsidRPr="000C3003">
        <w:fldChar w:fldCharType="end"/>
      </w:r>
    </w:p>
    <w:p w14:paraId="218108A4" w14:textId="6E354561" w:rsidR="00A803F2" w:rsidRPr="0089315F" w:rsidRDefault="00A803F2" w:rsidP="00A803F2">
      <w:pPr>
        <w:pStyle w:val="TiliuTK"/>
      </w:pPr>
    </w:p>
    <w:sectPr w:rsidR="00A803F2" w:rsidRPr="0089315F" w:rsidSect="00A803F2">
      <w:type w:val="continuous"/>
      <w:pgSz w:w="11907" w:h="15649" w:code="9"/>
      <w:pgMar w:top="1247" w:right="1276" w:bottom="1304" w:left="1276" w:header="737" w:footer="850" w:gutter="0"/>
      <w:cols w:space="454"/>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A8FCD" w14:textId="77777777" w:rsidR="00F672DF" w:rsidRDefault="00F672DF" w:rsidP="00E545BD">
      <w:r>
        <w:separator/>
      </w:r>
    </w:p>
  </w:endnote>
  <w:endnote w:type="continuationSeparator" w:id="0">
    <w:p w14:paraId="2B3B0C14" w14:textId="77777777" w:rsidR="00F672DF" w:rsidRDefault="00F672DF" w:rsidP="00E54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IDFont+F1">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45EEB" w14:textId="77777777" w:rsidR="00F672DF" w:rsidRDefault="00F672DF" w:rsidP="00E545BD">
      <w:r>
        <w:separator/>
      </w:r>
    </w:p>
  </w:footnote>
  <w:footnote w:type="continuationSeparator" w:id="0">
    <w:p w14:paraId="5ABE82CF" w14:textId="77777777" w:rsidR="00F672DF" w:rsidRDefault="00F672DF" w:rsidP="00E545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6520A" w14:textId="29F7B0F9" w:rsidR="000C3003" w:rsidRPr="006F662A" w:rsidRDefault="000C3003" w:rsidP="007D5114">
    <w:pPr>
      <w:pStyle w:val="Header"/>
      <w:jc w:val="left"/>
      <w:rPr>
        <w:rFonts w:ascii="Cambria" w:hAnsi="Cambria"/>
        <w:i/>
      </w:rPr>
    </w:pPr>
    <w:r w:rsidRPr="007D5114">
      <w:rPr>
        <w:rFonts w:ascii="Cambria" w:hAnsi="Cambria"/>
      </w:rPr>
      <w:t>2</w:t>
    </w:r>
    <w:r>
      <w:rPr>
        <w:rFonts w:ascii="Cambria" w:hAnsi="Cambria"/>
        <w:i/>
      </w:rPr>
      <w:tab/>
      <w:t xml:space="preserve">Duong Thanh Nguyen </w:t>
    </w:r>
    <w:proofErr w:type="gramStart"/>
    <w:r>
      <w:rPr>
        <w:rFonts w:ascii="Cambria" w:hAnsi="Cambria"/>
        <w:i/>
      </w:rPr>
      <w:t>and et al.</w:t>
    </w:r>
    <w:proofErr w:type="gramEnd"/>
    <w:r w:rsidRPr="006F662A">
      <w:rPr>
        <w:rFonts w:ascii="Cambria" w:hAnsi="Cambria"/>
        <w:i/>
      </w:rPr>
      <w:t>/</w:t>
    </w:r>
    <w:r>
      <w:rPr>
        <w:rFonts w:ascii="Cambria" w:hAnsi="Cambria"/>
        <w:i/>
      </w:rPr>
      <w:t>Journal of Mining and Earth Sciences 61 (3), 1 - 11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F7F02" w14:textId="25C81D61" w:rsidR="000C3003" w:rsidRPr="00A6722E" w:rsidRDefault="000C3003" w:rsidP="00A6722E">
    <w:pPr>
      <w:pStyle w:val="Header"/>
    </w:pPr>
    <w:r>
      <w:rPr>
        <w:rFonts w:ascii="Cambria" w:hAnsi="Cambria"/>
        <w:i/>
      </w:rPr>
      <w:tab/>
    </w:r>
    <w:r w:rsidR="004D064D">
      <w:rPr>
        <w:rFonts w:ascii="Cambria" w:hAnsi="Cambria"/>
        <w:i/>
      </w:rPr>
      <w:t xml:space="preserve">Tan </w:t>
    </w:r>
    <w:proofErr w:type="spellStart"/>
    <w:r w:rsidR="004D064D">
      <w:rPr>
        <w:rFonts w:ascii="Cambria" w:hAnsi="Cambria"/>
        <w:i/>
      </w:rPr>
      <w:t>Manh</w:t>
    </w:r>
    <w:proofErr w:type="spellEnd"/>
    <w:r w:rsidR="004D064D">
      <w:rPr>
        <w:rFonts w:ascii="Cambria" w:hAnsi="Cambria"/>
        <w:i/>
      </w:rPr>
      <w:t xml:space="preserve"> Do</w:t>
    </w:r>
    <w:r>
      <w:rPr>
        <w:rFonts w:ascii="Cambria" w:hAnsi="Cambria"/>
        <w:i/>
      </w:rPr>
      <w:t xml:space="preserve"> et al. </w:t>
    </w:r>
    <w:r w:rsidRPr="00F665CF">
      <w:rPr>
        <w:rFonts w:ascii="Cambria" w:hAnsi="Cambria"/>
        <w:i/>
      </w:rPr>
      <w:t>/Journal</w:t>
    </w:r>
    <w:r>
      <w:rPr>
        <w:rFonts w:ascii="Cambria" w:hAnsi="Cambria"/>
        <w:i/>
      </w:rPr>
      <w:t xml:space="preserve"> </w:t>
    </w:r>
    <w:r w:rsidRPr="00F665CF">
      <w:rPr>
        <w:rFonts w:ascii="Cambria" w:hAnsi="Cambria"/>
        <w:i/>
      </w:rPr>
      <w:t>of</w:t>
    </w:r>
    <w:r>
      <w:rPr>
        <w:rFonts w:ascii="Cambria" w:hAnsi="Cambria"/>
        <w:i/>
      </w:rPr>
      <w:t xml:space="preserve"> </w:t>
    </w:r>
    <w:r w:rsidRPr="00F665CF">
      <w:rPr>
        <w:rFonts w:ascii="Cambria" w:hAnsi="Cambria"/>
        <w:i/>
      </w:rPr>
      <w:t>Mining</w:t>
    </w:r>
    <w:r>
      <w:rPr>
        <w:rFonts w:ascii="Cambria" w:hAnsi="Cambria"/>
        <w:i/>
      </w:rPr>
      <w:t xml:space="preserve"> </w:t>
    </w:r>
    <w:r w:rsidRPr="00F665CF">
      <w:rPr>
        <w:rFonts w:ascii="Cambria" w:hAnsi="Cambria"/>
        <w:i/>
      </w:rPr>
      <w:t>and</w:t>
    </w:r>
    <w:r>
      <w:rPr>
        <w:rFonts w:ascii="Cambria" w:hAnsi="Cambria"/>
        <w:i/>
      </w:rPr>
      <w:t xml:space="preserve"> </w:t>
    </w:r>
    <w:r w:rsidRPr="00F665CF">
      <w:rPr>
        <w:rFonts w:ascii="Cambria" w:hAnsi="Cambria"/>
        <w:i/>
      </w:rPr>
      <w:t>Earth</w:t>
    </w:r>
    <w:r>
      <w:rPr>
        <w:rFonts w:ascii="Cambria" w:hAnsi="Cambria"/>
        <w:i/>
      </w:rPr>
      <w:t xml:space="preserve"> </w:t>
    </w:r>
    <w:r w:rsidRPr="00F665CF">
      <w:rPr>
        <w:rFonts w:ascii="Cambria" w:hAnsi="Cambria"/>
        <w:i/>
      </w:rPr>
      <w:t>Sciences</w:t>
    </w:r>
    <w:r>
      <w:rPr>
        <w:rFonts w:ascii="Cambria" w:hAnsi="Cambria"/>
        <w:i/>
      </w:rPr>
      <w:t xml:space="preserve"> 63 (3a)</w:t>
    </w:r>
    <w:r w:rsidRPr="00F665CF">
      <w:rPr>
        <w:rFonts w:ascii="Cambria" w:hAnsi="Cambria"/>
        <w:i/>
      </w:rPr>
      <w:t>,</w:t>
    </w:r>
    <w:r>
      <w:rPr>
        <w:rFonts w:ascii="Cambria" w:hAnsi="Cambria"/>
        <w:i/>
      </w:rPr>
      <w:t xml:space="preserve"> 8 - 13</w:t>
    </w:r>
    <w:r>
      <w:rPr>
        <w:rFonts w:ascii="Cambria" w:hAnsi="Cambria"/>
        <w:i/>
      </w:rPr>
      <w:tab/>
    </w:r>
    <w:r w:rsidRPr="001677D6">
      <w:rPr>
        <w:rFonts w:ascii="Cambria" w:hAnsi="Cambria"/>
      </w:rPr>
      <w:t>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292D7" w14:textId="745B5D5C" w:rsidR="000C3003" w:rsidRPr="00ED559E" w:rsidRDefault="000C3003" w:rsidP="00373552">
    <w:pPr>
      <w:pStyle w:val="Header"/>
      <w:tabs>
        <w:tab w:val="clear" w:pos="4680"/>
        <w:tab w:val="center" w:pos="4802"/>
      </w:tabs>
      <w:jc w:val="center"/>
    </w:pPr>
    <w:r>
      <w:rPr>
        <w:rFonts w:ascii="Cambria" w:hAnsi="Cambria"/>
      </w:rPr>
      <w:t>8</w:t>
    </w:r>
    <w:r>
      <w:rPr>
        <w:rFonts w:ascii="Cambria" w:hAnsi="Cambria"/>
      </w:rPr>
      <w:tab/>
    </w:r>
    <w:r w:rsidRPr="00ED559E">
      <w:rPr>
        <w:rFonts w:ascii="Cambria" w:hAnsi="Cambria"/>
      </w:rPr>
      <w:t>Journal</w:t>
    </w:r>
    <w:r>
      <w:rPr>
        <w:rFonts w:ascii="Cambria" w:hAnsi="Cambria"/>
      </w:rPr>
      <w:t xml:space="preserve"> </w:t>
    </w:r>
    <w:r w:rsidRPr="00ED559E">
      <w:rPr>
        <w:rFonts w:ascii="Cambria" w:hAnsi="Cambria"/>
      </w:rPr>
      <w:t>of</w:t>
    </w:r>
    <w:r>
      <w:rPr>
        <w:rFonts w:ascii="Cambria" w:hAnsi="Cambria"/>
      </w:rPr>
      <w:t xml:space="preserve"> </w:t>
    </w:r>
    <w:r w:rsidRPr="00ED559E">
      <w:rPr>
        <w:rFonts w:ascii="Cambria" w:hAnsi="Cambria"/>
      </w:rPr>
      <w:t>Mining</w:t>
    </w:r>
    <w:r>
      <w:rPr>
        <w:rFonts w:ascii="Cambria" w:hAnsi="Cambria"/>
      </w:rPr>
      <w:t xml:space="preserve"> </w:t>
    </w:r>
    <w:r w:rsidRPr="00ED559E">
      <w:rPr>
        <w:rFonts w:ascii="Cambria" w:hAnsi="Cambria"/>
      </w:rPr>
      <w:t>and</w:t>
    </w:r>
    <w:r>
      <w:rPr>
        <w:rFonts w:ascii="Cambria" w:hAnsi="Cambria"/>
      </w:rPr>
      <w:t xml:space="preserve"> </w:t>
    </w:r>
    <w:r w:rsidRPr="00ED559E">
      <w:rPr>
        <w:rFonts w:ascii="Cambria" w:hAnsi="Cambria"/>
      </w:rPr>
      <w:t>Earth</w:t>
    </w:r>
    <w:r>
      <w:rPr>
        <w:rFonts w:ascii="Cambria" w:hAnsi="Cambria"/>
      </w:rPr>
      <w:t xml:space="preserve"> </w:t>
    </w:r>
    <w:r w:rsidRPr="00ED559E">
      <w:rPr>
        <w:rFonts w:ascii="Cambria" w:hAnsi="Cambria"/>
      </w:rPr>
      <w:t>Sciences</w:t>
    </w:r>
    <w:r>
      <w:rPr>
        <w:rFonts w:ascii="Cambria" w:hAnsi="Cambria"/>
      </w:rPr>
      <w:t xml:space="preserve"> </w:t>
    </w:r>
    <w:r w:rsidRPr="00ED559E">
      <w:rPr>
        <w:rFonts w:ascii="Cambria" w:hAnsi="Cambria"/>
      </w:rPr>
      <w:t>Vol.</w:t>
    </w:r>
    <w:r>
      <w:rPr>
        <w:rFonts w:ascii="Cambria" w:hAnsi="Cambria"/>
      </w:rPr>
      <w:t xml:space="preserve"> 63, Issue 3a </w:t>
    </w:r>
    <w:r w:rsidRPr="00ED559E">
      <w:rPr>
        <w:rFonts w:ascii="Cambria" w:hAnsi="Cambria"/>
      </w:rPr>
      <w:t>(</w:t>
    </w:r>
    <w:r>
      <w:rPr>
        <w:rFonts w:ascii="Cambria" w:hAnsi="Cambria"/>
      </w:rPr>
      <w:t>2022</w:t>
    </w:r>
    <w:r w:rsidRPr="00ED559E">
      <w:rPr>
        <w:rFonts w:ascii="Cambria" w:hAnsi="Cambria"/>
      </w:rPr>
      <w:t>)</w:t>
    </w:r>
    <w:r>
      <w:rPr>
        <w:rFonts w:ascii="Cambria" w:hAnsi="Cambria"/>
      </w:rPr>
      <w:t xml:space="preserve"> 8 - 13</w:t>
    </w:r>
    <w:r>
      <w:rPr>
        <w:rFonts w:ascii="Cambria" w:hAnsi="Cambria"/>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863F2" w14:textId="1D386742" w:rsidR="000C3003" w:rsidRPr="006F662A" w:rsidRDefault="000C3003" w:rsidP="007D5114">
    <w:pPr>
      <w:pStyle w:val="Header"/>
      <w:jc w:val="left"/>
      <w:rPr>
        <w:rFonts w:ascii="Cambria" w:hAnsi="Cambria"/>
        <w:i/>
      </w:rPr>
    </w:pPr>
    <w:r w:rsidRPr="007D5114">
      <w:rPr>
        <w:rFonts w:ascii="Cambria" w:hAnsi="Cambria"/>
      </w:rPr>
      <w:t>2</w:t>
    </w:r>
    <w:r>
      <w:rPr>
        <w:rFonts w:ascii="Cambria" w:hAnsi="Cambria"/>
        <w:i/>
      </w:rPr>
      <w:tab/>
    </w:r>
    <w:r w:rsidR="0023110A">
      <w:rPr>
        <w:rFonts w:ascii="Cambria" w:hAnsi="Cambria"/>
        <w:i/>
      </w:rPr>
      <w:t xml:space="preserve">Tan </w:t>
    </w:r>
    <w:proofErr w:type="spellStart"/>
    <w:r w:rsidR="0023110A">
      <w:rPr>
        <w:rFonts w:ascii="Cambria" w:hAnsi="Cambria"/>
        <w:i/>
      </w:rPr>
      <w:t>Manh</w:t>
    </w:r>
    <w:proofErr w:type="spellEnd"/>
    <w:r w:rsidR="0023110A">
      <w:rPr>
        <w:rFonts w:ascii="Cambria" w:hAnsi="Cambria"/>
        <w:i/>
      </w:rPr>
      <w:t xml:space="preserve"> Do</w:t>
    </w:r>
    <w:r>
      <w:rPr>
        <w:rFonts w:ascii="Cambria" w:hAnsi="Cambria"/>
        <w:i/>
      </w:rPr>
      <w:t xml:space="preserve"> et al. </w:t>
    </w:r>
    <w:r w:rsidRPr="006F662A">
      <w:rPr>
        <w:rFonts w:ascii="Cambria" w:hAnsi="Cambria"/>
        <w:i/>
      </w:rPr>
      <w:t>/</w:t>
    </w:r>
    <w:r>
      <w:rPr>
        <w:rFonts w:ascii="Cambria" w:hAnsi="Cambria"/>
        <w:i/>
      </w:rPr>
      <w:t>Journal of Mining and Earth Sciences 63 (3a), 8 - 13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704B85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460E09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E38CD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BEC453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5D659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DF604F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01A7B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2CA147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31E8F6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E4CE3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E38EA"/>
    <w:multiLevelType w:val="hybridMultilevel"/>
    <w:tmpl w:val="44C6F476"/>
    <w:lvl w:ilvl="0" w:tplc="06623246">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230F54"/>
    <w:multiLevelType w:val="hybridMultilevel"/>
    <w:tmpl w:val="82AA3090"/>
    <w:lvl w:ilvl="0" w:tplc="80D27CBE">
      <w:start w:val="1"/>
      <w:numFmt w:val="bullet"/>
      <w:lvlText w:val="-"/>
      <w:lvlJc w:val="left"/>
      <w:pPr>
        <w:tabs>
          <w:tab w:val="num" w:pos="720"/>
        </w:tabs>
        <w:ind w:left="720" w:hanging="360"/>
      </w:pPr>
      <w:rPr>
        <w:rFonts w:ascii="Times New Roman" w:hAnsi="Times New Roman" w:hint="default"/>
      </w:rPr>
    </w:lvl>
    <w:lvl w:ilvl="1" w:tplc="0C1866FE" w:tentative="1">
      <w:start w:val="1"/>
      <w:numFmt w:val="bullet"/>
      <w:lvlText w:val="-"/>
      <w:lvlJc w:val="left"/>
      <w:pPr>
        <w:tabs>
          <w:tab w:val="num" w:pos="1440"/>
        </w:tabs>
        <w:ind w:left="1440" w:hanging="360"/>
      </w:pPr>
      <w:rPr>
        <w:rFonts w:ascii="Times New Roman" w:hAnsi="Times New Roman" w:hint="default"/>
      </w:rPr>
    </w:lvl>
    <w:lvl w:ilvl="2" w:tplc="87AE81C8" w:tentative="1">
      <w:start w:val="1"/>
      <w:numFmt w:val="bullet"/>
      <w:lvlText w:val="-"/>
      <w:lvlJc w:val="left"/>
      <w:pPr>
        <w:tabs>
          <w:tab w:val="num" w:pos="2160"/>
        </w:tabs>
        <w:ind w:left="2160" w:hanging="360"/>
      </w:pPr>
      <w:rPr>
        <w:rFonts w:ascii="Times New Roman" w:hAnsi="Times New Roman" w:hint="default"/>
      </w:rPr>
    </w:lvl>
    <w:lvl w:ilvl="3" w:tplc="739C82E4" w:tentative="1">
      <w:start w:val="1"/>
      <w:numFmt w:val="bullet"/>
      <w:lvlText w:val="-"/>
      <w:lvlJc w:val="left"/>
      <w:pPr>
        <w:tabs>
          <w:tab w:val="num" w:pos="2880"/>
        </w:tabs>
        <w:ind w:left="2880" w:hanging="360"/>
      </w:pPr>
      <w:rPr>
        <w:rFonts w:ascii="Times New Roman" w:hAnsi="Times New Roman" w:hint="default"/>
      </w:rPr>
    </w:lvl>
    <w:lvl w:ilvl="4" w:tplc="FA9842EE" w:tentative="1">
      <w:start w:val="1"/>
      <w:numFmt w:val="bullet"/>
      <w:lvlText w:val="-"/>
      <w:lvlJc w:val="left"/>
      <w:pPr>
        <w:tabs>
          <w:tab w:val="num" w:pos="3600"/>
        </w:tabs>
        <w:ind w:left="3600" w:hanging="360"/>
      </w:pPr>
      <w:rPr>
        <w:rFonts w:ascii="Times New Roman" w:hAnsi="Times New Roman" w:hint="default"/>
      </w:rPr>
    </w:lvl>
    <w:lvl w:ilvl="5" w:tplc="2CFE6734" w:tentative="1">
      <w:start w:val="1"/>
      <w:numFmt w:val="bullet"/>
      <w:lvlText w:val="-"/>
      <w:lvlJc w:val="left"/>
      <w:pPr>
        <w:tabs>
          <w:tab w:val="num" w:pos="4320"/>
        </w:tabs>
        <w:ind w:left="4320" w:hanging="360"/>
      </w:pPr>
      <w:rPr>
        <w:rFonts w:ascii="Times New Roman" w:hAnsi="Times New Roman" w:hint="default"/>
      </w:rPr>
    </w:lvl>
    <w:lvl w:ilvl="6" w:tplc="D0501A8E" w:tentative="1">
      <w:start w:val="1"/>
      <w:numFmt w:val="bullet"/>
      <w:lvlText w:val="-"/>
      <w:lvlJc w:val="left"/>
      <w:pPr>
        <w:tabs>
          <w:tab w:val="num" w:pos="5040"/>
        </w:tabs>
        <w:ind w:left="5040" w:hanging="360"/>
      </w:pPr>
      <w:rPr>
        <w:rFonts w:ascii="Times New Roman" w:hAnsi="Times New Roman" w:hint="default"/>
      </w:rPr>
    </w:lvl>
    <w:lvl w:ilvl="7" w:tplc="0DB08EA8" w:tentative="1">
      <w:start w:val="1"/>
      <w:numFmt w:val="bullet"/>
      <w:lvlText w:val="-"/>
      <w:lvlJc w:val="left"/>
      <w:pPr>
        <w:tabs>
          <w:tab w:val="num" w:pos="5760"/>
        </w:tabs>
        <w:ind w:left="5760" w:hanging="360"/>
      </w:pPr>
      <w:rPr>
        <w:rFonts w:ascii="Times New Roman" w:hAnsi="Times New Roman" w:hint="default"/>
      </w:rPr>
    </w:lvl>
    <w:lvl w:ilvl="8" w:tplc="61709110"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1AB24D2F"/>
    <w:multiLevelType w:val="multilevel"/>
    <w:tmpl w:val="798A32DE"/>
    <w:lvl w:ilvl="0">
      <w:start w:val="2"/>
      <w:numFmt w:val="decimal"/>
      <w:lvlText w:val="%1."/>
      <w:lvlJc w:val="left"/>
      <w:pPr>
        <w:ind w:left="360" w:hanging="360"/>
      </w:pPr>
      <w:rPr>
        <w:rFonts w:hint="default"/>
      </w:rPr>
    </w:lvl>
    <w:lvl w:ilvl="1">
      <w:start w:val="1"/>
      <w:numFmt w:val="decimal"/>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13" w15:restartNumberingAfterBreak="0">
    <w:nsid w:val="2DE4367C"/>
    <w:multiLevelType w:val="hybridMultilevel"/>
    <w:tmpl w:val="016AB344"/>
    <w:lvl w:ilvl="0" w:tplc="6CC8A3D8">
      <w:start w:val="1"/>
      <w:numFmt w:val="decimal"/>
      <w:lvlText w:val="%1."/>
      <w:lvlJc w:val="left"/>
      <w:pPr>
        <w:ind w:left="922" w:hanging="360"/>
      </w:pPr>
      <w:rPr>
        <w:rFonts w:hint="default"/>
        <w:b/>
      </w:rPr>
    </w:lvl>
    <w:lvl w:ilvl="1" w:tplc="04090019">
      <w:start w:val="1"/>
      <w:numFmt w:val="lowerLetter"/>
      <w:lvlText w:val="%2."/>
      <w:lvlJc w:val="left"/>
      <w:pPr>
        <w:ind w:left="1642" w:hanging="360"/>
      </w:pPr>
    </w:lvl>
    <w:lvl w:ilvl="2" w:tplc="0409001B">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14" w15:restartNumberingAfterBreak="0">
    <w:nsid w:val="35B226C0"/>
    <w:multiLevelType w:val="hybridMultilevel"/>
    <w:tmpl w:val="8200C840"/>
    <w:lvl w:ilvl="0" w:tplc="C9C4DDF4">
      <w:start w:val="1"/>
      <w:numFmt w:val="bullet"/>
      <w:lvlText w:val="-"/>
      <w:lvlJc w:val="left"/>
      <w:pPr>
        <w:ind w:left="720" w:hanging="360"/>
      </w:pPr>
      <w:rPr>
        <w:rFonts w:ascii="Cambria" w:eastAsiaTheme="minorHAnsi"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86426E"/>
    <w:multiLevelType w:val="hybridMultilevel"/>
    <w:tmpl w:val="3ACE3B36"/>
    <w:lvl w:ilvl="0" w:tplc="86B69B82">
      <w:start w:val="12"/>
      <w:numFmt w:val="bullet"/>
      <w:lvlText w:val=""/>
      <w:lvlJc w:val="left"/>
      <w:pPr>
        <w:ind w:left="720" w:hanging="360"/>
      </w:pPr>
      <w:rPr>
        <w:rFonts w:ascii="Symbol" w:eastAsiaTheme="minorEastAsia"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0B1181D"/>
    <w:multiLevelType w:val="hybridMultilevel"/>
    <w:tmpl w:val="7E363CE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1203A51"/>
    <w:multiLevelType w:val="hybridMultilevel"/>
    <w:tmpl w:val="F634CFBA"/>
    <w:lvl w:ilvl="0" w:tplc="BCBCEA60">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A3108F6"/>
    <w:multiLevelType w:val="hybridMultilevel"/>
    <w:tmpl w:val="C9AA10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F901E9"/>
    <w:multiLevelType w:val="hybridMultilevel"/>
    <w:tmpl w:val="ABE057A0"/>
    <w:lvl w:ilvl="0" w:tplc="97FC17D6">
      <w:start w:val="1"/>
      <w:numFmt w:val="bullet"/>
      <w:lvlText w:val="-"/>
      <w:lvlJc w:val="left"/>
      <w:pPr>
        <w:ind w:left="720" w:hanging="360"/>
      </w:pPr>
      <w:rPr>
        <w:rFonts w:ascii="Cambria" w:eastAsiaTheme="minorHAnsi"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B40A23"/>
    <w:multiLevelType w:val="hybridMultilevel"/>
    <w:tmpl w:val="31363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13974331">
    <w:abstractNumId w:val="9"/>
  </w:num>
  <w:num w:numId="2" w16cid:durableId="1494908680">
    <w:abstractNumId w:val="7"/>
  </w:num>
  <w:num w:numId="3" w16cid:durableId="625359205">
    <w:abstractNumId w:val="6"/>
  </w:num>
  <w:num w:numId="4" w16cid:durableId="559629848">
    <w:abstractNumId w:val="5"/>
  </w:num>
  <w:num w:numId="5" w16cid:durableId="2041008924">
    <w:abstractNumId w:val="4"/>
  </w:num>
  <w:num w:numId="6" w16cid:durableId="1630864534">
    <w:abstractNumId w:val="8"/>
  </w:num>
  <w:num w:numId="7" w16cid:durableId="279343548">
    <w:abstractNumId w:val="3"/>
  </w:num>
  <w:num w:numId="8" w16cid:durableId="1741710096">
    <w:abstractNumId w:val="2"/>
  </w:num>
  <w:num w:numId="9" w16cid:durableId="1152403020">
    <w:abstractNumId w:val="1"/>
  </w:num>
  <w:num w:numId="10" w16cid:durableId="1382291179">
    <w:abstractNumId w:val="0"/>
  </w:num>
  <w:num w:numId="11" w16cid:durableId="2009091273">
    <w:abstractNumId w:val="13"/>
  </w:num>
  <w:num w:numId="12" w16cid:durableId="1789741452">
    <w:abstractNumId w:val="12"/>
  </w:num>
  <w:num w:numId="13" w16cid:durableId="69619310">
    <w:abstractNumId w:val="20"/>
  </w:num>
  <w:num w:numId="14" w16cid:durableId="320814461">
    <w:abstractNumId w:val="16"/>
  </w:num>
  <w:num w:numId="15" w16cid:durableId="916011397">
    <w:abstractNumId w:val="18"/>
  </w:num>
  <w:num w:numId="16" w16cid:durableId="2091271596">
    <w:abstractNumId w:val="15"/>
  </w:num>
  <w:num w:numId="17" w16cid:durableId="90853487">
    <w:abstractNumId w:val="17"/>
  </w:num>
  <w:num w:numId="18" w16cid:durableId="424762428">
    <w:abstractNumId w:val="10"/>
  </w:num>
  <w:num w:numId="19" w16cid:durableId="1839729249">
    <w:abstractNumId w:val="19"/>
  </w:num>
  <w:num w:numId="20" w16cid:durableId="321474540">
    <w:abstractNumId w:val="14"/>
  </w:num>
  <w:num w:numId="21" w16cid:durableId="5453411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00"/>
  <w:drawingGridVerticalSpacing w:val="136"/>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YzNTYyNDQ3NrEwtzRT0lEKTi0uzszPAykwqwUAnQM6ASwAAAA="/>
  </w:docVars>
  <w:rsids>
    <w:rsidRoot w:val="00CA73C0"/>
    <w:rsid w:val="00000062"/>
    <w:rsid w:val="000002EC"/>
    <w:rsid w:val="00001E46"/>
    <w:rsid w:val="0000551B"/>
    <w:rsid w:val="00010B21"/>
    <w:rsid w:val="00015BC9"/>
    <w:rsid w:val="00021875"/>
    <w:rsid w:val="00022C39"/>
    <w:rsid w:val="00023B4C"/>
    <w:rsid w:val="000244DE"/>
    <w:rsid w:val="00026EE8"/>
    <w:rsid w:val="00030B94"/>
    <w:rsid w:val="0003426B"/>
    <w:rsid w:val="00034385"/>
    <w:rsid w:val="000348FA"/>
    <w:rsid w:val="000430DE"/>
    <w:rsid w:val="000432A2"/>
    <w:rsid w:val="00043B24"/>
    <w:rsid w:val="0004488E"/>
    <w:rsid w:val="00044B33"/>
    <w:rsid w:val="0005126C"/>
    <w:rsid w:val="00052D76"/>
    <w:rsid w:val="00052F5B"/>
    <w:rsid w:val="00055344"/>
    <w:rsid w:val="00055988"/>
    <w:rsid w:val="00061C19"/>
    <w:rsid w:val="000633C6"/>
    <w:rsid w:val="000652F0"/>
    <w:rsid w:val="00065533"/>
    <w:rsid w:val="000655C0"/>
    <w:rsid w:val="000670FF"/>
    <w:rsid w:val="00067E44"/>
    <w:rsid w:val="00071AEB"/>
    <w:rsid w:val="00071F4B"/>
    <w:rsid w:val="0007419E"/>
    <w:rsid w:val="000776AE"/>
    <w:rsid w:val="00083154"/>
    <w:rsid w:val="0009531A"/>
    <w:rsid w:val="000968B3"/>
    <w:rsid w:val="000A3649"/>
    <w:rsid w:val="000B1825"/>
    <w:rsid w:val="000B1F99"/>
    <w:rsid w:val="000B2FC0"/>
    <w:rsid w:val="000B34F7"/>
    <w:rsid w:val="000C0F08"/>
    <w:rsid w:val="000C3003"/>
    <w:rsid w:val="000C3935"/>
    <w:rsid w:val="000C3B61"/>
    <w:rsid w:val="000C7792"/>
    <w:rsid w:val="000C79D2"/>
    <w:rsid w:val="000D03F9"/>
    <w:rsid w:val="000D0A11"/>
    <w:rsid w:val="000D1FFD"/>
    <w:rsid w:val="000D6B1F"/>
    <w:rsid w:val="000E10E8"/>
    <w:rsid w:val="000E7FE8"/>
    <w:rsid w:val="000F0881"/>
    <w:rsid w:val="000F2EBC"/>
    <w:rsid w:val="000F36F0"/>
    <w:rsid w:val="000F4662"/>
    <w:rsid w:val="000F6931"/>
    <w:rsid w:val="000F7A73"/>
    <w:rsid w:val="000F7D81"/>
    <w:rsid w:val="001027DB"/>
    <w:rsid w:val="00103AAD"/>
    <w:rsid w:val="0011040E"/>
    <w:rsid w:val="00110E70"/>
    <w:rsid w:val="0011221A"/>
    <w:rsid w:val="001125C9"/>
    <w:rsid w:val="00112EBC"/>
    <w:rsid w:val="00116BDF"/>
    <w:rsid w:val="001175C0"/>
    <w:rsid w:val="001202B7"/>
    <w:rsid w:val="00121943"/>
    <w:rsid w:val="001255F6"/>
    <w:rsid w:val="00125D8A"/>
    <w:rsid w:val="0012614B"/>
    <w:rsid w:val="00126646"/>
    <w:rsid w:val="00126663"/>
    <w:rsid w:val="00126F44"/>
    <w:rsid w:val="00127BDB"/>
    <w:rsid w:val="001335ED"/>
    <w:rsid w:val="001342A7"/>
    <w:rsid w:val="001366F2"/>
    <w:rsid w:val="00136E6D"/>
    <w:rsid w:val="00136EB8"/>
    <w:rsid w:val="00142A8D"/>
    <w:rsid w:val="0014465D"/>
    <w:rsid w:val="00144AEE"/>
    <w:rsid w:val="0015069D"/>
    <w:rsid w:val="00151970"/>
    <w:rsid w:val="001529FD"/>
    <w:rsid w:val="00153E44"/>
    <w:rsid w:val="001549F9"/>
    <w:rsid w:val="0015617A"/>
    <w:rsid w:val="0015698E"/>
    <w:rsid w:val="00156C2E"/>
    <w:rsid w:val="00157782"/>
    <w:rsid w:val="001604D0"/>
    <w:rsid w:val="001644EF"/>
    <w:rsid w:val="00165C1D"/>
    <w:rsid w:val="001677D6"/>
    <w:rsid w:val="00170389"/>
    <w:rsid w:val="00170533"/>
    <w:rsid w:val="00170B2E"/>
    <w:rsid w:val="00173161"/>
    <w:rsid w:val="00173F48"/>
    <w:rsid w:val="0017546B"/>
    <w:rsid w:val="001761A0"/>
    <w:rsid w:val="00180D1B"/>
    <w:rsid w:val="0018175B"/>
    <w:rsid w:val="0018335E"/>
    <w:rsid w:val="0018360D"/>
    <w:rsid w:val="001842B1"/>
    <w:rsid w:val="0019353E"/>
    <w:rsid w:val="00194149"/>
    <w:rsid w:val="00194255"/>
    <w:rsid w:val="00195628"/>
    <w:rsid w:val="001A0828"/>
    <w:rsid w:val="001A0A72"/>
    <w:rsid w:val="001A15A0"/>
    <w:rsid w:val="001A1A28"/>
    <w:rsid w:val="001A475F"/>
    <w:rsid w:val="001A5B82"/>
    <w:rsid w:val="001A7B46"/>
    <w:rsid w:val="001B0999"/>
    <w:rsid w:val="001B2372"/>
    <w:rsid w:val="001B273B"/>
    <w:rsid w:val="001B3D6E"/>
    <w:rsid w:val="001B4720"/>
    <w:rsid w:val="001B6B05"/>
    <w:rsid w:val="001C0E69"/>
    <w:rsid w:val="001C3D75"/>
    <w:rsid w:val="001C4FDB"/>
    <w:rsid w:val="001C6BFC"/>
    <w:rsid w:val="001C7CD8"/>
    <w:rsid w:val="001C7D05"/>
    <w:rsid w:val="001D199C"/>
    <w:rsid w:val="001D6E79"/>
    <w:rsid w:val="001E175A"/>
    <w:rsid w:val="001E21A8"/>
    <w:rsid w:val="001E249C"/>
    <w:rsid w:val="001E2EC0"/>
    <w:rsid w:val="001E4152"/>
    <w:rsid w:val="001E580C"/>
    <w:rsid w:val="001E705B"/>
    <w:rsid w:val="001F0256"/>
    <w:rsid w:val="001F2303"/>
    <w:rsid w:val="001F3881"/>
    <w:rsid w:val="001F499D"/>
    <w:rsid w:val="00201475"/>
    <w:rsid w:val="00201F28"/>
    <w:rsid w:val="00204E0B"/>
    <w:rsid w:val="0020610E"/>
    <w:rsid w:val="00210241"/>
    <w:rsid w:val="00211ECD"/>
    <w:rsid w:val="00214E47"/>
    <w:rsid w:val="00216FFA"/>
    <w:rsid w:val="00220DCF"/>
    <w:rsid w:val="002225DF"/>
    <w:rsid w:val="002259B3"/>
    <w:rsid w:val="00225B5D"/>
    <w:rsid w:val="00227921"/>
    <w:rsid w:val="0023110A"/>
    <w:rsid w:val="002312F9"/>
    <w:rsid w:val="00233C09"/>
    <w:rsid w:val="00234CC4"/>
    <w:rsid w:val="00235B10"/>
    <w:rsid w:val="002416DD"/>
    <w:rsid w:val="0024639D"/>
    <w:rsid w:val="00247ECA"/>
    <w:rsid w:val="002502B4"/>
    <w:rsid w:val="00252438"/>
    <w:rsid w:val="002549A6"/>
    <w:rsid w:val="00254D52"/>
    <w:rsid w:val="00260049"/>
    <w:rsid w:val="00265456"/>
    <w:rsid w:val="00266411"/>
    <w:rsid w:val="00266722"/>
    <w:rsid w:val="002713AC"/>
    <w:rsid w:val="00272106"/>
    <w:rsid w:val="002759C7"/>
    <w:rsid w:val="00277412"/>
    <w:rsid w:val="00277B89"/>
    <w:rsid w:val="00280FBF"/>
    <w:rsid w:val="00283105"/>
    <w:rsid w:val="00283C1B"/>
    <w:rsid w:val="00284545"/>
    <w:rsid w:val="00284C50"/>
    <w:rsid w:val="00285E2B"/>
    <w:rsid w:val="002918AF"/>
    <w:rsid w:val="00292303"/>
    <w:rsid w:val="00295346"/>
    <w:rsid w:val="002A1044"/>
    <w:rsid w:val="002A1900"/>
    <w:rsid w:val="002A20C2"/>
    <w:rsid w:val="002A285A"/>
    <w:rsid w:val="002A3FE1"/>
    <w:rsid w:val="002A4545"/>
    <w:rsid w:val="002A79F9"/>
    <w:rsid w:val="002B05C1"/>
    <w:rsid w:val="002B1573"/>
    <w:rsid w:val="002B1738"/>
    <w:rsid w:val="002B3BC3"/>
    <w:rsid w:val="002B5103"/>
    <w:rsid w:val="002B605B"/>
    <w:rsid w:val="002B72D3"/>
    <w:rsid w:val="002C0E55"/>
    <w:rsid w:val="002C227B"/>
    <w:rsid w:val="002C3CF4"/>
    <w:rsid w:val="002C525D"/>
    <w:rsid w:val="002C5B6D"/>
    <w:rsid w:val="002C5C7F"/>
    <w:rsid w:val="002D091C"/>
    <w:rsid w:val="002D381E"/>
    <w:rsid w:val="002D5A44"/>
    <w:rsid w:val="002D6242"/>
    <w:rsid w:val="002D62BF"/>
    <w:rsid w:val="002D6C14"/>
    <w:rsid w:val="002E6796"/>
    <w:rsid w:val="002F0212"/>
    <w:rsid w:val="002F1107"/>
    <w:rsid w:val="002F42E3"/>
    <w:rsid w:val="002F45AC"/>
    <w:rsid w:val="00311D6E"/>
    <w:rsid w:val="00323E2B"/>
    <w:rsid w:val="00327C89"/>
    <w:rsid w:val="00332F62"/>
    <w:rsid w:val="00334740"/>
    <w:rsid w:val="003375D5"/>
    <w:rsid w:val="0034203B"/>
    <w:rsid w:val="00342D08"/>
    <w:rsid w:val="00343287"/>
    <w:rsid w:val="0034395E"/>
    <w:rsid w:val="00343B91"/>
    <w:rsid w:val="003445B4"/>
    <w:rsid w:val="00344934"/>
    <w:rsid w:val="00345BB0"/>
    <w:rsid w:val="003463AC"/>
    <w:rsid w:val="00346E97"/>
    <w:rsid w:val="003470CC"/>
    <w:rsid w:val="00352504"/>
    <w:rsid w:val="003576AD"/>
    <w:rsid w:val="00361584"/>
    <w:rsid w:val="003627D6"/>
    <w:rsid w:val="00362A36"/>
    <w:rsid w:val="003636D4"/>
    <w:rsid w:val="00363E86"/>
    <w:rsid w:val="00365369"/>
    <w:rsid w:val="00365694"/>
    <w:rsid w:val="00365B8E"/>
    <w:rsid w:val="00365F43"/>
    <w:rsid w:val="00366B84"/>
    <w:rsid w:val="00370104"/>
    <w:rsid w:val="003705B3"/>
    <w:rsid w:val="00371E45"/>
    <w:rsid w:val="00372562"/>
    <w:rsid w:val="00373552"/>
    <w:rsid w:val="00376C86"/>
    <w:rsid w:val="0037754A"/>
    <w:rsid w:val="00381CF2"/>
    <w:rsid w:val="003824E7"/>
    <w:rsid w:val="0038342D"/>
    <w:rsid w:val="0038643C"/>
    <w:rsid w:val="003871E6"/>
    <w:rsid w:val="00390FA8"/>
    <w:rsid w:val="003916A3"/>
    <w:rsid w:val="00395044"/>
    <w:rsid w:val="00397022"/>
    <w:rsid w:val="003A01F0"/>
    <w:rsid w:val="003A03A0"/>
    <w:rsid w:val="003A4ADC"/>
    <w:rsid w:val="003A7521"/>
    <w:rsid w:val="003B517A"/>
    <w:rsid w:val="003B5621"/>
    <w:rsid w:val="003C1D52"/>
    <w:rsid w:val="003C334D"/>
    <w:rsid w:val="003C369E"/>
    <w:rsid w:val="003C3718"/>
    <w:rsid w:val="003D0368"/>
    <w:rsid w:val="003D0962"/>
    <w:rsid w:val="003D10F5"/>
    <w:rsid w:val="003D183B"/>
    <w:rsid w:val="003D4038"/>
    <w:rsid w:val="003D4648"/>
    <w:rsid w:val="003D5924"/>
    <w:rsid w:val="003D769D"/>
    <w:rsid w:val="003E0729"/>
    <w:rsid w:val="003E1412"/>
    <w:rsid w:val="003E38AA"/>
    <w:rsid w:val="003E43CB"/>
    <w:rsid w:val="003F1799"/>
    <w:rsid w:val="003F27DC"/>
    <w:rsid w:val="003F31A6"/>
    <w:rsid w:val="003F335C"/>
    <w:rsid w:val="003F5005"/>
    <w:rsid w:val="003F5498"/>
    <w:rsid w:val="00401420"/>
    <w:rsid w:val="004019FD"/>
    <w:rsid w:val="00405076"/>
    <w:rsid w:val="00406ABB"/>
    <w:rsid w:val="004125C9"/>
    <w:rsid w:val="004128E5"/>
    <w:rsid w:val="00417E01"/>
    <w:rsid w:val="00420D06"/>
    <w:rsid w:val="0042296A"/>
    <w:rsid w:val="0042381F"/>
    <w:rsid w:val="00423DE6"/>
    <w:rsid w:val="00424BF7"/>
    <w:rsid w:val="00426BF2"/>
    <w:rsid w:val="00427752"/>
    <w:rsid w:val="0043048F"/>
    <w:rsid w:val="0043071C"/>
    <w:rsid w:val="00432E49"/>
    <w:rsid w:val="00434566"/>
    <w:rsid w:val="004350BD"/>
    <w:rsid w:val="004404D6"/>
    <w:rsid w:val="004408FC"/>
    <w:rsid w:val="00442CDD"/>
    <w:rsid w:val="004430FD"/>
    <w:rsid w:val="00444FFD"/>
    <w:rsid w:val="00445618"/>
    <w:rsid w:val="00445FE0"/>
    <w:rsid w:val="004472B6"/>
    <w:rsid w:val="00450C79"/>
    <w:rsid w:val="00453B75"/>
    <w:rsid w:val="00455074"/>
    <w:rsid w:val="00456885"/>
    <w:rsid w:val="0046100B"/>
    <w:rsid w:val="004640A9"/>
    <w:rsid w:val="00464D64"/>
    <w:rsid w:val="00465712"/>
    <w:rsid w:val="00466097"/>
    <w:rsid w:val="0046679C"/>
    <w:rsid w:val="00472B07"/>
    <w:rsid w:val="004761A4"/>
    <w:rsid w:val="00476C98"/>
    <w:rsid w:val="0047799C"/>
    <w:rsid w:val="00482C66"/>
    <w:rsid w:val="00484855"/>
    <w:rsid w:val="00485079"/>
    <w:rsid w:val="0048517C"/>
    <w:rsid w:val="00485181"/>
    <w:rsid w:val="004910B9"/>
    <w:rsid w:val="00492B95"/>
    <w:rsid w:val="00492BD5"/>
    <w:rsid w:val="004A01BB"/>
    <w:rsid w:val="004A08BD"/>
    <w:rsid w:val="004A0E95"/>
    <w:rsid w:val="004A503E"/>
    <w:rsid w:val="004A5674"/>
    <w:rsid w:val="004A5A9F"/>
    <w:rsid w:val="004B16A7"/>
    <w:rsid w:val="004B28B3"/>
    <w:rsid w:val="004B28C5"/>
    <w:rsid w:val="004C2324"/>
    <w:rsid w:val="004C36E9"/>
    <w:rsid w:val="004C3E16"/>
    <w:rsid w:val="004C6836"/>
    <w:rsid w:val="004D064D"/>
    <w:rsid w:val="004D37EB"/>
    <w:rsid w:val="004D48B2"/>
    <w:rsid w:val="004D4E79"/>
    <w:rsid w:val="004D6BAE"/>
    <w:rsid w:val="004E0136"/>
    <w:rsid w:val="004E4616"/>
    <w:rsid w:val="004E567D"/>
    <w:rsid w:val="004E60D8"/>
    <w:rsid w:val="004F0111"/>
    <w:rsid w:val="004F0B4B"/>
    <w:rsid w:val="004F0C10"/>
    <w:rsid w:val="004F1241"/>
    <w:rsid w:val="004F3F08"/>
    <w:rsid w:val="004F4C01"/>
    <w:rsid w:val="0050159E"/>
    <w:rsid w:val="0051647E"/>
    <w:rsid w:val="005237C5"/>
    <w:rsid w:val="00523A41"/>
    <w:rsid w:val="0052470B"/>
    <w:rsid w:val="0052689F"/>
    <w:rsid w:val="00526B8C"/>
    <w:rsid w:val="00530C8A"/>
    <w:rsid w:val="00535B54"/>
    <w:rsid w:val="00536C3F"/>
    <w:rsid w:val="00536DE5"/>
    <w:rsid w:val="00543624"/>
    <w:rsid w:val="00546AFB"/>
    <w:rsid w:val="005555D0"/>
    <w:rsid w:val="00557ADF"/>
    <w:rsid w:val="00562A5F"/>
    <w:rsid w:val="00564922"/>
    <w:rsid w:val="00564941"/>
    <w:rsid w:val="00565784"/>
    <w:rsid w:val="005816C8"/>
    <w:rsid w:val="00581892"/>
    <w:rsid w:val="00581903"/>
    <w:rsid w:val="0058366D"/>
    <w:rsid w:val="00583EC7"/>
    <w:rsid w:val="00585D5B"/>
    <w:rsid w:val="005905C4"/>
    <w:rsid w:val="00591164"/>
    <w:rsid w:val="00591E1E"/>
    <w:rsid w:val="00592F05"/>
    <w:rsid w:val="00594771"/>
    <w:rsid w:val="005950DE"/>
    <w:rsid w:val="00596C85"/>
    <w:rsid w:val="00596F62"/>
    <w:rsid w:val="0059729E"/>
    <w:rsid w:val="005A7397"/>
    <w:rsid w:val="005B0A0E"/>
    <w:rsid w:val="005B2C6B"/>
    <w:rsid w:val="005B3058"/>
    <w:rsid w:val="005C0B20"/>
    <w:rsid w:val="005C3342"/>
    <w:rsid w:val="005C414F"/>
    <w:rsid w:val="005C5F32"/>
    <w:rsid w:val="005C6BCB"/>
    <w:rsid w:val="005D3428"/>
    <w:rsid w:val="005D3536"/>
    <w:rsid w:val="005E2248"/>
    <w:rsid w:val="005E4024"/>
    <w:rsid w:val="005E5147"/>
    <w:rsid w:val="005E6975"/>
    <w:rsid w:val="005E7746"/>
    <w:rsid w:val="005F1423"/>
    <w:rsid w:val="005F2750"/>
    <w:rsid w:val="005F4D3B"/>
    <w:rsid w:val="005F4F78"/>
    <w:rsid w:val="005F6443"/>
    <w:rsid w:val="00600151"/>
    <w:rsid w:val="00600359"/>
    <w:rsid w:val="006004F8"/>
    <w:rsid w:val="0060052A"/>
    <w:rsid w:val="00601A2A"/>
    <w:rsid w:val="00601DD2"/>
    <w:rsid w:val="00603AB7"/>
    <w:rsid w:val="0060667A"/>
    <w:rsid w:val="00614E5C"/>
    <w:rsid w:val="00614FB4"/>
    <w:rsid w:val="006156AE"/>
    <w:rsid w:val="0061712B"/>
    <w:rsid w:val="00617C2C"/>
    <w:rsid w:val="00621442"/>
    <w:rsid w:val="0062235F"/>
    <w:rsid w:val="00624A89"/>
    <w:rsid w:val="006253F9"/>
    <w:rsid w:val="006263D7"/>
    <w:rsid w:val="00626E8D"/>
    <w:rsid w:val="006333E9"/>
    <w:rsid w:val="006340C3"/>
    <w:rsid w:val="006357D7"/>
    <w:rsid w:val="0064039D"/>
    <w:rsid w:val="0064073C"/>
    <w:rsid w:val="00642CC0"/>
    <w:rsid w:val="006466A8"/>
    <w:rsid w:val="00651BB1"/>
    <w:rsid w:val="00653131"/>
    <w:rsid w:val="00657869"/>
    <w:rsid w:val="00657C5F"/>
    <w:rsid w:val="00660358"/>
    <w:rsid w:val="0066035D"/>
    <w:rsid w:val="00660398"/>
    <w:rsid w:val="006615DA"/>
    <w:rsid w:val="00661D9A"/>
    <w:rsid w:val="0066210C"/>
    <w:rsid w:val="00664400"/>
    <w:rsid w:val="00664697"/>
    <w:rsid w:val="00665FAC"/>
    <w:rsid w:val="0066757A"/>
    <w:rsid w:val="00670476"/>
    <w:rsid w:val="006705A5"/>
    <w:rsid w:val="00671969"/>
    <w:rsid w:val="00673287"/>
    <w:rsid w:val="00675009"/>
    <w:rsid w:val="00680DA8"/>
    <w:rsid w:val="0068632A"/>
    <w:rsid w:val="00691D36"/>
    <w:rsid w:val="006929DD"/>
    <w:rsid w:val="0069457D"/>
    <w:rsid w:val="00695434"/>
    <w:rsid w:val="00696049"/>
    <w:rsid w:val="006A0B99"/>
    <w:rsid w:val="006A1D8A"/>
    <w:rsid w:val="006A3BC3"/>
    <w:rsid w:val="006A4C3F"/>
    <w:rsid w:val="006A6D2A"/>
    <w:rsid w:val="006B269D"/>
    <w:rsid w:val="006B37C8"/>
    <w:rsid w:val="006B63A6"/>
    <w:rsid w:val="006B6AEB"/>
    <w:rsid w:val="006C1926"/>
    <w:rsid w:val="006C3B26"/>
    <w:rsid w:val="006C6FBE"/>
    <w:rsid w:val="006D02A9"/>
    <w:rsid w:val="006D1B70"/>
    <w:rsid w:val="006D4847"/>
    <w:rsid w:val="006D4D3E"/>
    <w:rsid w:val="006E01D3"/>
    <w:rsid w:val="006E16A4"/>
    <w:rsid w:val="006E16E1"/>
    <w:rsid w:val="006E7251"/>
    <w:rsid w:val="006E7369"/>
    <w:rsid w:val="006E7DCB"/>
    <w:rsid w:val="006F05E3"/>
    <w:rsid w:val="006F0CB5"/>
    <w:rsid w:val="006F32EA"/>
    <w:rsid w:val="006F4654"/>
    <w:rsid w:val="006F64DD"/>
    <w:rsid w:val="006F662A"/>
    <w:rsid w:val="006F6AA7"/>
    <w:rsid w:val="006F76A9"/>
    <w:rsid w:val="00706DCC"/>
    <w:rsid w:val="00710002"/>
    <w:rsid w:val="00710E3F"/>
    <w:rsid w:val="00712811"/>
    <w:rsid w:val="00714CA8"/>
    <w:rsid w:val="0072242B"/>
    <w:rsid w:val="00723546"/>
    <w:rsid w:val="00725B9B"/>
    <w:rsid w:val="0072620D"/>
    <w:rsid w:val="007265B4"/>
    <w:rsid w:val="00727E82"/>
    <w:rsid w:val="007323B7"/>
    <w:rsid w:val="00732DDB"/>
    <w:rsid w:val="00734517"/>
    <w:rsid w:val="0073617C"/>
    <w:rsid w:val="00737830"/>
    <w:rsid w:val="0074045F"/>
    <w:rsid w:val="00744000"/>
    <w:rsid w:val="007442E9"/>
    <w:rsid w:val="007519C4"/>
    <w:rsid w:val="00754140"/>
    <w:rsid w:val="007565B6"/>
    <w:rsid w:val="00761709"/>
    <w:rsid w:val="00762DD6"/>
    <w:rsid w:val="00765150"/>
    <w:rsid w:val="007665E4"/>
    <w:rsid w:val="007666F7"/>
    <w:rsid w:val="00767175"/>
    <w:rsid w:val="007714A5"/>
    <w:rsid w:val="007819EB"/>
    <w:rsid w:val="007854D8"/>
    <w:rsid w:val="00786EC0"/>
    <w:rsid w:val="00787A55"/>
    <w:rsid w:val="00787F8E"/>
    <w:rsid w:val="007908BF"/>
    <w:rsid w:val="0079182C"/>
    <w:rsid w:val="00792073"/>
    <w:rsid w:val="00793F10"/>
    <w:rsid w:val="00796DCF"/>
    <w:rsid w:val="007A08B7"/>
    <w:rsid w:val="007A396F"/>
    <w:rsid w:val="007A406C"/>
    <w:rsid w:val="007A5AA5"/>
    <w:rsid w:val="007A6DF1"/>
    <w:rsid w:val="007A7293"/>
    <w:rsid w:val="007A7801"/>
    <w:rsid w:val="007B0549"/>
    <w:rsid w:val="007B0596"/>
    <w:rsid w:val="007B379D"/>
    <w:rsid w:val="007B3A76"/>
    <w:rsid w:val="007B7FD2"/>
    <w:rsid w:val="007D3104"/>
    <w:rsid w:val="007D322A"/>
    <w:rsid w:val="007D4B83"/>
    <w:rsid w:val="007D5114"/>
    <w:rsid w:val="007D53D3"/>
    <w:rsid w:val="007D6018"/>
    <w:rsid w:val="007D780C"/>
    <w:rsid w:val="007E2317"/>
    <w:rsid w:val="007E2466"/>
    <w:rsid w:val="007E5F8A"/>
    <w:rsid w:val="007F0E7A"/>
    <w:rsid w:val="007F1292"/>
    <w:rsid w:val="007F30B8"/>
    <w:rsid w:val="007F5775"/>
    <w:rsid w:val="007F6C86"/>
    <w:rsid w:val="00800B6A"/>
    <w:rsid w:val="00800FFD"/>
    <w:rsid w:val="00804C35"/>
    <w:rsid w:val="0080694B"/>
    <w:rsid w:val="00810555"/>
    <w:rsid w:val="0081094C"/>
    <w:rsid w:val="00811986"/>
    <w:rsid w:val="0081240C"/>
    <w:rsid w:val="00813C9B"/>
    <w:rsid w:val="00813E07"/>
    <w:rsid w:val="008178E2"/>
    <w:rsid w:val="008178E6"/>
    <w:rsid w:val="0082064A"/>
    <w:rsid w:val="00822584"/>
    <w:rsid w:val="00826785"/>
    <w:rsid w:val="00826C8D"/>
    <w:rsid w:val="008323F4"/>
    <w:rsid w:val="00832EA6"/>
    <w:rsid w:val="00833F38"/>
    <w:rsid w:val="0083480C"/>
    <w:rsid w:val="00834989"/>
    <w:rsid w:val="008403D3"/>
    <w:rsid w:val="0084072D"/>
    <w:rsid w:val="00842DFB"/>
    <w:rsid w:val="00843066"/>
    <w:rsid w:val="00843661"/>
    <w:rsid w:val="00852D43"/>
    <w:rsid w:val="00861501"/>
    <w:rsid w:val="00862908"/>
    <w:rsid w:val="00871EE9"/>
    <w:rsid w:val="0087399B"/>
    <w:rsid w:val="00874991"/>
    <w:rsid w:val="00874E57"/>
    <w:rsid w:val="0087570C"/>
    <w:rsid w:val="00877392"/>
    <w:rsid w:val="00880E03"/>
    <w:rsid w:val="00882D95"/>
    <w:rsid w:val="0089315F"/>
    <w:rsid w:val="008A103D"/>
    <w:rsid w:val="008A29B4"/>
    <w:rsid w:val="008A47F3"/>
    <w:rsid w:val="008B0DAD"/>
    <w:rsid w:val="008B1C8D"/>
    <w:rsid w:val="008B3536"/>
    <w:rsid w:val="008B4CD9"/>
    <w:rsid w:val="008C1BDA"/>
    <w:rsid w:val="008C33D8"/>
    <w:rsid w:val="008C3869"/>
    <w:rsid w:val="008C4510"/>
    <w:rsid w:val="008C4B7E"/>
    <w:rsid w:val="008C69D5"/>
    <w:rsid w:val="008D137A"/>
    <w:rsid w:val="008D3362"/>
    <w:rsid w:val="008D714E"/>
    <w:rsid w:val="008E0DBA"/>
    <w:rsid w:val="008E141D"/>
    <w:rsid w:val="008E3E0E"/>
    <w:rsid w:val="008E7C09"/>
    <w:rsid w:val="008F01C6"/>
    <w:rsid w:val="008F0A37"/>
    <w:rsid w:val="008F28BB"/>
    <w:rsid w:val="008F4AF4"/>
    <w:rsid w:val="008F7C3C"/>
    <w:rsid w:val="0090760A"/>
    <w:rsid w:val="0091095D"/>
    <w:rsid w:val="00912FB9"/>
    <w:rsid w:val="009137B3"/>
    <w:rsid w:val="00914258"/>
    <w:rsid w:val="009159CD"/>
    <w:rsid w:val="009163C7"/>
    <w:rsid w:val="0091652F"/>
    <w:rsid w:val="00920C39"/>
    <w:rsid w:val="00923A1E"/>
    <w:rsid w:val="009311A8"/>
    <w:rsid w:val="00931F53"/>
    <w:rsid w:val="00933BCD"/>
    <w:rsid w:val="009340DD"/>
    <w:rsid w:val="009344F8"/>
    <w:rsid w:val="009364C8"/>
    <w:rsid w:val="009420D4"/>
    <w:rsid w:val="009509B8"/>
    <w:rsid w:val="00951D4C"/>
    <w:rsid w:val="009532C6"/>
    <w:rsid w:val="00953737"/>
    <w:rsid w:val="00964DD9"/>
    <w:rsid w:val="009657BD"/>
    <w:rsid w:val="00970191"/>
    <w:rsid w:val="00974F3E"/>
    <w:rsid w:val="00975929"/>
    <w:rsid w:val="00977245"/>
    <w:rsid w:val="009813FA"/>
    <w:rsid w:val="009864A5"/>
    <w:rsid w:val="00987FC9"/>
    <w:rsid w:val="00990CEC"/>
    <w:rsid w:val="00991186"/>
    <w:rsid w:val="009937C5"/>
    <w:rsid w:val="009940C4"/>
    <w:rsid w:val="00994318"/>
    <w:rsid w:val="00995206"/>
    <w:rsid w:val="009953ED"/>
    <w:rsid w:val="009A414F"/>
    <w:rsid w:val="009A437D"/>
    <w:rsid w:val="009A669F"/>
    <w:rsid w:val="009B00FA"/>
    <w:rsid w:val="009B1BFA"/>
    <w:rsid w:val="009B2A6C"/>
    <w:rsid w:val="009B2B60"/>
    <w:rsid w:val="009B3D7E"/>
    <w:rsid w:val="009B4FDB"/>
    <w:rsid w:val="009B5E43"/>
    <w:rsid w:val="009B67EB"/>
    <w:rsid w:val="009C04CF"/>
    <w:rsid w:val="009C238E"/>
    <w:rsid w:val="009C3DB3"/>
    <w:rsid w:val="009C5A5F"/>
    <w:rsid w:val="009C7755"/>
    <w:rsid w:val="009C7CEE"/>
    <w:rsid w:val="009D1D94"/>
    <w:rsid w:val="009D737B"/>
    <w:rsid w:val="009D7936"/>
    <w:rsid w:val="009D7B98"/>
    <w:rsid w:val="009E3414"/>
    <w:rsid w:val="009E35E3"/>
    <w:rsid w:val="009E63E7"/>
    <w:rsid w:val="009F1092"/>
    <w:rsid w:val="009F34DE"/>
    <w:rsid w:val="009F44DF"/>
    <w:rsid w:val="00A04B8D"/>
    <w:rsid w:val="00A0628B"/>
    <w:rsid w:val="00A111E4"/>
    <w:rsid w:val="00A129C8"/>
    <w:rsid w:val="00A2066C"/>
    <w:rsid w:val="00A21290"/>
    <w:rsid w:val="00A2466C"/>
    <w:rsid w:val="00A26B18"/>
    <w:rsid w:val="00A274AE"/>
    <w:rsid w:val="00A336D2"/>
    <w:rsid w:val="00A37A3D"/>
    <w:rsid w:val="00A42445"/>
    <w:rsid w:val="00A42763"/>
    <w:rsid w:val="00A513C0"/>
    <w:rsid w:val="00A52AFD"/>
    <w:rsid w:val="00A56723"/>
    <w:rsid w:val="00A56C74"/>
    <w:rsid w:val="00A6196D"/>
    <w:rsid w:val="00A61993"/>
    <w:rsid w:val="00A638AA"/>
    <w:rsid w:val="00A66206"/>
    <w:rsid w:val="00A6722E"/>
    <w:rsid w:val="00A675B0"/>
    <w:rsid w:val="00A676C6"/>
    <w:rsid w:val="00A7088B"/>
    <w:rsid w:val="00A71561"/>
    <w:rsid w:val="00A726A4"/>
    <w:rsid w:val="00A72A57"/>
    <w:rsid w:val="00A74E55"/>
    <w:rsid w:val="00A772FA"/>
    <w:rsid w:val="00A803F2"/>
    <w:rsid w:val="00A87ECE"/>
    <w:rsid w:val="00A94B7E"/>
    <w:rsid w:val="00A954D6"/>
    <w:rsid w:val="00A970BC"/>
    <w:rsid w:val="00AA4DD1"/>
    <w:rsid w:val="00AA4EE5"/>
    <w:rsid w:val="00AA5035"/>
    <w:rsid w:val="00AA60BD"/>
    <w:rsid w:val="00AA6ADD"/>
    <w:rsid w:val="00AA7ABB"/>
    <w:rsid w:val="00AB0FA4"/>
    <w:rsid w:val="00AB2434"/>
    <w:rsid w:val="00AB27E7"/>
    <w:rsid w:val="00AB543C"/>
    <w:rsid w:val="00AB5BAF"/>
    <w:rsid w:val="00AB6430"/>
    <w:rsid w:val="00AB6FA2"/>
    <w:rsid w:val="00AB72D1"/>
    <w:rsid w:val="00AC3951"/>
    <w:rsid w:val="00AC3E25"/>
    <w:rsid w:val="00AC3EDB"/>
    <w:rsid w:val="00AC5263"/>
    <w:rsid w:val="00AC5986"/>
    <w:rsid w:val="00AC5F8F"/>
    <w:rsid w:val="00AD0615"/>
    <w:rsid w:val="00AD0CE6"/>
    <w:rsid w:val="00AD2217"/>
    <w:rsid w:val="00AD23F0"/>
    <w:rsid w:val="00AD3397"/>
    <w:rsid w:val="00AD396C"/>
    <w:rsid w:val="00AD3AA1"/>
    <w:rsid w:val="00AD4250"/>
    <w:rsid w:val="00AD4ACB"/>
    <w:rsid w:val="00AD611E"/>
    <w:rsid w:val="00AD652C"/>
    <w:rsid w:val="00AE1AE4"/>
    <w:rsid w:val="00AE2A54"/>
    <w:rsid w:val="00AE34C3"/>
    <w:rsid w:val="00AE6085"/>
    <w:rsid w:val="00AE6437"/>
    <w:rsid w:val="00AF2AAC"/>
    <w:rsid w:val="00AF3E5F"/>
    <w:rsid w:val="00AF598C"/>
    <w:rsid w:val="00AF6902"/>
    <w:rsid w:val="00B0006F"/>
    <w:rsid w:val="00B00416"/>
    <w:rsid w:val="00B0369C"/>
    <w:rsid w:val="00B04A24"/>
    <w:rsid w:val="00B05A73"/>
    <w:rsid w:val="00B079F6"/>
    <w:rsid w:val="00B1024C"/>
    <w:rsid w:val="00B125D9"/>
    <w:rsid w:val="00B16BF7"/>
    <w:rsid w:val="00B16E4B"/>
    <w:rsid w:val="00B1756B"/>
    <w:rsid w:val="00B2616E"/>
    <w:rsid w:val="00B266AF"/>
    <w:rsid w:val="00B26E83"/>
    <w:rsid w:val="00B2727E"/>
    <w:rsid w:val="00B272AD"/>
    <w:rsid w:val="00B278C1"/>
    <w:rsid w:val="00B35494"/>
    <w:rsid w:val="00B4358D"/>
    <w:rsid w:val="00B46842"/>
    <w:rsid w:val="00B50D4B"/>
    <w:rsid w:val="00B5246A"/>
    <w:rsid w:val="00B5372A"/>
    <w:rsid w:val="00B55E1E"/>
    <w:rsid w:val="00B566E0"/>
    <w:rsid w:val="00B57C53"/>
    <w:rsid w:val="00B60BDD"/>
    <w:rsid w:val="00B66600"/>
    <w:rsid w:val="00B667AC"/>
    <w:rsid w:val="00B70716"/>
    <w:rsid w:val="00B737C8"/>
    <w:rsid w:val="00B82735"/>
    <w:rsid w:val="00B833CF"/>
    <w:rsid w:val="00B83AFA"/>
    <w:rsid w:val="00B87CDE"/>
    <w:rsid w:val="00B946D2"/>
    <w:rsid w:val="00B97A5F"/>
    <w:rsid w:val="00B97F5B"/>
    <w:rsid w:val="00BA2941"/>
    <w:rsid w:val="00BA33B1"/>
    <w:rsid w:val="00BA4FF1"/>
    <w:rsid w:val="00BA603E"/>
    <w:rsid w:val="00BA69BA"/>
    <w:rsid w:val="00BA7CDD"/>
    <w:rsid w:val="00BB0D32"/>
    <w:rsid w:val="00BB1EEC"/>
    <w:rsid w:val="00BB520C"/>
    <w:rsid w:val="00BB7C59"/>
    <w:rsid w:val="00BC141E"/>
    <w:rsid w:val="00BC381D"/>
    <w:rsid w:val="00BC65B2"/>
    <w:rsid w:val="00BC6D12"/>
    <w:rsid w:val="00BC7658"/>
    <w:rsid w:val="00BD2E0E"/>
    <w:rsid w:val="00BD3465"/>
    <w:rsid w:val="00BD368A"/>
    <w:rsid w:val="00BD489D"/>
    <w:rsid w:val="00BD67B4"/>
    <w:rsid w:val="00BD7D24"/>
    <w:rsid w:val="00BE0397"/>
    <w:rsid w:val="00BE0FD4"/>
    <w:rsid w:val="00BE2C67"/>
    <w:rsid w:val="00BE33BD"/>
    <w:rsid w:val="00BE607E"/>
    <w:rsid w:val="00BE6416"/>
    <w:rsid w:val="00BE6ADB"/>
    <w:rsid w:val="00BE744A"/>
    <w:rsid w:val="00BE7C19"/>
    <w:rsid w:val="00BF4929"/>
    <w:rsid w:val="00BF4EE5"/>
    <w:rsid w:val="00BF53CB"/>
    <w:rsid w:val="00BF5C69"/>
    <w:rsid w:val="00BF5F10"/>
    <w:rsid w:val="00BF73EB"/>
    <w:rsid w:val="00BF7E9C"/>
    <w:rsid w:val="00C04CFC"/>
    <w:rsid w:val="00C06935"/>
    <w:rsid w:val="00C1258D"/>
    <w:rsid w:val="00C15A74"/>
    <w:rsid w:val="00C1734D"/>
    <w:rsid w:val="00C20F85"/>
    <w:rsid w:val="00C219DB"/>
    <w:rsid w:val="00C2317B"/>
    <w:rsid w:val="00C265A1"/>
    <w:rsid w:val="00C275B8"/>
    <w:rsid w:val="00C27C78"/>
    <w:rsid w:val="00C318A4"/>
    <w:rsid w:val="00C31990"/>
    <w:rsid w:val="00C33C7D"/>
    <w:rsid w:val="00C33ED7"/>
    <w:rsid w:val="00C344AC"/>
    <w:rsid w:val="00C35034"/>
    <w:rsid w:val="00C35299"/>
    <w:rsid w:val="00C3596A"/>
    <w:rsid w:val="00C4049B"/>
    <w:rsid w:val="00C40BDC"/>
    <w:rsid w:val="00C42B37"/>
    <w:rsid w:val="00C44168"/>
    <w:rsid w:val="00C45E02"/>
    <w:rsid w:val="00C46796"/>
    <w:rsid w:val="00C529F2"/>
    <w:rsid w:val="00C53AED"/>
    <w:rsid w:val="00C55A28"/>
    <w:rsid w:val="00C564C1"/>
    <w:rsid w:val="00C60A1F"/>
    <w:rsid w:val="00C72AB1"/>
    <w:rsid w:val="00C75303"/>
    <w:rsid w:val="00C768A2"/>
    <w:rsid w:val="00C76A55"/>
    <w:rsid w:val="00C80244"/>
    <w:rsid w:val="00C81279"/>
    <w:rsid w:val="00C82B23"/>
    <w:rsid w:val="00C83278"/>
    <w:rsid w:val="00C8425A"/>
    <w:rsid w:val="00C84681"/>
    <w:rsid w:val="00C855C7"/>
    <w:rsid w:val="00C91850"/>
    <w:rsid w:val="00C9226C"/>
    <w:rsid w:val="00C971F9"/>
    <w:rsid w:val="00C97315"/>
    <w:rsid w:val="00CA0883"/>
    <w:rsid w:val="00CA73C0"/>
    <w:rsid w:val="00CB008D"/>
    <w:rsid w:val="00CB22C9"/>
    <w:rsid w:val="00CB2709"/>
    <w:rsid w:val="00CB43C3"/>
    <w:rsid w:val="00CC1EDB"/>
    <w:rsid w:val="00CC5A27"/>
    <w:rsid w:val="00CC67DA"/>
    <w:rsid w:val="00CC7C7B"/>
    <w:rsid w:val="00CC7F59"/>
    <w:rsid w:val="00CD0997"/>
    <w:rsid w:val="00CD0C5A"/>
    <w:rsid w:val="00CD1D27"/>
    <w:rsid w:val="00CD4B07"/>
    <w:rsid w:val="00CD5786"/>
    <w:rsid w:val="00CD6608"/>
    <w:rsid w:val="00CD686D"/>
    <w:rsid w:val="00CE2388"/>
    <w:rsid w:val="00CE36EF"/>
    <w:rsid w:val="00CE6129"/>
    <w:rsid w:val="00CF1378"/>
    <w:rsid w:val="00CF2931"/>
    <w:rsid w:val="00CF2E3C"/>
    <w:rsid w:val="00CF47E9"/>
    <w:rsid w:val="00D005F1"/>
    <w:rsid w:val="00D00B62"/>
    <w:rsid w:val="00D00E57"/>
    <w:rsid w:val="00D01972"/>
    <w:rsid w:val="00D02677"/>
    <w:rsid w:val="00D0514B"/>
    <w:rsid w:val="00D11AAB"/>
    <w:rsid w:val="00D12C2B"/>
    <w:rsid w:val="00D144CA"/>
    <w:rsid w:val="00D14759"/>
    <w:rsid w:val="00D172FA"/>
    <w:rsid w:val="00D204BB"/>
    <w:rsid w:val="00D30767"/>
    <w:rsid w:val="00D333B5"/>
    <w:rsid w:val="00D338EE"/>
    <w:rsid w:val="00D34E5D"/>
    <w:rsid w:val="00D35263"/>
    <w:rsid w:val="00D3731D"/>
    <w:rsid w:val="00D42CB5"/>
    <w:rsid w:val="00D466F4"/>
    <w:rsid w:val="00D46CB3"/>
    <w:rsid w:val="00D47763"/>
    <w:rsid w:val="00D479D8"/>
    <w:rsid w:val="00D50E3E"/>
    <w:rsid w:val="00D519E7"/>
    <w:rsid w:val="00D51F72"/>
    <w:rsid w:val="00D524C8"/>
    <w:rsid w:val="00D54FBC"/>
    <w:rsid w:val="00D55A62"/>
    <w:rsid w:val="00D55D82"/>
    <w:rsid w:val="00D55E2A"/>
    <w:rsid w:val="00D57DDB"/>
    <w:rsid w:val="00D60BC9"/>
    <w:rsid w:val="00D62D92"/>
    <w:rsid w:val="00D648B8"/>
    <w:rsid w:val="00D71117"/>
    <w:rsid w:val="00D713FC"/>
    <w:rsid w:val="00D72922"/>
    <w:rsid w:val="00D742C1"/>
    <w:rsid w:val="00D7753C"/>
    <w:rsid w:val="00D822F2"/>
    <w:rsid w:val="00D823B9"/>
    <w:rsid w:val="00D83879"/>
    <w:rsid w:val="00D86EF4"/>
    <w:rsid w:val="00D92964"/>
    <w:rsid w:val="00D94086"/>
    <w:rsid w:val="00D95295"/>
    <w:rsid w:val="00D9566E"/>
    <w:rsid w:val="00D95C64"/>
    <w:rsid w:val="00DA1D5C"/>
    <w:rsid w:val="00DA3C16"/>
    <w:rsid w:val="00DA708F"/>
    <w:rsid w:val="00DA72E0"/>
    <w:rsid w:val="00DB1969"/>
    <w:rsid w:val="00DB4A1B"/>
    <w:rsid w:val="00DB60BF"/>
    <w:rsid w:val="00DC1919"/>
    <w:rsid w:val="00DC354F"/>
    <w:rsid w:val="00DC36D1"/>
    <w:rsid w:val="00DC473D"/>
    <w:rsid w:val="00DC57BD"/>
    <w:rsid w:val="00DD07B8"/>
    <w:rsid w:val="00DD215A"/>
    <w:rsid w:val="00DD52FE"/>
    <w:rsid w:val="00DD5595"/>
    <w:rsid w:val="00DE3B35"/>
    <w:rsid w:val="00DE4670"/>
    <w:rsid w:val="00DE57EC"/>
    <w:rsid w:val="00DE58AB"/>
    <w:rsid w:val="00DE5D0F"/>
    <w:rsid w:val="00DE6D88"/>
    <w:rsid w:val="00DF36E3"/>
    <w:rsid w:val="00DF6A63"/>
    <w:rsid w:val="00E00A0F"/>
    <w:rsid w:val="00E01133"/>
    <w:rsid w:val="00E02D38"/>
    <w:rsid w:val="00E036C6"/>
    <w:rsid w:val="00E0373B"/>
    <w:rsid w:val="00E05631"/>
    <w:rsid w:val="00E17F0D"/>
    <w:rsid w:val="00E201F6"/>
    <w:rsid w:val="00E213A4"/>
    <w:rsid w:val="00E21B5B"/>
    <w:rsid w:val="00E22BD7"/>
    <w:rsid w:val="00E22D25"/>
    <w:rsid w:val="00E239A4"/>
    <w:rsid w:val="00E24350"/>
    <w:rsid w:val="00E2465B"/>
    <w:rsid w:val="00E25AF9"/>
    <w:rsid w:val="00E303AD"/>
    <w:rsid w:val="00E303FC"/>
    <w:rsid w:val="00E30CED"/>
    <w:rsid w:val="00E338E6"/>
    <w:rsid w:val="00E352CD"/>
    <w:rsid w:val="00E406D0"/>
    <w:rsid w:val="00E41A4E"/>
    <w:rsid w:val="00E41ECF"/>
    <w:rsid w:val="00E42795"/>
    <w:rsid w:val="00E43E33"/>
    <w:rsid w:val="00E44C41"/>
    <w:rsid w:val="00E44CE2"/>
    <w:rsid w:val="00E45AFA"/>
    <w:rsid w:val="00E4697C"/>
    <w:rsid w:val="00E47E43"/>
    <w:rsid w:val="00E51C6E"/>
    <w:rsid w:val="00E545BD"/>
    <w:rsid w:val="00E56D93"/>
    <w:rsid w:val="00E575FD"/>
    <w:rsid w:val="00E609A4"/>
    <w:rsid w:val="00E62516"/>
    <w:rsid w:val="00E62922"/>
    <w:rsid w:val="00E642A9"/>
    <w:rsid w:val="00E66958"/>
    <w:rsid w:val="00E66A78"/>
    <w:rsid w:val="00E709F9"/>
    <w:rsid w:val="00E721FD"/>
    <w:rsid w:val="00E74BF4"/>
    <w:rsid w:val="00E84F9E"/>
    <w:rsid w:val="00E91104"/>
    <w:rsid w:val="00E9514E"/>
    <w:rsid w:val="00EA109C"/>
    <w:rsid w:val="00EB0C58"/>
    <w:rsid w:val="00EB2EB1"/>
    <w:rsid w:val="00EB3249"/>
    <w:rsid w:val="00EB45B1"/>
    <w:rsid w:val="00EB4900"/>
    <w:rsid w:val="00EB5596"/>
    <w:rsid w:val="00EB6C27"/>
    <w:rsid w:val="00EC394D"/>
    <w:rsid w:val="00EC546A"/>
    <w:rsid w:val="00EC58BF"/>
    <w:rsid w:val="00EC66A7"/>
    <w:rsid w:val="00ED08F1"/>
    <w:rsid w:val="00ED2279"/>
    <w:rsid w:val="00ED4AD5"/>
    <w:rsid w:val="00ED4F7D"/>
    <w:rsid w:val="00ED559E"/>
    <w:rsid w:val="00ED7E84"/>
    <w:rsid w:val="00EE0B2E"/>
    <w:rsid w:val="00EE29F6"/>
    <w:rsid w:val="00EE337B"/>
    <w:rsid w:val="00EE6775"/>
    <w:rsid w:val="00EE69FB"/>
    <w:rsid w:val="00EE7340"/>
    <w:rsid w:val="00EF051C"/>
    <w:rsid w:val="00EF1692"/>
    <w:rsid w:val="00EF313B"/>
    <w:rsid w:val="00EF4B70"/>
    <w:rsid w:val="00EF5399"/>
    <w:rsid w:val="00EF733A"/>
    <w:rsid w:val="00EF75E2"/>
    <w:rsid w:val="00EF7EBE"/>
    <w:rsid w:val="00F02725"/>
    <w:rsid w:val="00F02949"/>
    <w:rsid w:val="00F05514"/>
    <w:rsid w:val="00F07184"/>
    <w:rsid w:val="00F07190"/>
    <w:rsid w:val="00F125F3"/>
    <w:rsid w:val="00F12F49"/>
    <w:rsid w:val="00F1447F"/>
    <w:rsid w:val="00F1510A"/>
    <w:rsid w:val="00F24E44"/>
    <w:rsid w:val="00F27405"/>
    <w:rsid w:val="00F416CE"/>
    <w:rsid w:val="00F41D7B"/>
    <w:rsid w:val="00F44A23"/>
    <w:rsid w:val="00F45708"/>
    <w:rsid w:val="00F46632"/>
    <w:rsid w:val="00F501E5"/>
    <w:rsid w:val="00F512E0"/>
    <w:rsid w:val="00F51386"/>
    <w:rsid w:val="00F51DA2"/>
    <w:rsid w:val="00F5291D"/>
    <w:rsid w:val="00F53293"/>
    <w:rsid w:val="00F5558C"/>
    <w:rsid w:val="00F57D5D"/>
    <w:rsid w:val="00F60842"/>
    <w:rsid w:val="00F63847"/>
    <w:rsid w:val="00F63BFF"/>
    <w:rsid w:val="00F64F26"/>
    <w:rsid w:val="00F65B03"/>
    <w:rsid w:val="00F6624A"/>
    <w:rsid w:val="00F665CF"/>
    <w:rsid w:val="00F672DF"/>
    <w:rsid w:val="00F73CEB"/>
    <w:rsid w:val="00F77F40"/>
    <w:rsid w:val="00F81A86"/>
    <w:rsid w:val="00F81F69"/>
    <w:rsid w:val="00F826BC"/>
    <w:rsid w:val="00F82D91"/>
    <w:rsid w:val="00F8314E"/>
    <w:rsid w:val="00F85320"/>
    <w:rsid w:val="00F85F8A"/>
    <w:rsid w:val="00F85FFC"/>
    <w:rsid w:val="00F87A9B"/>
    <w:rsid w:val="00F87F4C"/>
    <w:rsid w:val="00F9509E"/>
    <w:rsid w:val="00F96530"/>
    <w:rsid w:val="00F96A13"/>
    <w:rsid w:val="00F97044"/>
    <w:rsid w:val="00FA02AB"/>
    <w:rsid w:val="00FA13EB"/>
    <w:rsid w:val="00FA1B67"/>
    <w:rsid w:val="00FA2049"/>
    <w:rsid w:val="00FA26D8"/>
    <w:rsid w:val="00FA4FE0"/>
    <w:rsid w:val="00FA6B7F"/>
    <w:rsid w:val="00FB2A6F"/>
    <w:rsid w:val="00FB5A4A"/>
    <w:rsid w:val="00FC3C80"/>
    <w:rsid w:val="00FC403B"/>
    <w:rsid w:val="00FC410F"/>
    <w:rsid w:val="00FC613A"/>
    <w:rsid w:val="00FC617B"/>
    <w:rsid w:val="00FC70ED"/>
    <w:rsid w:val="00FD0FAC"/>
    <w:rsid w:val="00FD11E8"/>
    <w:rsid w:val="00FD3023"/>
    <w:rsid w:val="00FD3776"/>
    <w:rsid w:val="00FD461D"/>
    <w:rsid w:val="00FD6C4F"/>
    <w:rsid w:val="00FD74ED"/>
    <w:rsid w:val="00FE19F9"/>
    <w:rsid w:val="00FE2FB8"/>
    <w:rsid w:val="00FE3025"/>
    <w:rsid w:val="00FE344E"/>
    <w:rsid w:val="00FF0348"/>
    <w:rsid w:val="00FF458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9A3731"/>
  <w15:docId w15:val="{6C3D8C82-F216-4429-A7F5-2C796AE1F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737"/>
  </w:style>
  <w:style w:type="paragraph" w:styleId="Heading1">
    <w:name w:val="heading 1"/>
    <w:basedOn w:val="Normal"/>
    <w:next w:val="Normal"/>
    <w:link w:val="Heading1Char"/>
    <w:uiPriority w:val="9"/>
    <w:qFormat/>
    <w:rsid w:val="004128E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E7FE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57C53"/>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8B4CD9"/>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link w:val="Heading5Char"/>
    <w:uiPriority w:val="9"/>
    <w:qFormat/>
    <w:rsid w:val="00AD652C"/>
    <w:pPr>
      <w:spacing w:before="100" w:beforeAutospacing="1" w:after="100" w:afterAutospacing="1"/>
      <w:jc w:val="left"/>
      <w:outlineLvl w:val="4"/>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u">
    <w:name w:val="Tiêu đề"/>
    <w:basedOn w:val="BodyText"/>
    <w:link w:val="TiuChar"/>
    <w:qFormat/>
    <w:rsid w:val="00761709"/>
    <w:pPr>
      <w:spacing w:after="240"/>
    </w:pPr>
    <w:rPr>
      <w:rFonts w:ascii="Cambria" w:hAnsi="Cambria" w:cs="Microsoft Sans Serif"/>
      <w:bCs/>
      <w:spacing w:val="-2"/>
      <w:sz w:val="36"/>
      <w:szCs w:val="36"/>
    </w:rPr>
  </w:style>
  <w:style w:type="character" w:customStyle="1" w:styleId="TiuChar">
    <w:name w:val="Tiêu đề Char"/>
    <w:basedOn w:val="BodyTextChar"/>
    <w:link w:val="Tiu"/>
    <w:rsid w:val="00761709"/>
    <w:rPr>
      <w:rFonts w:ascii="Cambria" w:hAnsi="Cambria" w:cs="Microsoft Sans Serif"/>
      <w:bCs/>
      <w:spacing w:val="-2"/>
      <w:sz w:val="36"/>
      <w:szCs w:val="36"/>
    </w:rPr>
  </w:style>
  <w:style w:type="paragraph" w:styleId="BodyText">
    <w:name w:val="Body Text"/>
    <w:basedOn w:val="Normal"/>
    <w:link w:val="BodyTextChar"/>
    <w:uiPriority w:val="99"/>
    <w:semiHidden/>
    <w:unhideWhenUsed/>
    <w:rsid w:val="00761709"/>
    <w:pPr>
      <w:spacing w:after="120"/>
    </w:pPr>
  </w:style>
  <w:style w:type="character" w:customStyle="1" w:styleId="BodyTextChar">
    <w:name w:val="Body Text Char"/>
    <w:basedOn w:val="DefaultParagraphFont"/>
    <w:link w:val="BodyText"/>
    <w:uiPriority w:val="99"/>
    <w:semiHidden/>
    <w:rsid w:val="00761709"/>
  </w:style>
  <w:style w:type="paragraph" w:customStyle="1" w:styleId="Tmtt">
    <w:name w:val="Tóm tắt"/>
    <w:basedOn w:val="Normal"/>
    <w:link w:val="TmttChar"/>
    <w:qFormat/>
    <w:rsid w:val="00761709"/>
    <w:pPr>
      <w:spacing w:before="120" w:after="120" w:line="220" w:lineRule="exact"/>
    </w:pPr>
    <w:rPr>
      <w:rFonts w:ascii="Cambria" w:hAnsi="Cambria"/>
      <w:i/>
      <w:iCs/>
      <w:spacing w:val="-2"/>
      <w:sz w:val="22"/>
      <w:szCs w:val="22"/>
    </w:rPr>
  </w:style>
  <w:style w:type="character" w:customStyle="1" w:styleId="TmttChar">
    <w:name w:val="Tóm tắt Char"/>
    <w:basedOn w:val="DefaultParagraphFont"/>
    <w:link w:val="Tmtt"/>
    <w:rsid w:val="00761709"/>
    <w:rPr>
      <w:rFonts w:ascii="Cambria" w:hAnsi="Cambria"/>
      <w:i/>
      <w:iCs/>
      <w:spacing w:val="-2"/>
      <w:sz w:val="22"/>
      <w:szCs w:val="22"/>
    </w:rPr>
  </w:style>
  <w:style w:type="paragraph" w:customStyle="1" w:styleId="Tnbi">
    <w:name w:val="Tên bài"/>
    <w:basedOn w:val="Normal"/>
    <w:link w:val="TnbiChar"/>
    <w:autoRedefine/>
    <w:qFormat/>
    <w:rsid w:val="004128E5"/>
    <w:rPr>
      <w:rFonts w:ascii="Cambria" w:hAnsi="Cambria"/>
      <w:noProof/>
      <w:spacing w:val="-2"/>
      <w:sz w:val="36"/>
      <w:szCs w:val="32"/>
    </w:rPr>
  </w:style>
  <w:style w:type="character" w:customStyle="1" w:styleId="TnbiChar">
    <w:name w:val="Tên bài Char"/>
    <w:basedOn w:val="DefaultParagraphFont"/>
    <w:link w:val="Tnbi"/>
    <w:rsid w:val="004128E5"/>
    <w:rPr>
      <w:rFonts w:ascii="Cambria" w:hAnsi="Cambria"/>
      <w:noProof/>
      <w:spacing w:val="-2"/>
      <w:sz w:val="36"/>
      <w:szCs w:val="32"/>
    </w:rPr>
  </w:style>
  <w:style w:type="paragraph" w:customStyle="1" w:styleId="Tntcgi">
    <w:name w:val="Tên tác giả"/>
    <w:basedOn w:val="Normal"/>
    <w:link w:val="TntcgiChar"/>
    <w:autoRedefine/>
    <w:qFormat/>
    <w:rsid w:val="003E1412"/>
    <w:pPr>
      <w:spacing w:before="120" w:after="120"/>
    </w:pPr>
    <w:rPr>
      <w:rFonts w:ascii="Cambria" w:hAnsi="Cambria"/>
      <w:sz w:val="28"/>
      <w:szCs w:val="28"/>
    </w:rPr>
  </w:style>
  <w:style w:type="character" w:customStyle="1" w:styleId="TntcgiChar">
    <w:name w:val="Tên tác giả Char"/>
    <w:basedOn w:val="DefaultParagraphFont"/>
    <w:link w:val="Tntcgi"/>
    <w:rsid w:val="003E1412"/>
    <w:rPr>
      <w:rFonts w:ascii="Cambria" w:hAnsi="Cambria"/>
      <w:sz w:val="28"/>
      <w:szCs w:val="28"/>
    </w:rPr>
  </w:style>
  <w:style w:type="paragraph" w:customStyle="1" w:styleId="Nicngtccatcgi">
    <w:name w:val="Nơi công tác của tác giả"/>
    <w:basedOn w:val="Normal"/>
    <w:link w:val="NicngtccatcgiChar"/>
    <w:autoRedefine/>
    <w:qFormat/>
    <w:rsid w:val="004128E5"/>
    <w:rPr>
      <w:rFonts w:ascii="Cambria" w:hAnsi="Cambria"/>
      <w:i/>
      <w:sz w:val="22"/>
      <w:szCs w:val="22"/>
      <w:vertAlign w:val="superscript"/>
    </w:rPr>
  </w:style>
  <w:style w:type="character" w:customStyle="1" w:styleId="NicngtccatcgiChar">
    <w:name w:val="Nơi công tác của tác giả Char"/>
    <w:basedOn w:val="DefaultParagraphFont"/>
    <w:link w:val="Nicngtccatcgi"/>
    <w:rsid w:val="004128E5"/>
    <w:rPr>
      <w:rFonts w:ascii="Cambria" w:hAnsi="Cambria"/>
      <w:i/>
      <w:sz w:val="22"/>
      <w:szCs w:val="22"/>
      <w:vertAlign w:val="superscript"/>
    </w:rPr>
  </w:style>
  <w:style w:type="paragraph" w:customStyle="1" w:styleId="tmtt0">
    <w:name w:val="tóm tắt"/>
    <w:basedOn w:val="Normal"/>
    <w:link w:val="tmttChar0"/>
    <w:autoRedefine/>
    <w:qFormat/>
    <w:rsid w:val="004F4C01"/>
    <w:pPr>
      <w:spacing w:before="120" w:line="220" w:lineRule="exact"/>
    </w:pPr>
    <w:rPr>
      <w:rFonts w:ascii="Cambria" w:eastAsia="Times New Roman" w:hAnsi="Cambria"/>
      <w:i/>
      <w:spacing w:val="-4"/>
      <w:sz w:val="22"/>
      <w:szCs w:val="24"/>
    </w:rPr>
  </w:style>
  <w:style w:type="character" w:customStyle="1" w:styleId="tmttChar0">
    <w:name w:val="tóm tắt Char"/>
    <w:basedOn w:val="DefaultParagraphFont"/>
    <w:link w:val="tmtt0"/>
    <w:rsid w:val="004F4C01"/>
    <w:rPr>
      <w:rFonts w:ascii="Cambria" w:eastAsia="Times New Roman" w:hAnsi="Cambria"/>
      <w:i/>
      <w:spacing w:val="-4"/>
      <w:sz w:val="22"/>
      <w:szCs w:val="24"/>
    </w:rPr>
  </w:style>
  <w:style w:type="paragraph" w:customStyle="1" w:styleId="Style1">
    <w:name w:val="Style1"/>
    <w:basedOn w:val="Normal"/>
    <w:link w:val="Style1Char"/>
    <w:autoRedefine/>
    <w:qFormat/>
    <w:rsid w:val="004128E5"/>
    <w:pPr>
      <w:spacing w:before="120" w:after="200" w:line="220" w:lineRule="exact"/>
      <w:jc w:val="right"/>
    </w:pPr>
    <w:rPr>
      <w:rFonts w:ascii="Cambria" w:eastAsia="Times New Roman" w:hAnsi="Cambria"/>
      <w:sz w:val="19"/>
    </w:rPr>
  </w:style>
  <w:style w:type="character" w:customStyle="1" w:styleId="Style1Char">
    <w:name w:val="Style1 Char"/>
    <w:basedOn w:val="DefaultParagraphFont"/>
    <w:link w:val="Style1"/>
    <w:rsid w:val="004128E5"/>
    <w:rPr>
      <w:rFonts w:ascii="Cambria" w:eastAsia="Times New Roman" w:hAnsi="Cambria"/>
      <w:sz w:val="19"/>
    </w:rPr>
  </w:style>
  <w:style w:type="paragraph" w:customStyle="1" w:styleId="tvn">
    <w:name w:val="Đặt vấn đề"/>
    <w:basedOn w:val="Heading1"/>
    <w:link w:val="tvnChar"/>
    <w:autoRedefine/>
    <w:rsid w:val="004128E5"/>
    <w:pPr>
      <w:keepLines w:val="0"/>
      <w:spacing w:before="120" w:after="120"/>
    </w:pPr>
    <w:rPr>
      <w:rFonts w:ascii="Cambria" w:eastAsiaTheme="minorHAnsi" w:hAnsi="Cambria" w:cs="Times New Roman"/>
      <w:b/>
      <w:color w:val="auto"/>
      <w:sz w:val="24"/>
      <w:szCs w:val="24"/>
      <w:lang w:val="vi-VN"/>
    </w:rPr>
  </w:style>
  <w:style w:type="character" w:customStyle="1" w:styleId="tvnChar">
    <w:name w:val="Đặt vấn đề Char"/>
    <w:basedOn w:val="Heading1Char"/>
    <w:link w:val="tvn"/>
    <w:rsid w:val="004128E5"/>
    <w:rPr>
      <w:rFonts w:ascii="Cambria" w:eastAsiaTheme="majorEastAsia" w:hAnsi="Cambria" w:cstheme="majorBidi"/>
      <w:b/>
      <w:color w:val="2E74B5" w:themeColor="accent1" w:themeShade="BF"/>
      <w:sz w:val="24"/>
      <w:szCs w:val="24"/>
      <w:lang w:val="vi-VN"/>
    </w:rPr>
  </w:style>
  <w:style w:type="character" w:customStyle="1" w:styleId="Heading1Char">
    <w:name w:val="Heading 1 Char"/>
    <w:basedOn w:val="DefaultParagraphFont"/>
    <w:link w:val="Heading1"/>
    <w:uiPriority w:val="9"/>
    <w:rsid w:val="004128E5"/>
    <w:rPr>
      <w:rFonts w:asciiTheme="majorHAnsi" w:eastAsiaTheme="majorEastAsia" w:hAnsiTheme="majorHAnsi" w:cstheme="majorBidi"/>
      <w:color w:val="2E74B5" w:themeColor="accent1" w:themeShade="BF"/>
      <w:sz w:val="32"/>
      <w:szCs w:val="32"/>
    </w:rPr>
  </w:style>
  <w:style w:type="paragraph" w:customStyle="1" w:styleId="Nidungbi">
    <w:name w:val="Nội dung bài"/>
    <w:basedOn w:val="BodyTextIndent"/>
    <w:link w:val="NidungbiChar"/>
    <w:autoRedefine/>
    <w:qFormat/>
    <w:rsid w:val="005E7746"/>
    <w:pPr>
      <w:tabs>
        <w:tab w:val="left" w:pos="24"/>
        <w:tab w:val="left" w:pos="2552"/>
      </w:tabs>
      <w:adjustRightInd w:val="0"/>
      <w:snapToGrid w:val="0"/>
      <w:spacing w:after="0"/>
      <w:ind w:left="0" w:firstLine="397"/>
    </w:pPr>
    <w:rPr>
      <w:rFonts w:ascii="Cambria" w:hAnsi="Cambria"/>
      <w:spacing w:val="-4"/>
      <w:sz w:val="22"/>
      <w:szCs w:val="22"/>
      <w:lang w:val="en-GB"/>
    </w:rPr>
  </w:style>
  <w:style w:type="character" w:customStyle="1" w:styleId="NidungbiChar">
    <w:name w:val="Nội dung bài Char"/>
    <w:basedOn w:val="BodyTextIndentChar"/>
    <w:link w:val="Nidungbi"/>
    <w:rsid w:val="005E7746"/>
    <w:rPr>
      <w:rFonts w:ascii="Cambria" w:hAnsi="Cambria"/>
      <w:spacing w:val="-4"/>
      <w:sz w:val="22"/>
      <w:szCs w:val="22"/>
      <w:lang w:val="en-GB"/>
    </w:rPr>
  </w:style>
  <w:style w:type="paragraph" w:styleId="BodyTextIndent">
    <w:name w:val="Body Text Indent"/>
    <w:basedOn w:val="Normal"/>
    <w:link w:val="BodyTextIndentChar"/>
    <w:uiPriority w:val="99"/>
    <w:semiHidden/>
    <w:unhideWhenUsed/>
    <w:rsid w:val="004128E5"/>
    <w:pPr>
      <w:spacing w:after="120"/>
      <w:ind w:left="360"/>
    </w:pPr>
  </w:style>
  <w:style w:type="character" w:customStyle="1" w:styleId="BodyTextIndentChar">
    <w:name w:val="Body Text Indent Char"/>
    <w:basedOn w:val="DefaultParagraphFont"/>
    <w:link w:val="BodyTextIndent"/>
    <w:uiPriority w:val="99"/>
    <w:semiHidden/>
    <w:rsid w:val="004128E5"/>
  </w:style>
  <w:style w:type="paragraph" w:customStyle="1" w:styleId="Chthchhnh">
    <w:name w:val="Chú thích hình"/>
    <w:basedOn w:val="BodyTextIndent"/>
    <w:link w:val="ChthchhnhChar"/>
    <w:autoRedefine/>
    <w:qFormat/>
    <w:rsid w:val="004B28C5"/>
    <w:pPr>
      <w:tabs>
        <w:tab w:val="left" w:pos="24"/>
      </w:tabs>
      <w:adjustRightInd w:val="0"/>
      <w:snapToGrid w:val="0"/>
      <w:spacing w:after="0"/>
      <w:ind w:left="0"/>
      <w:jc w:val="center"/>
    </w:pPr>
    <w:rPr>
      <w:rFonts w:ascii="Cambria" w:hAnsi="Cambria"/>
      <w:bCs/>
      <w:i/>
      <w:spacing w:val="-6"/>
      <w:sz w:val="22"/>
      <w:szCs w:val="24"/>
    </w:rPr>
  </w:style>
  <w:style w:type="character" w:customStyle="1" w:styleId="ChthchhnhChar">
    <w:name w:val="Chú thích hình Char"/>
    <w:basedOn w:val="BodyTextIndentChar"/>
    <w:link w:val="Chthchhnh"/>
    <w:rsid w:val="004B28C5"/>
    <w:rPr>
      <w:rFonts w:ascii="Cambria" w:hAnsi="Cambria"/>
      <w:bCs/>
      <w:i/>
      <w:spacing w:val="-6"/>
      <w:sz w:val="22"/>
      <w:szCs w:val="24"/>
    </w:rPr>
  </w:style>
  <w:style w:type="paragraph" w:customStyle="1" w:styleId="headertrangu">
    <w:name w:val="header trang đầu"/>
    <w:basedOn w:val="Header"/>
    <w:link w:val="headertranguChar"/>
    <w:autoRedefine/>
    <w:rsid w:val="000E7FE8"/>
    <w:pPr>
      <w:tabs>
        <w:tab w:val="clear" w:pos="4680"/>
        <w:tab w:val="clear" w:pos="9360"/>
        <w:tab w:val="center" w:pos="4252"/>
        <w:tab w:val="center" w:pos="4819"/>
        <w:tab w:val="right" w:pos="8504"/>
        <w:tab w:val="right" w:pos="9638"/>
      </w:tabs>
      <w:snapToGrid w:val="0"/>
      <w:jc w:val="center"/>
    </w:pPr>
    <w:rPr>
      <w:rFonts w:ascii="Cambria" w:hAnsi="Cambria"/>
      <w:sz w:val="22"/>
      <w:szCs w:val="22"/>
    </w:rPr>
  </w:style>
  <w:style w:type="character" w:customStyle="1" w:styleId="headertranguChar">
    <w:name w:val="header trang đầu Char"/>
    <w:basedOn w:val="HeaderChar"/>
    <w:link w:val="headertrangu"/>
    <w:rsid w:val="000E7FE8"/>
    <w:rPr>
      <w:rFonts w:ascii="Cambria" w:hAnsi="Cambria"/>
      <w:sz w:val="22"/>
      <w:szCs w:val="22"/>
    </w:rPr>
  </w:style>
  <w:style w:type="paragraph" w:styleId="Header">
    <w:name w:val="header"/>
    <w:basedOn w:val="Normal"/>
    <w:link w:val="HeaderChar"/>
    <w:uiPriority w:val="99"/>
    <w:unhideWhenUsed/>
    <w:rsid w:val="000E7FE8"/>
    <w:pPr>
      <w:tabs>
        <w:tab w:val="center" w:pos="4680"/>
        <w:tab w:val="right" w:pos="9360"/>
      </w:tabs>
    </w:pPr>
  </w:style>
  <w:style w:type="character" w:customStyle="1" w:styleId="HeaderChar">
    <w:name w:val="Header Char"/>
    <w:basedOn w:val="DefaultParagraphFont"/>
    <w:link w:val="Header"/>
    <w:uiPriority w:val="99"/>
    <w:rsid w:val="000E7FE8"/>
  </w:style>
  <w:style w:type="paragraph" w:customStyle="1" w:styleId="headertrangth2tri">
    <w:name w:val="header trang thứ 2 trở đi"/>
    <w:basedOn w:val="Normal"/>
    <w:link w:val="headertrangth2triChar"/>
    <w:autoRedefine/>
    <w:rsid w:val="000E7FE8"/>
    <w:pPr>
      <w:jc w:val="center"/>
    </w:pPr>
    <w:rPr>
      <w:rFonts w:ascii="Cambria" w:hAnsi="Cambria"/>
      <w:i/>
      <w:sz w:val="22"/>
      <w:szCs w:val="22"/>
      <w:lang w:val="it-IT"/>
    </w:rPr>
  </w:style>
  <w:style w:type="character" w:customStyle="1" w:styleId="headertrangth2triChar">
    <w:name w:val="header trang thứ 2 trở đi Char"/>
    <w:basedOn w:val="DefaultParagraphFont"/>
    <w:link w:val="headertrangth2tri"/>
    <w:rsid w:val="000E7FE8"/>
    <w:rPr>
      <w:rFonts w:ascii="Cambria" w:hAnsi="Cambria"/>
      <w:i/>
      <w:sz w:val="22"/>
      <w:szCs w:val="22"/>
      <w:lang w:val="it-IT"/>
    </w:rPr>
  </w:style>
  <w:style w:type="paragraph" w:customStyle="1" w:styleId="1tvn">
    <w:name w:val="1.Đặt vấn đề"/>
    <w:basedOn w:val="Heading1"/>
    <w:link w:val="1tvnChar"/>
    <w:autoRedefine/>
    <w:qFormat/>
    <w:rsid w:val="00D50E3E"/>
    <w:pPr>
      <w:keepLines w:val="0"/>
      <w:spacing w:after="120"/>
    </w:pPr>
    <w:rPr>
      <w:rFonts w:ascii="Cambria" w:eastAsiaTheme="minorHAnsi" w:hAnsi="Cambria" w:cs="Times New Roman"/>
      <w:b/>
      <w:color w:val="auto"/>
      <w:sz w:val="22"/>
      <w:szCs w:val="22"/>
      <w:lang w:val="vi-VN"/>
    </w:rPr>
  </w:style>
  <w:style w:type="character" w:customStyle="1" w:styleId="1tvnChar">
    <w:name w:val="1.Đặt vấn đề Char"/>
    <w:basedOn w:val="Heading1Char"/>
    <w:link w:val="1tvn"/>
    <w:rsid w:val="00D50E3E"/>
    <w:rPr>
      <w:rFonts w:ascii="Cambria" w:eastAsiaTheme="majorEastAsia" w:hAnsi="Cambria" w:cstheme="majorBidi"/>
      <w:b/>
      <w:color w:val="2E74B5" w:themeColor="accent1" w:themeShade="BF"/>
      <w:sz w:val="22"/>
      <w:szCs w:val="22"/>
      <w:lang w:val="vi-VN"/>
    </w:rPr>
  </w:style>
  <w:style w:type="paragraph" w:customStyle="1" w:styleId="1PhnthnhtcaV">
    <w:name w:val="1.Phần thứ nhất của ĐVĐ"/>
    <w:basedOn w:val="Heading2"/>
    <w:link w:val="1PhnthnhtcaVChar"/>
    <w:autoRedefine/>
    <w:qFormat/>
    <w:rsid w:val="00D50E3E"/>
    <w:pPr>
      <w:keepNext w:val="0"/>
      <w:keepLines w:val="0"/>
      <w:tabs>
        <w:tab w:val="left" w:pos="24"/>
      </w:tabs>
      <w:adjustRightInd w:val="0"/>
      <w:snapToGrid w:val="0"/>
      <w:spacing w:before="240" w:after="120"/>
    </w:pPr>
    <w:rPr>
      <w:rFonts w:ascii="Cambria" w:eastAsiaTheme="minorHAnsi" w:hAnsi="Cambria" w:cs="Times New Roman"/>
      <w:b/>
      <w:i/>
      <w:color w:val="auto"/>
      <w:spacing w:val="-6"/>
      <w:sz w:val="22"/>
      <w:szCs w:val="24"/>
    </w:rPr>
  </w:style>
  <w:style w:type="character" w:customStyle="1" w:styleId="1PhnthnhtcaVChar">
    <w:name w:val="1.Phần thứ nhất của ĐVĐ Char"/>
    <w:basedOn w:val="Heading2Char"/>
    <w:link w:val="1PhnthnhtcaV"/>
    <w:rsid w:val="00D50E3E"/>
    <w:rPr>
      <w:rFonts w:ascii="Cambria" w:eastAsiaTheme="majorEastAsia" w:hAnsi="Cambria" w:cstheme="majorBidi"/>
      <w:b/>
      <w:i/>
      <w:color w:val="2E74B5" w:themeColor="accent1" w:themeShade="BF"/>
      <w:spacing w:val="-6"/>
      <w:sz w:val="22"/>
      <w:szCs w:val="24"/>
    </w:rPr>
  </w:style>
  <w:style w:type="character" w:customStyle="1" w:styleId="Heading2Char">
    <w:name w:val="Heading 2 Char"/>
    <w:basedOn w:val="DefaultParagraphFont"/>
    <w:link w:val="Heading2"/>
    <w:uiPriority w:val="9"/>
    <w:semiHidden/>
    <w:rsid w:val="000E7FE8"/>
    <w:rPr>
      <w:rFonts w:asciiTheme="majorHAnsi" w:eastAsiaTheme="majorEastAsia" w:hAnsiTheme="majorHAnsi" w:cstheme="majorBidi"/>
      <w:color w:val="2E74B5" w:themeColor="accent1" w:themeShade="BF"/>
      <w:sz w:val="26"/>
      <w:szCs w:val="26"/>
    </w:rPr>
  </w:style>
  <w:style w:type="paragraph" w:customStyle="1" w:styleId="1Phn11caV">
    <w:name w:val="1.Phần 1.1 của ĐVĐ"/>
    <w:basedOn w:val="Normal"/>
    <w:link w:val="1Phn11caVChar"/>
    <w:autoRedefine/>
    <w:qFormat/>
    <w:rsid w:val="00D50E3E"/>
    <w:pPr>
      <w:tabs>
        <w:tab w:val="left" w:pos="24"/>
      </w:tabs>
      <w:adjustRightInd w:val="0"/>
      <w:snapToGrid w:val="0"/>
      <w:spacing w:before="120" w:after="120"/>
    </w:pPr>
    <w:rPr>
      <w:rFonts w:ascii="Cambria" w:hAnsi="Cambria"/>
      <w:i/>
      <w:spacing w:val="-4"/>
      <w:sz w:val="22"/>
      <w:szCs w:val="24"/>
      <w:lang w:eastAsia="ko-KR"/>
    </w:rPr>
  </w:style>
  <w:style w:type="character" w:customStyle="1" w:styleId="1Phn11caVChar">
    <w:name w:val="1.Phần 1.1 của ĐVĐ Char"/>
    <w:basedOn w:val="DefaultParagraphFont"/>
    <w:link w:val="1Phn11caV"/>
    <w:rsid w:val="00D50E3E"/>
    <w:rPr>
      <w:rFonts w:ascii="Cambria" w:hAnsi="Cambria"/>
      <w:i/>
      <w:spacing w:val="-4"/>
      <w:sz w:val="22"/>
      <w:szCs w:val="24"/>
      <w:lang w:eastAsia="ko-KR"/>
    </w:rPr>
  </w:style>
  <w:style w:type="paragraph" w:customStyle="1" w:styleId="TiliuTK">
    <w:name w:val="Tài liệu TK"/>
    <w:basedOn w:val="Normal"/>
    <w:link w:val="TiliuTKChar"/>
    <w:autoRedefine/>
    <w:qFormat/>
    <w:rsid w:val="004F0C10"/>
    <w:pPr>
      <w:spacing w:after="120"/>
      <w:ind w:left="284" w:hanging="284"/>
    </w:pPr>
    <w:rPr>
      <w:rFonts w:ascii="Cambria" w:hAnsi="Cambria" w:cs="Helvetica"/>
      <w:color w:val="000000"/>
      <w:spacing w:val="-4"/>
      <w:sz w:val="22"/>
      <w:szCs w:val="22"/>
      <w:lang w:val="vi-VN" w:bidi="th-TH"/>
    </w:rPr>
  </w:style>
  <w:style w:type="character" w:customStyle="1" w:styleId="TiliuTKChar">
    <w:name w:val="Tài liệu TK Char"/>
    <w:basedOn w:val="DefaultParagraphFont"/>
    <w:link w:val="TiliuTK"/>
    <w:rsid w:val="004F0C10"/>
    <w:rPr>
      <w:rFonts w:ascii="Cambria" w:hAnsi="Cambria" w:cs="Helvetica"/>
      <w:color w:val="000000"/>
      <w:spacing w:val="-4"/>
      <w:sz w:val="22"/>
      <w:szCs w:val="22"/>
      <w:lang w:val="vi-VN" w:bidi="th-TH"/>
    </w:rPr>
  </w:style>
  <w:style w:type="paragraph" w:customStyle="1" w:styleId="Abstract">
    <w:name w:val="Abstract"/>
    <w:basedOn w:val="Normal"/>
    <w:link w:val="AbstractChar"/>
    <w:autoRedefine/>
    <w:qFormat/>
    <w:rsid w:val="0059729E"/>
    <w:pPr>
      <w:spacing w:before="480" w:after="120"/>
      <w:jc w:val="center"/>
    </w:pPr>
    <w:rPr>
      <w:rFonts w:ascii="Cambria" w:eastAsia="Times New Roman" w:hAnsi="Cambria"/>
      <w:b/>
      <w:iCs/>
      <w:color w:val="000000"/>
      <w:sz w:val="32"/>
      <w:szCs w:val="24"/>
      <w:lang w:bidi="th-TH"/>
    </w:rPr>
  </w:style>
  <w:style w:type="character" w:customStyle="1" w:styleId="AbstractChar">
    <w:name w:val="Abstract Char"/>
    <w:basedOn w:val="DefaultParagraphFont"/>
    <w:link w:val="Abstract"/>
    <w:rsid w:val="0059729E"/>
    <w:rPr>
      <w:rFonts w:ascii="Cambria" w:eastAsia="Times New Roman" w:hAnsi="Cambria"/>
      <w:b/>
      <w:iCs/>
      <w:color w:val="000000"/>
      <w:sz w:val="32"/>
      <w:szCs w:val="24"/>
      <w:lang w:bidi="th-TH"/>
    </w:rPr>
  </w:style>
  <w:style w:type="paragraph" w:customStyle="1" w:styleId="TnbiTA">
    <w:name w:val="Tên bài TA"/>
    <w:basedOn w:val="Normal"/>
    <w:link w:val="TnbiTAChar"/>
    <w:autoRedefine/>
    <w:qFormat/>
    <w:rsid w:val="000E7FE8"/>
    <w:pPr>
      <w:spacing w:before="120" w:after="120"/>
      <w:jc w:val="center"/>
    </w:pPr>
    <w:rPr>
      <w:rFonts w:ascii="Cambria" w:hAnsi="Cambria"/>
      <w:sz w:val="32"/>
      <w:szCs w:val="32"/>
    </w:rPr>
  </w:style>
  <w:style w:type="character" w:customStyle="1" w:styleId="TnbiTAChar">
    <w:name w:val="Tên bài TA Char"/>
    <w:basedOn w:val="DefaultParagraphFont"/>
    <w:link w:val="TnbiTA"/>
    <w:rsid w:val="000E7FE8"/>
    <w:rPr>
      <w:rFonts w:ascii="Cambria" w:hAnsi="Cambria"/>
      <w:sz w:val="32"/>
      <w:szCs w:val="32"/>
    </w:rPr>
  </w:style>
  <w:style w:type="paragraph" w:customStyle="1" w:styleId="TnTgiaTA">
    <w:name w:val="Tên Tgia TA"/>
    <w:basedOn w:val="Normal"/>
    <w:link w:val="TnTgiaTAChar"/>
    <w:autoRedefine/>
    <w:qFormat/>
    <w:rsid w:val="00B83AFA"/>
    <w:pPr>
      <w:spacing w:after="120"/>
      <w:jc w:val="center"/>
    </w:pPr>
    <w:rPr>
      <w:rFonts w:ascii="Cambria" w:hAnsi="Cambria"/>
      <w:spacing w:val="-2"/>
      <w:sz w:val="24"/>
      <w:szCs w:val="28"/>
      <w:lang w:eastAsia="ko-KR"/>
    </w:rPr>
  </w:style>
  <w:style w:type="character" w:customStyle="1" w:styleId="TnTgiaTAChar">
    <w:name w:val="Tên Tgia TA Char"/>
    <w:basedOn w:val="DefaultParagraphFont"/>
    <w:link w:val="TnTgiaTA"/>
    <w:rsid w:val="00B83AFA"/>
    <w:rPr>
      <w:rFonts w:ascii="Cambria" w:hAnsi="Cambria"/>
      <w:spacing w:val="-2"/>
      <w:sz w:val="24"/>
      <w:szCs w:val="28"/>
      <w:lang w:eastAsia="ko-KR"/>
    </w:rPr>
  </w:style>
  <w:style w:type="paragraph" w:customStyle="1" w:styleId="NicngtctcgiTA">
    <w:name w:val="Nơi công tác tác giả TA"/>
    <w:basedOn w:val="Normal"/>
    <w:link w:val="NicngtctcgiTAChar"/>
    <w:autoRedefine/>
    <w:qFormat/>
    <w:rsid w:val="000E7FE8"/>
    <w:pPr>
      <w:jc w:val="center"/>
    </w:pPr>
    <w:rPr>
      <w:rFonts w:ascii="Cambria" w:hAnsi="Cambria"/>
      <w:i/>
      <w:sz w:val="24"/>
      <w:szCs w:val="24"/>
      <w:vertAlign w:val="superscript"/>
    </w:rPr>
  </w:style>
  <w:style w:type="character" w:customStyle="1" w:styleId="NicngtctcgiTAChar">
    <w:name w:val="Nơi công tác tác giả TA Char"/>
    <w:basedOn w:val="DefaultParagraphFont"/>
    <w:link w:val="NicngtctcgiTA"/>
    <w:rsid w:val="000E7FE8"/>
    <w:rPr>
      <w:rFonts w:ascii="Cambria" w:hAnsi="Cambria"/>
      <w:i/>
      <w:sz w:val="24"/>
      <w:szCs w:val="24"/>
      <w:vertAlign w:val="superscript"/>
    </w:rPr>
  </w:style>
  <w:style w:type="paragraph" w:customStyle="1" w:styleId="NicngtcTA">
    <w:name w:val="Nơi công tác TA"/>
    <w:basedOn w:val="TnTgiaTA"/>
    <w:autoRedefine/>
    <w:rsid w:val="000E7FE8"/>
    <w:rPr>
      <w:rFonts w:eastAsia="Batang"/>
      <w:vertAlign w:val="superscript"/>
    </w:rPr>
  </w:style>
  <w:style w:type="paragraph" w:customStyle="1" w:styleId="TmttbngTA">
    <w:name w:val="Tóm tắt bằng TA"/>
    <w:basedOn w:val="Normal"/>
    <w:link w:val="TmttbngTAChar"/>
    <w:autoRedefine/>
    <w:qFormat/>
    <w:rsid w:val="007665E4"/>
    <w:pPr>
      <w:spacing w:before="120"/>
      <w:ind w:firstLine="403"/>
    </w:pPr>
    <w:rPr>
      <w:rFonts w:ascii="Cambria" w:eastAsia="Batang" w:hAnsi="Cambria"/>
      <w:iCs/>
      <w:spacing w:val="-6"/>
      <w:sz w:val="22"/>
      <w:szCs w:val="24"/>
      <w:lang w:bidi="th-TH"/>
    </w:rPr>
  </w:style>
  <w:style w:type="character" w:customStyle="1" w:styleId="TmttbngTAChar">
    <w:name w:val="Tóm tắt bằng TA Char"/>
    <w:basedOn w:val="DefaultParagraphFont"/>
    <w:link w:val="TmttbngTA"/>
    <w:rsid w:val="007665E4"/>
    <w:rPr>
      <w:rFonts w:ascii="Cambria" w:eastAsia="Batang" w:hAnsi="Cambria"/>
      <w:iCs/>
      <w:spacing w:val="-6"/>
      <w:sz w:val="22"/>
      <w:szCs w:val="24"/>
      <w:lang w:bidi="th-TH"/>
    </w:rPr>
  </w:style>
  <w:style w:type="paragraph" w:customStyle="1" w:styleId="Tieude">
    <w:name w:val="Tieu de"/>
    <w:basedOn w:val="Normal"/>
    <w:link w:val="TieudeChar"/>
    <w:autoRedefine/>
    <w:qFormat/>
    <w:rsid w:val="008B1C8D"/>
    <w:pPr>
      <w:spacing w:before="120" w:after="120" w:line="360" w:lineRule="auto"/>
      <w:jc w:val="center"/>
    </w:pPr>
    <w:rPr>
      <w:b/>
      <w:sz w:val="32"/>
    </w:rPr>
  </w:style>
  <w:style w:type="character" w:customStyle="1" w:styleId="TieudeChar">
    <w:name w:val="Tieu de Char"/>
    <w:basedOn w:val="DefaultParagraphFont"/>
    <w:link w:val="Tieude"/>
    <w:rsid w:val="008B1C8D"/>
    <w:rPr>
      <w:b/>
      <w:sz w:val="32"/>
    </w:rPr>
  </w:style>
  <w:style w:type="paragraph" w:customStyle="1" w:styleId="TTbibovtmtt">
    <w:name w:val="TT bài báo và tóm tắt"/>
    <w:basedOn w:val="Normal"/>
    <w:link w:val="TTbibovtmttChar"/>
    <w:qFormat/>
    <w:rsid w:val="00371E45"/>
    <w:pPr>
      <w:spacing w:before="200" w:after="200"/>
      <w:jc w:val="left"/>
    </w:pPr>
    <w:rPr>
      <w:rFonts w:ascii="Cambria" w:eastAsia="Batang" w:hAnsi="Cambria"/>
      <w:sz w:val="22"/>
      <w:szCs w:val="24"/>
    </w:rPr>
  </w:style>
  <w:style w:type="character" w:customStyle="1" w:styleId="TTbibovtmttChar">
    <w:name w:val="TT bài báo và tóm tắt Char"/>
    <w:basedOn w:val="DefaultParagraphFont"/>
    <w:link w:val="TTbibovtmtt"/>
    <w:rsid w:val="00371E45"/>
    <w:rPr>
      <w:rFonts w:ascii="Cambria" w:eastAsia="Batang" w:hAnsi="Cambria"/>
      <w:sz w:val="22"/>
      <w:szCs w:val="24"/>
    </w:rPr>
  </w:style>
  <w:style w:type="paragraph" w:customStyle="1" w:styleId="copyR">
    <w:name w:val="@copyR"/>
    <w:basedOn w:val="Normal"/>
    <w:link w:val="copyRChar"/>
    <w:autoRedefine/>
    <w:qFormat/>
    <w:rsid w:val="00D50E3E"/>
    <w:pPr>
      <w:spacing w:before="240" w:after="200" w:line="220" w:lineRule="exact"/>
      <w:jc w:val="right"/>
    </w:pPr>
    <w:rPr>
      <w:rFonts w:ascii="Cambria" w:eastAsia="Times New Roman" w:hAnsi="Cambria"/>
      <w:sz w:val="18"/>
      <w:szCs w:val="18"/>
    </w:rPr>
  </w:style>
  <w:style w:type="character" w:customStyle="1" w:styleId="copyRChar">
    <w:name w:val="@copyR Char"/>
    <w:basedOn w:val="DefaultParagraphFont"/>
    <w:link w:val="copyR"/>
    <w:rsid w:val="00D50E3E"/>
    <w:rPr>
      <w:rFonts w:ascii="Cambria" w:eastAsia="Times New Roman" w:hAnsi="Cambria"/>
      <w:sz w:val="18"/>
      <w:szCs w:val="18"/>
    </w:rPr>
  </w:style>
  <w:style w:type="character" w:styleId="PlaceholderText">
    <w:name w:val="Placeholder Text"/>
    <w:uiPriority w:val="99"/>
    <w:semiHidden/>
    <w:rsid w:val="00292303"/>
    <w:rPr>
      <w:color w:val="808080"/>
    </w:rPr>
  </w:style>
  <w:style w:type="paragraph" w:styleId="ListParagraph">
    <w:name w:val="List Paragraph"/>
    <w:basedOn w:val="Normal"/>
    <w:uiPriority w:val="99"/>
    <w:qFormat/>
    <w:rsid w:val="00C971F9"/>
    <w:pPr>
      <w:spacing w:after="200" w:line="276" w:lineRule="auto"/>
      <w:ind w:left="720"/>
      <w:contextualSpacing/>
      <w:jc w:val="left"/>
    </w:pPr>
    <w:rPr>
      <w:rFonts w:ascii="Calibri" w:eastAsia="Calibri" w:hAnsi="Calibri"/>
      <w:sz w:val="22"/>
      <w:szCs w:val="22"/>
    </w:rPr>
  </w:style>
  <w:style w:type="paragraph" w:styleId="Footer">
    <w:name w:val="footer"/>
    <w:basedOn w:val="Normal"/>
    <w:link w:val="FooterChar"/>
    <w:uiPriority w:val="99"/>
    <w:unhideWhenUsed/>
    <w:rsid w:val="00E545BD"/>
    <w:pPr>
      <w:tabs>
        <w:tab w:val="center" w:pos="4680"/>
        <w:tab w:val="right" w:pos="9360"/>
      </w:tabs>
    </w:pPr>
  </w:style>
  <w:style w:type="character" w:customStyle="1" w:styleId="FooterChar">
    <w:name w:val="Footer Char"/>
    <w:basedOn w:val="DefaultParagraphFont"/>
    <w:link w:val="Footer"/>
    <w:uiPriority w:val="99"/>
    <w:rsid w:val="00E545BD"/>
  </w:style>
  <w:style w:type="table" w:styleId="TableGrid">
    <w:name w:val="Table Grid"/>
    <w:basedOn w:val="TableNormal"/>
    <w:uiPriority w:val="59"/>
    <w:rsid w:val="007666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318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18A4"/>
    <w:rPr>
      <w:rFonts w:ascii="Segoe UI" w:hAnsi="Segoe UI" w:cs="Segoe UI"/>
      <w:sz w:val="18"/>
      <w:szCs w:val="18"/>
    </w:rPr>
  </w:style>
  <w:style w:type="character" w:customStyle="1" w:styleId="Heading5Char">
    <w:name w:val="Heading 5 Char"/>
    <w:basedOn w:val="DefaultParagraphFont"/>
    <w:link w:val="Heading5"/>
    <w:uiPriority w:val="9"/>
    <w:rsid w:val="00AD652C"/>
    <w:rPr>
      <w:rFonts w:eastAsia="Times New Roman"/>
      <w:b/>
      <w:bCs/>
    </w:rPr>
  </w:style>
  <w:style w:type="character" w:customStyle="1" w:styleId="Heading3Char">
    <w:name w:val="Heading 3 Char"/>
    <w:basedOn w:val="DefaultParagraphFont"/>
    <w:link w:val="Heading3"/>
    <w:uiPriority w:val="9"/>
    <w:semiHidden/>
    <w:rsid w:val="00B57C5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8B4CD9"/>
    <w:rPr>
      <w:rFonts w:asciiTheme="majorHAnsi" w:eastAsiaTheme="majorEastAsia" w:hAnsiTheme="majorHAnsi" w:cstheme="majorBidi"/>
      <w:i/>
      <w:iCs/>
      <w:color w:val="2E74B5" w:themeColor="accent1" w:themeShade="BF"/>
    </w:rPr>
  </w:style>
  <w:style w:type="paragraph" w:customStyle="1" w:styleId="Cngthc">
    <w:name w:val="Công thức"/>
    <w:basedOn w:val="Normal"/>
    <w:link w:val="CngthcChar"/>
    <w:qFormat/>
    <w:rsid w:val="00E05631"/>
    <w:pPr>
      <w:spacing w:before="120" w:after="120"/>
      <w:jc w:val="center"/>
    </w:pPr>
    <w:rPr>
      <w:rFonts w:ascii="Cambria" w:hAnsi="Cambria"/>
      <w:i/>
      <w:sz w:val="22"/>
      <w:lang w:val="vi-VN"/>
    </w:rPr>
  </w:style>
  <w:style w:type="character" w:customStyle="1" w:styleId="CngthcChar">
    <w:name w:val="Công thức Char"/>
    <w:basedOn w:val="DefaultParagraphFont"/>
    <w:link w:val="Cngthc"/>
    <w:rsid w:val="00E05631"/>
    <w:rPr>
      <w:rFonts w:ascii="Cambria" w:hAnsi="Cambria"/>
      <w:i/>
      <w:sz w:val="22"/>
      <w:lang w:val="vi-VN"/>
    </w:rPr>
  </w:style>
  <w:style w:type="character" w:styleId="CommentReference">
    <w:name w:val="annotation reference"/>
    <w:basedOn w:val="DefaultParagraphFont"/>
    <w:uiPriority w:val="99"/>
    <w:semiHidden/>
    <w:unhideWhenUsed/>
    <w:rsid w:val="00DA708F"/>
    <w:rPr>
      <w:sz w:val="16"/>
      <w:szCs w:val="16"/>
    </w:rPr>
  </w:style>
  <w:style w:type="paragraph" w:styleId="CommentText">
    <w:name w:val="annotation text"/>
    <w:basedOn w:val="Normal"/>
    <w:link w:val="CommentTextChar"/>
    <w:uiPriority w:val="99"/>
    <w:unhideWhenUsed/>
    <w:rsid w:val="00DA708F"/>
  </w:style>
  <w:style w:type="character" w:customStyle="1" w:styleId="CommentTextChar">
    <w:name w:val="Comment Text Char"/>
    <w:basedOn w:val="DefaultParagraphFont"/>
    <w:link w:val="CommentText"/>
    <w:uiPriority w:val="99"/>
    <w:rsid w:val="00DA708F"/>
  </w:style>
  <w:style w:type="paragraph" w:styleId="CommentSubject">
    <w:name w:val="annotation subject"/>
    <w:basedOn w:val="CommentText"/>
    <w:next w:val="CommentText"/>
    <w:link w:val="CommentSubjectChar"/>
    <w:uiPriority w:val="99"/>
    <w:semiHidden/>
    <w:unhideWhenUsed/>
    <w:rsid w:val="00DA708F"/>
    <w:rPr>
      <w:b/>
      <w:bCs/>
    </w:rPr>
  </w:style>
  <w:style w:type="character" w:customStyle="1" w:styleId="CommentSubjectChar">
    <w:name w:val="Comment Subject Char"/>
    <w:basedOn w:val="CommentTextChar"/>
    <w:link w:val="CommentSubject"/>
    <w:uiPriority w:val="99"/>
    <w:semiHidden/>
    <w:rsid w:val="00DA708F"/>
    <w:rPr>
      <w:b/>
      <w:bCs/>
    </w:rPr>
  </w:style>
  <w:style w:type="paragraph" w:customStyle="1" w:styleId="CharChar">
    <w:name w:val="Char Char"/>
    <w:basedOn w:val="Normal"/>
    <w:semiHidden/>
    <w:rsid w:val="001C3D75"/>
    <w:pPr>
      <w:tabs>
        <w:tab w:val="left" w:pos="600"/>
      </w:tabs>
      <w:spacing w:after="160" w:line="240" w:lineRule="exact"/>
    </w:pPr>
    <w:rPr>
      <w:rFonts w:eastAsia="Times New Roman"/>
      <w:lang w:val="en-GB"/>
    </w:rPr>
  </w:style>
  <w:style w:type="paragraph" w:customStyle="1" w:styleId="CharChar0">
    <w:name w:val="Char Char"/>
    <w:basedOn w:val="Normal"/>
    <w:semiHidden/>
    <w:rsid w:val="00C80244"/>
    <w:pPr>
      <w:tabs>
        <w:tab w:val="left" w:pos="600"/>
      </w:tabs>
      <w:spacing w:after="160" w:line="240" w:lineRule="exact"/>
    </w:pPr>
    <w:rPr>
      <w:rFonts w:eastAsia="Times New Roman"/>
      <w:lang w:val="en-GB"/>
    </w:rPr>
  </w:style>
  <w:style w:type="paragraph" w:customStyle="1" w:styleId="CharChar1">
    <w:name w:val="Char Char"/>
    <w:basedOn w:val="Normal"/>
    <w:semiHidden/>
    <w:rsid w:val="00811986"/>
    <w:pPr>
      <w:tabs>
        <w:tab w:val="left" w:pos="600"/>
      </w:tabs>
      <w:spacing w:after="160" w:line="240" w:lineRule="exact"/>
    </w:pPr>
    <w:rPr>
      <w:rFonts w:eastAsia="Times New Roman"/>
      <w:lang w:val="en-GB"/>
    </w:rPr>
  </w:style>
  <w:style w:type="character" w:styleId="Hyperlink">
    <w:name w:val="Hyperlink"/>
    <w:basedOn w:val="DefaultParagraphFont"/>
    <w:uiPriority w:val="99"/>
    <w:unhideWhenUsed/>
    <w:rsid w:val="00295346"/>
    <w:rPr>
      <w:color w:val="0563C1" w:themeColor="hyperlink"/>
      <w:u w:val="single"/>
    </w:rPr>
  </w:style>
  <w:style w:type="table" w:customStyle="1" w:styleId="TableGrid1">
    <w:name w:val="Table Grid1"/>
    <w:basedOn w:val="TableNormal"/>
    <w:next w:val="TableGrid"/>
    <w:uiPriority w:val="39"/>
    <w:rsid w:val="00FA4FE0"/>
    <w:pPr>
      <w:ind w:firstLine="284"/>
      <w:jc w:val="left"/>
    </w:pPr>
    <w:rPr>
      <w:rFonts w:eastAsia="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CD0C5A"/>
    <w:pPr>
      <w:jc w:val="left"/>
    </w:pPr>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F77F40"/>
    <w:rPr>
      <w:rFonts w:ascii="CIDFont+F1" w:hAnsi="CIDFont+F1" w:hint="default"/>
      <w:b/>
      <w:bCs/>
      <w:i w:val="0"/>
      <w:iCs w:val="0"/>
      <w:color w:val="000000"/>
      <w:sz w:val="24"/>
      <w:szCs w:val="24"/>
    </w:rPr>
  </w:style>
  <w:style w:type="table" w:styleId="LightShading">
    <w:name w:val="Light Shading"/>
    <w:basedOn w:val="TableNormal"/>
    <w:uiPriority w:val="60"/>
    <w:rsid w:val="00F77F40"/>
    <w:pPr>
      <w:spacing w:before="120"/>
      <w:ind w:firstLine="397"/>
    </w:pPr>
    <w:rPr>
      <w:rFonts w:ascii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D50E3E"/>
    <w:pPr>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367339">
      <w:bodyDiv w:val="1"/>
      <w:marLeft w:val="0"/>
      <w:marRight w:val="0"/>
      <w:marTop w:val="0"/>
      <w:marBottom w:val="0"/>
      <w:divBdr>
        <w:top w:val="none" w:sz="0" w:space="0" w:color="auto"/>
        <w:left w:val="none" w:sz="0" w:space="0" w:color="auto"/>
        <w:bottom w:val="none" w:sz="0" w:space="0" w:color="auto"/>
        <w:right w:val="none" w:sz="0" w:space="0" w:color="auto"/>
      </w:divBdr>
    </w:div>
    <w:div w:id="399325612">
      <w:bodyDiv w:val="1"/>
      <w:marLeft w:val="0"/>
      <w:marRight w:val="0"/>
      <w:marTop w:val="0"/>
      <w:marBottom w:val="0"/>
      <w:divBdr>
        <w:top w:val="none" w:sz="0" w:space="0" w:color="auto"/>
        <w:left w:val="none" w:sz="0" w:space="0" w:color="auto"/>
        <w:bottom w:val="none" w:sz="0" w:space="0" w:color="auto"/>
        <w:right w:val="none" w:sz="0" w:space="0" w:color="auto"/>
      </w:divBdr>
    </w:div>
    <w:div w:id="837039187">
      <w:bodyDiv w:val="1"/>
      <w:marLeft w:val="0"/>
      <w:marRight w:val="0"/>
      <w:marTop w:val="0"/>
      <w:marBottom w:val="0"/>
      <w:divBdr>
        <w:top w:val="none" w:sz="0" w:space="0" w:color="auto"/>
        <w:left w:val="none" w:sz="0" w:space="0" w:color="auto"/>
        <w:bottom w:val="none" w:sz="0" w:space="0" w:color="auto"/>
        <w:right w:val="none" w:sz="0" w:space="0" w:color="auto"/>
      </w:divBdr>
    </w:div>
    <w:div w:id="1008561340">
      <w:bodyDiv w:val="1"/>
      <w:marLeft w:val="0"/>
      <w:marRight w:val="0"/>
      <w:marTop w:val="0"/>
      <w:marBottom w:val="0"/>
      <w:divBdr>
        <w:top w:val="none" w:sz="0" w:space="0" w:color="auto"/>
        <w:left w:val="none" w:sz="0" w:space="0" w:color="auto"/>
        <w:bottom w:val="none" w:sz="0" w:space="0" w:color="auto"/>
        <w:right w:val="none" w:sz="0" w:space="0" w:color="auto"/>
      </w:divBdr>
    </w:div>
    <w:div w:id="129270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image" Target="media/image3.jpe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96F612-DD27-4969-9A15-2F2C80535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8</Pages>
  <Words>3508</Words>
  <Characters>19999</Characters>
  <Application>Microsoft Office Word</Application>
  <DocSecurity>0</DocSecurity>
  <Lines>166</Lines>
  <Paragraphs>46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chihanh-pc</dc:creator>
  <cp:lastModifiedBy>Do Ngoc Anh</cp:lastModifiedBy>
  <cp:revision>303</cp:revision>
  <cp:lastPrinted>2022-07-13T05:01:00Z</cp:lastPrinted>
  <dcterms:created xsi:type="dcterms:W3CDTF">2020-12-16T02:02:00Z</dcterms:created>
  <dcterms:modified xsi:type="dcterms:W3CDTF">2022-07-17T02:09:00Z</dcterms:modified>
</cp:coreProperties>
</file>