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CB6" w:rsidRPr="003D729E" w:rsidRDefault="00222D7A" w:rsidP="00C72131">
      <w:pPr>
        <w:spacing w:afterLines="60" w:after="144" w:line="320" w:lineRule="atLeast"/>
        <w:ind w:firstLine="0"/>
        <w:jc w:val="center"/>
        <w:rPr>
          <w:b/>
          <w:bCs/>
          <w:color w:val="000000" w:themeColor="text1"/>
          <w:sz w:val="28"/>
          <w:szCs w:val="28"/>
          <w:lang w:val="en-US"/>
        </w:rPr>
      </w:pPr>
      <w:bookmarkStart w:id="0" w:name="_GoBack"/>
      <w:bookmarkEnd w:id="0"/>
      <w:r w:rsidRPr="003D729E">
        <w:rPr>
          <w:b/>
          <w:bCs/>
          <w:color w:val="000000" w:themeColor="text1"/>
          <w:sz w:val="28"/>
          <w:szCs w:val="28"/>
          <w:lang w:val="en-US"/>
        </w:rPr>
        <w:t xml:space="preserve">Thực </w:t>
      </w:r>
      <w:r w:rsidR="00D67B04" w:rsidRPr="003D729E">
        <w:rPr>
          <w:b/>
          <w:bCs/>
          <w:color w:val="000000" w:themeColor="text1"/>
          <w:sz w:val="28"/>
          <w:szCs w:val="28"/>
          <w:lang w:val="en-US"/>
        </w:rPr>
        <w:t xml:space="preserve">hiện </w:t>
      </w:r>
      <w:r w:rsidRPr="003D729E">
        <w:rPr>
          <w:b/>
          <w:bCs/>
          <w:color w:val="000000" w:themeColor="text1"/>
          <w:sz w:val="28"/>
          <w:szCs w:val="28"/>
          <w:lang w:val="en-US"/>
        </w:rPr>
        <w:t xml:space="preserve">trách nhiệm xã hội đối với môi trường tại </w:t>
      </w:r>
      <w:r w:rsidR="005601B8" w:rsidRPr="003D729E">
        <w:rPr>
          <w:b/>
          <w:bCs/>
          <w:color w:val="000000" w:themeColor="text1"/>
          <w:sz w:val="28"/>
          <w:szCs w:val="28"/>
          <w:lang w:val="en-US"/>
        </w:rPr>
        <w:t>T</w:t>
      </w:r>
      <w:r w:rsidRPr="003D729E">
        <w:rPr>
          <w:b/>
          <w:bCs/>
          <w:color w:val="000000" w:themeColor="text1"/>
          <w:sz w:val="28"/>
          <w:szCs w:val="28"/>
          <w:lang w:val="en-US"/>
        </w:rPr>
        <w:t xml:space="preserve">ập đoàn </w:t>
      </w:r>
      <w:r w:rsidR="005601B8" w:rsidRPr="003D729E">
        <w:rPr>
          <w:b/>
          <w:bCs/>
          <w:color w:val="000000" w:themeColor="text1"/>
          <w:sz w:val="28"/>
          <w:szCs w:val="28"/>
          <w:lang w:val="en-US"/>
        </w:rPr>
        <w:t>C</w:t>
      </w:r>
      <w:r w:rsidRPr="003D729E">
        <w:rPr>
          <w:b/>
          <w:bCs/>
          <w:color w:val="000000" w:themeColor="text1"/>
          <w:sz w:val="28"/>
          <w:szCs w:val="28"/>
          <w:lang w:val="en-US"/>
        </w:rPr>
        <w:t>ông nghiệp Than - Khoáng sản Việt Nam</w:t>
      </w:r>
    </w:p>
    <w:p w:rsidR="009B0EF3" w:rsidRPr="009B0EF3" w:rsidRDefault="009B0EF3" w:rsidP="009B0EF3">
      <w:pPr>
        <w:jc w:val="right"/>
        <w:rPr>
          <w:rFonts w:asciiTheme="majorHAnsi" w:hAnsiTheme="majorHAnsi" w:cstheme="majorHAnsi"/>
          <w:sz w:val="20"/>
          <w:szCs w:val="20"/>
          <w:vertAlign w:val="superscript"/>
          <w:lang w:val="en-US"/>
        </w:rPr>
      </w:pPr>
      <w:r w:rsidRPr="009B0EF3">
        <w:rPr>
          <w:rFonts w:asciiTheme="majorHAnsi" w:hAnsiTheme="majorHAnsi" w:cstheme="majorHAnsi"/>
          <w:i/>
          <w:iCs/>
          <w:sz w:val="20"/>
          <w:szCs w:val="20"/>
          <w:lang w:val="en-US"/>
        </w:rPr>
        <w:t>Phạm Thu Hương</w:t>
      </w:r>
      <w:r w:rsidRPr="009B0EF3">
        <w:rPr>
          <w:rFonts w:asciiTheme="majorHAnsi" w:hAnsiTheme="majorHAnsi" w:cstheme="majorHAnsi"/>
          <w:i/>
          <w:iCs/>
          <w:sz w:val="20"/>
          <w:szCs w:val="20"/>
          <w:vertAlign w:val="superscript"/>
          <w:lang w:val="en-US"/>
        </w:rPr>
        <w:t>(1)</w:t>
      </w:r>
      <w:r w:rsidRPr="009B0EF3">
        <w:rPr>
          <w:rFonts w:asciiTheme="majorHAnsi" w:hAnsiTheme="majorHAnsi" w:cstheme="majorHAnsi"/>
          <w:i/>
          <w:iCs/>
          <w:sz w:val="20"/>
          <w:szCs w:val="20"/>
          <w:lang w:val="en-US"/>
        </w:rPr>
        <w:t>, Đào Anh Tuấn</w:t>
      </w:r>
      <w:r w:rsidRPr="009B0EF3">
        <w:rPr>
          <w:rFonts w:asciiTheme="majorHAnsi" w:hAnsiTheme="majorHAnsi" w:cstheme="majorHAnsi"/>
          <w:i/>
          <w:iCs/>
          <w:sz w:val="20"/>
          <w:szCs w:val="20"/>
          <w:vertAlign w:val="superscript"/>
          <w:lang w:val="en-US"/>
        </w:rPr>
        <w:t>(2)</w:t>
      </w:r>
      <w:r w:rsidRPr="009B0EF3">
        <w:rPr>
          <w:rFonts w:asciiTheme="majorHAnsi" w:hAnsiTheme="majorHAnsi" w:cstheme="majorHAnsi"/>
          <w:i/>
          <w:iCs/>
          <w:sz w:val="20"/>
          <w:szCs w:val="20"/>
          <w:lang w:val="en-US"/>
        </w:rPr>
        <w:t>, Phạm Kim</w:t>
      </w:r>
      <w:r>
        <w:rPr>
          <w:rFonts w:asciiTheme="majorHAnsi" w:hAnsiTheme="majorHAnsi" w:cstheme="majorHAnsi"/>
          <w:i/>
          <w:iCs/>
          <w:sz w:val="20"/>
          <w:szCs w:val="20"/>
          <w:lang w:val="en-US"/>
        </w:rPr>
        <w:t xml:space="preserve"> </w:t>
      </w:r>
      <w:r w:rsidRPr="009B0EF3">
        <w:rPr>
          <w:rFonts w:asciiTheme="majorHAnsi" w:hAnsiTheme="majorHAnsi" w:cstheme="majorHAnsi"/>
          <w:i/>
          <w:iCs/>
          <w:color w:val="000000" w:themeColor="text1"/>
          <w:sz w:val="20"/>
          <w:szCs w:val="20"/>
          <w:lang w:val="en-US"/>
        </w:rPr>
        <w:t>Thư</w:t>
      </w:r>
      <w:r w:rsidRPr="009B0EF3">
        <w:rPr>
          <w:rFonts w:asciiTheme="majorHAnsi" w:hAnsiTheme="majorHAnsi" w:cstheme="majorHAnsi"/>
          <w:i/>
          <w:iCs/>
          <w:color w:val="000000" w:themeColor="text1"/>
          <w:sz w:val="20"/>
          <w:szCs w:val="20"/>
          <w:vertAlign w:val="superscript"/>
          <w:lang w:val="en-US"/>
        </w:rPr>
        <w:t>(</w:t>
      </w:r>
      <w:r w:rsidRPr="009B0EF3">
        <w:rPr>
          <w:rFonts w:asciiTheme="majorHAnsi" w:hAnsiTheme="majorHAnsi" w:cstheme="majorHAnsi"/>
          <w:i/>
          <w:iCs/>
          <w:sz w:val="20"/>
          <w:szCs w:val="20"/>
          <w:vertAlign w:val="superscript"/>
          <w:lang w:val="en-US"/>
        </w:rPr>
        <w:t>3)</w:t>
      </w:r>
    </w:p>
    <w:p w:rsidR="009B0EF3" w:rsidRPr="009B0EF3" w:rsidRDefault="009B0EF3" w:rsidP="009B0EF3">
      <w:pPr>
        <w:jc w:val="right"/>
        <w:rPr>
          <w:rFonts w:asciiTheme="majorHAnsi" w:hAnsiTheme="majorHAnsi" w:cstheme="majorHAnsi"/>
          <w:sz w:val="28"/>
          <w:szCs w:val="28"/>
          <w:vertAlign w:val="subscript"/>
          <w:lang w:val="en-US"/>
        </w:rPr>
      </w:pPr>
      <w:r w:rsidRPr="009B0EF3">
        <w:rPr>
          <w:rFonts w:asciiTheme="majorHAnsi" w:hAnsiTheme="majorHAnsi" w:cstheme="majorHAnsi"/>
          <w:sz w:val="28"/>
          <w:szCs w:val="28"/>
          <w:vertAlign w:val="superscript"/>
          <w:lang w:val="en-US"/>
        </w:rPr>
        <w:t>(1),(2)</w:t>
      </w:r>
      <w:r w:rsidRPr="009B0EF3">
        <w:rPr>
          <w:rFonts w:asciiTheme="majorHAnsi" w:hAnsiTheme="majorHAnsi" w:cstheme="majorHAnsi"/>
          <w:sz w:val="28"/>
          <w:szCs w:val="28"/>
          <w:vertAlign w:val="subscript"/>
          <w:lang w:val="en-US"/>
        </w:rPr>
        <w:t xml:space="preserve"> Trường Đại học Mỏ - Địa chất; </w:t>
      </w:r>
      <w:r w:rsidRPr="009B0EF3">
        <w:rPr>
          <w:rFonts w:asciiTheme="majorHAnsi" w:hAnsiTheme="majorHAnsi" w:cstheme="majorHAnsi"/>
          <w:sz w:val="28"/>
          <w:szCs w:val="28"/>
          <w:vertAlign w:val="superscript"/>
          <w:lang w:val="en-US"/>
        </w:rPr>
        <w:t>(</w:t>
      </w:r>
      <w:r>
        <w:rPr>
          <w:rFonts w:asciiTheme="majorHAnsi" w:hAnsiTheme="majorHAnsi" w:cstheme="majorHAnsi"/>
          <w:sz w:val="28"/>
          <w:szCs w:val="28"/>
          <w:vertAlign w:val="superscript"/>
          <w:lang w:val="en-US"/>
        </w:rPr>
        <w:t>3</w:t>
      </w:r>
      <w:r w:rsidRPr="009B0EF3">
        <w:rPr>
          <w:rFonts w:asciiTheme="majorHAnsi" w:hAnsiTheme="majorHAnsi" w:cstheme="majorHAnsi"/>
          <w:sz w:val="28"/>
          <w:szCs w:val="28"/>
          <w:vertAlign w:val="superscript"/>
          <w:lang w:val="en-US"/>
        </w:rPr>
        <w:t xml:space="preserve">) </w:t>
      </w:r>
      <w:r w:rsidRPr="009B0EF3">
        <w:rPr>
          <w:rFonts w:asciiTheme="majorHAnsi" w:hAnsiTheme="majorHAnsi" w:cstheme="majorHAnsi"/>
          <w:sz w:val="28"/>
          <w:szCs w:val="28"/>
          <w:vertAlign w:val="subscript"/>
          <w:lang w:val="en-US"/>
        </w:rPr>
        <w:t>Trường Đại học Công nghệ và Quản lý Hữu Nghị</w:t>
      </w:r>
    </w:p>
    <w:p w:rsidR="00CF3427" w:rsidRPr="002A2A4E" w:rsidRDefault="00CF3427" w:rsidP="00C72131">
      <w:pPr>
        <w:spacing w:afterLines="60" w:after="144" w:line="320" w:lineRule="atLeast"/>
        <w:ind w:firstLine="0"/>
        <w:jc w:val="both"/>
        <w:rPr>
          <w:b/>
          <w:bCs/>
          <w:i/>
          <w:iCs/>
          <w:color w:val="000000" w:themeColor="text1"/>
          <w:lang w:val="en-US"/>
        </w:rPr>
      </w:pPr>
      <w:r w:rsidRPr="002A2A4E">
        <w:rPr>
          <w:b/>
          <w:bCs/>
          <w:i/>
          <w:iCs/>
          <w:color w:val="000000" w:themeColor="text1"/>
          <w:lang w:val="en-US"/>
        </w:rPr>
        <w:t>Tóm tắt:</w:t>
      </w:r>
    </w:p>
    <w:p w:rsidR="00CF3427" w:rsidRPr="002A2A4E" w:rsidRDefault="00CC3BDD" w:rsidP="00C72131">
      <w:pPr>
        <w:spacing w:afterLines="60" w:after="144" w:line="320" w:lineRule="atLeast"/>
        <w:ind w:firstLine="0"/>
        <w:jc w:val="both"/>
        <w:rPr>
          <w:color w:val="000000" w:themeColor="text1"/>
          <w:lang w:val="en-US"/>
        </w:rPr>
      </w:pPr>
      <w:r w:rsidRPr="00CC3BDD">
        <w:rPr>
          <w:color w:val="000000" w:themeColor="text1"/>
          <w:lang w:val="en-US"/>
        </w:rPr>
        <w:t>Nghiên cứu này được thực hiện nhằm</w:t>
      </w:r>
      <w:r>
        <w:rPr>
          <w:color w:val="000000" w:themeColor="text1"/>
          <w:lang w:val="en-US"/>
        </w:rPr>
        <w:t xml:space="preserve"> đánh giá việc t</w:t>
      </w:r>
      <w:r w:rsidRPr="00CC3BDD">
        <w:rPr>
          <w:color w:val="000000" w:themeColor="text1"/>
          <w:lang w:val="en-US"/>
        </w:rPr>
        <w:t>hực hiện trách nhiệm xã hội</w:t>
      </w:r>
      <w:r>
        <w:rPr>
          <w:color w:val="000000" w:themeColor="text1"/>
          <w:lang w:val="en-US"/>
        </w:rPr>
        <w:t xml:space="preserve"> (TNXH)</w:t>
      </w:r>
      <w:r w:rsidRPr="00CC3BDD">
        <w:rPr>
          <w:color w:val="000000" w:themeColor="text1"/>
          <w:lang w:val="en-US"/>
        </w:rPr>
        <w:t xml:space="preserve"> đối với môi trường tại Tập đoàn Công nghiệp Than - Khoáng sản Việt Nam</w:t>
      </w:r>
      <w:r>
        <w:rPr>
          <w:color w:val="000000" w:themeColor="text1"/>
          <w:lang w:val="en-US"/>
        </w:rPr>
        <w:t xml:space="preserve"> (TKV). Qua đó đề xuất một số giải pháp giúp TKV </w:t>
      </w:r>
      <w:r w:rsidRPr="00CC3BDD">
        <w:rPr>
          <w:color w:val="000000" w:themeColor="text1"/>
          <w:lang w:val="en-US"/>
        </w:rPr>
        <w:t>thực hiện tốt hơn nữa TNXH với môi trường, đảm bảo cho sự phát triển bền vững của Tập đoàn.</w:t>
      </w:r>
    </w:p>
    <w:p w:rsidR="00C72131" w:rsidRDefault="00C72131" w:rsidP="00C72131">
      <w:pPr>
        <w:spacing w:afterLines="60" w:after="144" w:line="320" w:lineRule="atLeast"/>
        <w:ind w:firstLine="284"/>
        <w:jc w:val="both"/>
        <w:rPr>
          <w:b/>
          <w:bCs/>
          <w:color w:val="000000" w:themeColor="text1"/>
          <w:lang w:val="en-US"/>
        </w:rPr>
        <w:sectPr w:rsidR="00C72131" w:rsidSect="00433F4A">
          <w:headerReference w:type="default" r:id="rId8"/>
          <w:pgSz w:w="11907" w:h="16840" w:code="9"/>
          <w:pgMar w:top="854" w:right="1418" w:bottom="1134" w:left="1418" w:header="794" w:footer="709" w:gutter="0"/>
          <w:cols w:space="708"/>
          <w:docGrid w:linePitch="360"/>
        </w:sectPr>
      </w:pPr>
    </w:p>
    <w:p w:rsidR="00222D7A" w:rsidRPr="002A2A4E" w:rsidRDefault="00222D7A" w:rsidP="003D729E">
      <w:pPr>
        <w:spacing w:afterLines="60" w:after="144" w:line="320" w:lineRule="atLeast"/>
        <w:ind w:firstLine="0"/>
        <w:jc w:val="both"/>
        <w:rPr>
          <w:b/>
          <w:bCs/>
          <w:color w:val="000000" w:themeColor="text1"/>
          <w:lang w:val="en-US"/>
        </w:rPr>
      </w:pPr>
      <w:r w:rsidRPr="002A2A4E">
        <w:rPr>
          <w:b/>
          <w:bCs/>
          <w:color w:val="000000" w:themeColor="text1"/>
          <w:lang w:val="en-US"/>
        </w:rPr>
        <w:lastRenderedPageBreak/>
        <w:t>1. Đặt vấn đề</w:t>
      </w:r>
    </w:p>
    <w:p w:rsidR="00D67B04" w:rsidRPr="002A2A4E" w:rsidRDefault="005601B8" w:rsidP="00C72131">
      <w:pPr>
        <w:spacing w:afterLines="60" w:after="144" w:line="320" w:lineRule="atLeast"/>
        <w:ind w:firstLine="284"/>
        <w:jc w:val="both"/>
        <w:rPr>
          <w:color w:val="000000" w:themeColor="text1"/>
          <w:lang w:val="en-US"/>
        </w:rPr>
      </w:pPr>
      <w:r w:rsidRPr="002A2A4E">
        <w:rPr>
          <w:color w:val="000000" w:themeColor="text1"/>
          <w:lang w:val="en-US"/>
        </w:rPr>
        <w:t>Than và các loại khoáng sản là nguồn năng lượng, nguyên liệu không thể thiếu đối với sự phát triển của nền kinh tế thế giới cũng như Việt Nam. Tuy nhiên công nghiệp khai thác, chế biến, sử dụng than, khoáng sản là ngành có nhiều tác động tiêu cực đến môi trường, từ việc phá hủy địa hình, làm suy giảm hệ động thực vật, suy giảm nguồn nước đến phát sinh nước thải, khí thải, chất thải rắn và các loại chất thải đặc thù khác với khối lượng lớn; trong đó việc phát sinh các loại khí nhà kính là một trong những yếu tố góp phần vào sự nóng lên toàn cầu và sự biến đổi khí hậu theo hướng ngày càng cực đoan.</w:t>
      </w:r>
    </w:p>
    <w:p w:rsidR="005601B8" w:rsidRPr="002A2A4E" w:rsidRDefault="005601B8" w:rsidP="00C72131">
      <w:pPr>
        <w:spacing w:afterLines="60" w:after="144" w:line="320" w:lineRule="atLeast"/>
        <w:ind w:firstLine="284"/>
        <w:jc w:val="both"/>
        <w:rPr>
          <w:color w:val="000000" w:themeColor="text1"/>
          <w:lang w:val="en-US"/>
        </w:rPr>
      </w:pPr>
      <w:r w:rsidRPr="002A2A4E">
        <w:rPr>
          <w:color w:val="000000" w:themeColor="text1"/>
          <w:lang w:val="en-US"/>
        </w:rPr>
        <w:t xml:space="preserve">Tập đoàn Công nghiệp Than - Khoáng sản Việt Nam (TKV) là tập đoàn kinh tế nhà nước được giao nhiệm vụ chủ yếu là đảm bảo an ninh năng lượng quốc gia, cung cấp nguyên vật liệu cho nền kinh tế đất nước và xuất khẩu; ngành nghề sản xuất kinh doanh chính là: Khai thác, chế biến than và khoáng sản; sản xuất điện, hóa chất mỏ, vật liệu xây dựng; sửa chữa, lắp ráp, chế tạo thiết bị mỏ. TKV hiện là một trong ba trụ cột đảm bảo an ninh năng lượng quốc gia, là nhà sản xuất và cung cấp than lớn nhất, sản xuất alumin duy nhất và sản xuất kim loại màu lớn </w:t>
      </w:r>
      <w:r w:rsidRPr="002A2A4E">
        <w:rPr>
          <w:color w:val="000000" w:themeColor="text1"/>
          <w:lang w:val="en-US"/>
        </w:rPr>
        <w:lastRenderedPageBreak/>
        <w:t>nhất cung cấp cho nền kinh tế đất nước và xuất khẩu.</w:t>
      </w:r>
    </w:p>
    <w:p w:rsidR="007E2D29" w:rsidRPr="002A2A4E" w:rsidRDefault="005601B8" w:rsidP="00C72131">
      <w:pPr>
        <w:spacing w:afterLines="60" w:after="144" w:line="320" w:lineRule="atLeast"/>
        <w:ind w:firstLine="284"/>
        <w:jc w:val="both"/>
        <w:rPr>
          <w:color w:val="000000" w:themeColor="text1"/>
          <w:lang w:val="en-US"/>
        </w:rPr>
      </w:pPr>
      <w:r w:rsidRPr="002A2A4E">
        <w:rPr>
          <w:color w:val="000000" w:themeColor="text1"/>
          <w:lang w:val="en-US"/>
        </w:rPr>
        <w:t>Trước các yêu cầu của phát triển kinh tế bền vững, vừa đảm bảo an ninh năng lượng quốc gia, vừa bảo vệ môi trường đã đặt ra các yêu cầu và thách thức to lớn cho TKV trong việc thực hiện TNXH doanh nghiệp với môi trường</w:t>
      </w:r>
      <w:r w:rsidR="00E16BDD" w:rsidRPr="002A2A4E">
        <w:rPr>
          <w:color w:val="000000" w:themeColor="text1"/>
          <w:lang w:val="en-US"/>
        </w:rPr>
        <w:t xml:space="preserve">. Ý thức được nguy hại từ ô nhiễm môi trường do hoạt động khai thác </w:t>
      </w:r>
      <w:r w:rsidR="0068073F" w:rsidRPr="002A2A4E">
        <w:rPr>
          <w:color w:val="000000" w:themeColor="text1"/>
          <w:lang w:val="en-US"/>
        </w:rPr>
        <w:t xml:space="preserve">và chế biến khoáng sản </w:t>
      </w:r>
      <w:r w:rsidR="00E16BDD" w:rsidRPr="002A2A4E">
        <w:rPr>
          <w:color w:val="000000" w:themeColor="text1"/>
          <w:lang w:val="en-US"/>
        </w:rPr>
        <w:t>gây ra, thời gian qua, TKV đã tích cực triển khai nhiều giải pháp để bảo vệ môi trường</w:t>
      </w:r>
      <w:r w:rsidR="0068073F" w:rsidRPr="002A2A4E">
        <w:rPr>
          <w:color w:val="000000" w:themeColor="text1"/>
          <w:lang w:val="en-US"/>
        </w:rPr>
        <w:t xml:space="preserve">. </w:t>
      </w:r>
      <w:r w:rsidR="007E2D29" w:rsidRPr="002A2A4E">
        <w:rPr>
          <w:color w:val="000000" w:themeColor="text1"/>
          <w:lang w:val="en-US"/>
        </w:rPr>
        <w:t xml:space="preserve">Với việc chủ động thực hiện các biện pháp </w:t>
      </w:r>
      <w:r w:rsidR="008E2E53" w:rsidRPr="002A2A4E">
        <w:rPr>
          <w:color w:val="000000" w:themeColor="text1"/>
          <w:lang w:val="en-US"/>
        </w:rPr>
        <w:t>bảo vệ môi trường</w:t>
      </w:r>
      <w:r w:rsidR="007E2D29" w:rsidRPr="002A2A4E">
        <w:rPr>
          <w:color w:val="000000" w:themeColor="text1"/>
          <w:lang w:val="en-US"/>
        </w:rPr>
        <w:t xml:space="preserve"> trong những năm vừa qua, TKV đã cơ bản khắc phục được tình trạng ô nhiễm môi trường do quá trình khai thác khoáng sản trước đây để lại và xử lý, ngăn ngừa ô nhiễm môi trường mới phát sinh; chất lượng môi trường, cảnh quan các vùng khai thác than, khoáng sản đã có sự cải thiện mạnh mẽ, tạo điều kiện ổn định cho sự phát triển của ngành, góp phần tính cực vào sự phát triển của các địa phương.</w:t>
      </w:r>
    </w:p>
    <w:p w:rsidR="007E2D29" w:rsidRPr="002A2A4E" w:rsidRDefault="007E2D29" w:rsidP="00C72131">
      <w:pPr>
        <w:spacing w:afterLines="60" w:after="144" w:line="320" w:lineRule="atLeast"/>
        <w:ind w:firstLine="284"/>
        <w:jc w:val="both"/>
        <w:rPr>
          <w:color w:val="000000" w:themeColor="text1"/>
          <w:lang w:val="en-US"/>
        </w:rPr>
      </w:pPr>
      <w:r w:rsidRPr="002A2A4E">
        <w:rPr>
          <w:color w:val="000000" w:themeColor="text1"/>
          <w:lang w:val="en-US"/>
        </w:rPr>
        <w:t xml:space="preserve">Tuy nhiên quá trình thực hiện TNHX với môi trường của TKV vẫn còn tồn tại một số hạn chế nhất định như: </w:t>
      </w:r>
      <w:r w:rsidR="008E2E53" w:rsidRPr="002A2A4E">
        <w:rPr>
          <w:color w:val="000000" w:themeColor="text1"/>
          <w:lang w:val="en-US"/>
        </w:rPr>
        <w:t>b</w:t>
      </w:r>
      <w:r w:rsidRPr="002A2A4E">
        <w:rPr>
          <w:color w:val="000000" w:themeColor="text1"/>
          <w:lang w:val="en-US"/>
        </w:rPr>
        <w:t xml:space="preserve">ụi, bẩn từ quá trình vận chuyển than, khoáng sản, đất đá chưa được khắc phục triệt để; công tác vệ sinh công nghiệp, cảnh quan môi trường mặt bằng sản xuất các mỏ, một số </w:t>
      </w:r>
      <w:r w:rsidRPr="002A2A4E">
        <w:rPr>
          <w:color w:val="000000" w:themeColor="text1"/>
          <w:lang w:val="en-US"/>
        </w:rPr>
        <w:lastRenderedPageBreak/>
        <w:t>nhà máy thực hiện chưa tốt, còn bụi, bẩn, lầy lội; nước mưa từ các khai trường, bãi thải mỏ, mặt bằng sản xuất có lưu lượng lớn còn cuốn trôi đất đá gây bồi lấp sông suối thoát nước; Nước thải phát sinh trong khai thác mỏ phụ thuộc vào lượng mưa nên có lúc, có nơi chưa được thu gom, xử lý triệt để theo quy chuẩn môi trường; các nhà máy nhiệt điện đôi lúc còn xả khí thải không đảm bảo quy chuẩn ra môi trường do sự cố thiết bị; một số bãi thải tro xỉ nhiệt điện đã đầy, việc mở rộng và cấp mới bãi thải gặp nhiều khó khăn ảnh hưởng đến hoạt động của các nhà máy</w:t>
      </w:r>
      <w:r w:rsidR="008E2E53" w:rsidRPr="002A2A4E">
        <w:rPr>
          <w:color w:val="000000" w:themeColor="text1"/>
          <w:lang w:val="en-US"/>
        </w:rPr>
        <w:t xml:space="preserve">; </w:t>
      </w:r>
      <w:r w:rsidRPr="002A2A4E">
        <w:rPr>
          <w:color w:val="000000" w:themeColor="text1"/>
          <w:lang w:val="en-US"/>
        </w:rPr>
        <w:t>Còn xảy ra một số sự cố ảnh hưởng đến môi trường</w:t>
      </w:r>
      <w:r w:rsidR="008E2E53" w:rsidRPr="002A2A4E">
        <w:rPr>
          <w:color w:val="000000" w:themeColor="text1"/>
          <w:lang w:val="en-US"/>
        </w:rPr>
        <w:t xml:space="preserve"> như s</w:t>
      </w:r>
      <w:r w:rsidRPr="002A2A4E">
        <w:rPr>
          <w:color w:val="000000" w:themeColor="text1"/>
          <w:lang w:val="en-US"/>
        </w:rPr>
        <w:t>ạt lở bãi thải do mưa lớn; vỡ đập, tràn bùn nước hồ thải quặng đuôi mỏ khoáng sản; rò rỉ dung dịch xút ra môi trường từ các nhà máy alumin; xả khí thải không đảm bảo quy chuẩn môi trường do sự cố thiết bị tại các nhà máy nhiệt điện.</w:t>
      </w:r>
    </w:p>
    <w:p w:rsidR="008E2E53" w:rsidRPr="002A2A4E" w:rsidRDefault="008E2E53" w:rsidP="00C72131">
      <w:pPr>
        <w:spacing w:afterLines="60" w:after="144" w:line="320" w:lineRule="atLeast"/>
        <w:ind w:firstLine="284"/>
        <w:jc w:val="both"/>
        <w:rPr>
          <w:color w:val="000000" w:themeColor="text1"/>
          <w:lang w:val="en-US"/>
        </w:rPr>
      </w:pPr>
      <w:r w:rsidRPr="002A2A4E">
        <w:rPr>
          <w:color w:val="000000" w:themeColor="text1"/>
          <w:lang w:val="en-US"/>
        </w:rPr>
        <w:t>Điều này đã đặt ra cho TKV phải có các giải pháp phù hợp nhằm thực hiện tốt hơn nữa TNXH với môi trường, đảm bảo cho sự phát triển bền vững của Tập đoàn.</w:t>
      </w:r>
    </w:p>
    <w:p w:rsidR="00222D7A" w:rsidRPr="002A2A4E" w:rsidRDefault="00222D7A" w:rsidP="003D729E">
      <w:pPr>
        <w:spacing w:afterLines="60" w:after="144" w:line="320" w:lineRule="atLeast"/>
        <w:ind w:firstLine="0"/>
        <w:jc w:val="both"/>
        <w:rPr>
          <w:b/>
          <w:bCs/>
          <w:color w:val="000000" w:themeColor="text1"/>
          <w:lang w:val="en-US"/>
        </w:rPr>
      </w:pPr>
      <w:r w:rsidRPr="002A2A4E">
        <w:rPr>
          <w:b/>
          <w:bCs/>
          <w:color w:val="000000" w:themeColor="text1"/>
          <w:lang w:val="en-US"/>
        </w:rPr>
        <w:t>2. Cơ sở lý luận về trách nhiệm xã hội doanh nghiệp với môi trường</w:t>
      </w:r>
    </w:p>
    <w:p w:rsidR="00222D7A" w:rsidRPr="002A2A4E" w:rsidRDefault="00222D7A" w:rsidP="00C72131">
      <w:pPr>
        <w:spacing w:afterLines="60" w:after="144" w:line="320" w:lineRule="atLeast"/>
        <w:ind w:firstLine="284"/>
        <w:jc w:val="both"/>
        <w:rPr>
          <w:b/>
          <w:bCs/>
          <w:i/>
          <w:iCs/>
          <w:color w:val="000000" w:themeColor="text1"/>
          <w:lang w:val="en-US"/>
        </w:rPr>
      </w:pPr>
      <w:r w:rsidRPr="002A2A4E">
        <w:rPr>
          <w:b/>
          <w:bCs/>
          <w:i/>
          <w:iCs/>
          <w:color w:val="000000" w:themeColor="text1"/>
          <w:lang w:val="en-US"/>
        </w:rPr>
        <w:t>2.1. Khái niệm trách nhiệm xã hội doanh nghiệp</w:t>
      </w:r>
    </w:p>
    <w:p w:rsidR="00392010" w:rsidRPr="002A2A4E" w:rsidRDefault="00392010" w:rsidP="00C72131">
      <w:pPr>
        <w:spacing w:afterLines="60" w:after="144" w:line="320" w:lineRule="atLeast"/>
        <w:ind w:firstLine="284"/>
        <w:jc w:val="both"/>
        <w:rPr>
          <w:color w:val="000000" w:themeColor="text1"/>
          <w:lang w:val="en-US"/>
        </w:rPr>
      </w:pPr>
      <w:r w:rsidRPr="002A2A4E">
        <w:rPr>
          <w:color w:val="000000" w:themeColor="text1"/>
          <w:lang w:val="en-US"/>
        </w:rPr>
        <w:t xml:space="preserve">Cho đến nay đã có khá nhiều các khái niệm, quan điểm khác nhau về TNXH doanh nghiệp. Mỗi tổ chức, công ty, chính phủ nhìn nhận TNHX dưới những góc độ và quan điểm khác nhau tủy vào điều kiện, đặc điểm và  trình  độ  phát  triển  của  họ  (Nguyễn  Ngọc Thắng, 2010; Nguyễn Đình Cung &amp; Lưu Minh Đức, 2008), các đối tượng khác nhau có nhận định về TNHX khác nhau (Wood, 2010). Vì vậy, cho đến nay vẫn chưa có </w:t>
      </w:r>
      <w:r w:rsidRPr="002A2A4E">
        <w:rPr>
          <w:color w:val="000000" w:themeColor="text1"/>
          <w:lang w:val="en-US"/>
        </w:rPr>
        <w:lastRenderedPageBreak/>
        <w:t>một khái niệm nhất quán nào về TNHX (Skudiene &amp; Auruskeviciene, 201</w:t>
      </w:r>
      <w:r w:rsidR="007E197D" w:rsidRPr="002A2A4E">
        <w:rPr>
          <w:color w:val="000000" w:themeColor="text1"/>
          <w:lang w:val="en-US"/>
        </w:rPr>
        <w:t>2</w:t>
      </w:r>
      <w:r w:rsidRPr="002A2A4E">
        <w:rPr>
          <w:color w:val="000000" w:themeColor="text1"/>
          <w:lang w:val="en-US"/>
        </w:rPr>
        <w:t>).</w:t>
      </w:r>
    </w:p>
    <w:p w:rsidR="00392010" w:rsidRPr="002A2A4E" w:rsidRDefault="00392010" w:rsidP="00C72131">
      <w:pPr>
        <w:spacing w:afterLines="60" w:after="144" w:line="320" w:lineRule="atLeast"/>
        <w:ind w:firstLine="284"/>
        <w:jc w:val="both"/>
        <w:rPr>
          <w:color w:val="000000" w:themeColor="text1"/>
          <w:lang w:val="en-US"/>
        </w:rPr>
      </w:pPr>
      <w:r w:rsidRPr="002A2A4E">
        <w:rPr>
          <w:color w:val="000000" w:themeColor="text1"/>
          <w:lang w:val="en-US"/>
        </w:rPr>
        <w:t xml:space="preserve">Thuật ngữ TNHX được biết đến phổ biến kể từ khi nhà kinh tế học Bowen (1953) phát hành </w:t>
      </w:r>
      <w:r w:rsidR="00DA4FA4" w:rsidRPr="002A2A4E">
        <w:rPr>
          <w:color w:val="000000" w:themeColor="text1"/>
          <w:lang w:val="en-US"/>
        </w:rPr>
        <w:t>cuốn</w:t>
      </w:r>
      <w:r w:rsidRPr="002A2A4E">
        <w:rPr>
          <w:color w:val="000000" w:themeColor="text1"/>
          <w:lang w:val="en-US"/>
        </w:rPr>
        <w:t xml:space="preserve"> “Trách nhiệm xã hội của doanh nhân” vào năm 1953 nhằm mục đích kêu gọi các nhà kinh doanh không làm tổn hại đến quyền và lợi ích của người khác trong việc đề xuất và thực thi chính sách. Bowen được xem là một trong những người tiên phong về khái niệm TNHX. Bowen (1953) cho rằng, doanh nghiệp nên theo đuổi các chính sách, quyết định, hành động có giá trị cho xã hội. Davis (1973) cho rằng, TNHX là sự quan tâm và phản ứng của doanh nghiệp đối với các vấn đề vượt ra ngoài việc thỏa mãn những yêu cầu pháp lý, kinh tế, công nghệ. Carroll (1999) xem TNHX còn có phạm vi lớn hơn là tất cả các vấn đề kinh tế, pháp lý, đạo đức và những lĩnh vực khác mà xã hội mong đợi  ở  doanh  nghiệp  trong  mỗi  thời  điểm  nhất định. Quan điểm của Henri và Ane (2012) về TNHX bao gồm các yếu tố như trách nhiệm cộng đồng, môi trường, nhân quyền và cách ứng xử với nhân viên. TNHX là một phạm trù phức tạp và được diễn đạt theo quan điểm của từng nhà nghiên cứu, phụ thuộc  vào  bối cảnh  của  nghiên  cứu  (Dahlsru</w:t>
      </w:r>
      <w:r w:rsidR="00C07B85" w:rsidRPr="002A2A4E">
        <w:rPr>
          <w:color w:val="000000" w:themeColor="text1"/>
          <w:lang w:val="en-US"/>
        </w:rPr>
        <w:t>d</w:t>
      </w:r>
      <w:r w:rsidRPr="002A2A4E">
        <w:rPr>
          <w:color w:val="000000" w:themeColor="text1"/>
          <w:lang w:val="en-US"/>
        </w:rPr>
        <w:t xml:space="preserve">,2008; Garriga &amp; Melé, 2004). Dahlsrud (2008) quan điểm TNHX gồm các thành phần: kinh tế, các bên hữu quan, phạm vi xã hội, môi trường và từ thiện.  </w:t>
      </w:r>
    </w:p>
    <w:p w:rsidR="00392010" w:rsidRPr="002A2A4E" w:rsidRDefault="00392010" w:rsidP="00C72131">
      <w:pPr>
        <w:spacing w:afterLines="60" w:after="144" w:line="320" w:lineRule="atLeast"/>
        <w:ind w:firstLine="284"/>
        <w:jc w:val="both"/>
        <w:rPr>
          <w:color w:val="000000" w:themeColor="text1"/>
          <w:lang w:val="en-US"/>
        </w:rPr>
      </w:pPr>
      <w:r w:rsidRPr="002A2A4E">
        <w:rPr>
          <w:color w:val="000000" w:themeColor="text1"/>
          <w:lang w:val="en-US"/>
        </w:rPr>
        <w:t xml:space="preserve">Mặc dù có nhiều định  nghĩa  khác nhau song tựu chung lại, các khái niệm đều cho thấy TNXH đề cập tới mối quan hệ và sự tương tác giữa doanh nghiệp và các bên liên đới về lợi ích với doanh nghiệp trên cơ sở tự nguyện. Do đó trong nghiên cứu này, khái niệm TNHX doanh nghiệp được hiểu là những hoạt động tự </w:t>
      </w:r>
      <w:r w:rsidRPr="002A2A4E">
        <w:rPr>
          <w:color w:val="000000" w:themeColor="text1"/>
          <w:lang w:val="en-US"/>
        </w:rPr>
        <w:lastRenderedPageBreak/>
        <w:t xml:space="preserve">thân của doanh nghiệp </w:t>
      </w:r>
      <w:r w:rsidR="0092726B" w:rsidRPr="002A2A4E">
        <w:rPr>
          <w:color w:val="000000" w:themeColor="text1"/>
          <w:lang w:val="en-US"/>
        </w:rPr>
        <w:t xml:space="preserve">nhằm </w:t>
      </w:r>
      <w:r w:rsidRPr="002A2A4E">
        <w:rPr>
          <w:color w:val="000000" w:themeColor="text1"/>
          <w:lang w:val="en-US"/>
        </w:rPr>
        <w:t>mang lại lợi ích tốt đẹp cho môi trường, các bên liên quan và cho chính bản thân doanh nghiệp.</w:t>
      </w:r>
    </w:p>
    <w:p w:rsidR="00222D7A" w:rsidRPr="002A2A4E" w:rsidRDefault="00222D7A" w:rsidP="00C72131">
      <w:pPr>
        <w:spacing w:afterLines="60" w:after="144" w:line="320" w:lineRule="atLeast"/>
        <w:ind w:firstLine="284"/>
        <w:jc w:val="both"/>
        <w:rPr>
          <w:b/>
          <w:bCs/>
          <w:i/>
          <w:iCs/>
          <w:color w:val="000000" w:themeColor="text1"/>
          <w:lang w:val="en-US"/>
        </w:rPr>
      </w:pPr>
      <w:r w:rsidRPr="002A2A4E">
        <w:rPr>
          <w:b/>
          <w:bCs/>
          <w:i/>
          <w:iCs/>
          <w:color w:val="000000" w:themeColor="text1"/>
          <w:lang w:val="en-US"/>
        </w:rPr>
        <w:t>2.2. Trách nhiệm xã hội doanh nghiệp với môi trường</w:t>
      </w:r>
    </w:p>
    <w:p w:rsidR="00392010" w:rsidRPr="002A2A4E" w:rsidRDefault="007C1295" w:rsidP="00C72131">
      <w:pPr>
        <w:spacing w:afterLines="60" w:after="144" w:line="320" w:lineRule="atLeast"/>
        <w:ind w:firstLine="284"/>
        <w:jc w:val="both"/>
        <w:rPr>
          <w:color w:val="000000" w:themeColor="text1"/>
          <w:lang w:val="en-US"/>
        </w:rPr>
      </w:pPr>
      <w:r w:rsidRPr="002A2A4E">
        <w:rPr>
          <w:color w:val="000000" w:themeColor="text1"/>
          <w:lang w:val="en-US"/>
        </w:rPr>
        <w:t>Trong lĩnh vực môi trường, doanh nghiệp phải có trách nhiệm với các tác động tới môi trường và cuộc sống cộng đồng, thông qua các hành vi như: phòng ngừa ô nhiễm, sử dụng tài nguyên hợp lý, giảm nhẹ và thích nghi với biến đổi khí hậu, bảo vệ môi trường, đa dạng sinh học và khắc phục môi trường sống tự nhiên</w:t>
      </w:r>
    </w:p>
    <w:p w:rsidR="00F65A1A" w:rsidRPr="002A2A4E" w:rsidRDefault="007C1295" w:rsidP="00C72131">
      <w:pPr>
        <w:spacing w:afterLines="60" w:after="144" w:line="320" w:lineRule="atLeast"/>
        <w:ind w:firstLine="284"/>
        <w:jc w:val="both"/>
        <w:rPr>
          <w:color w:val="000000" w:themeColor="text1"/>
          <w:lang w:val="en-US"/>
        </w:rPr>
      </w:pPr>
      <w:r w:rsidRPr="002A2A4E">
        <w:rPr>
          <w:color w:val="000000" w:themeColor="text1"/>
          <w:lang w:val="en-US"/>
        </w:rPr>
        <w:t xml:space="preserve">* </w:t>
      </w:r>
      <w:r w:rsidR="00F65A1A" w:rsidRPr="002A2A4E">
        <w:rPr>
          <w:color w:val="000000" w:themeColor="text1"/>
          <w:lang w:val="en-US"/>
        </w:rPr>
        <w:t xml:space="preserve">Phòng ngừa ô nhiễm  </w:t>
      </w:r>
    </w:p>
    <w:p w:rsidR="00F65A1A" w:rsidRPr="002A2A4E" w:rsidRDefault="00F65A1A" w:rsidP="00C72131">
      <w:pPr>
        <w:spacing w:afterLines="60" w:after="144" w:line="320" w:lineRule="atLeast"/>
        <w:ind w:firstLine="284"/>
        <w:jc w:val="both"/>
        <w:rPr>
          <w:color w:val="000000" w:themeColor="text1"/>
          <w:lang w:val="en-US"/>
        </w:rPr>
      </w:pPr>
      <w:r w:rsidRPr="002A2A4E">
        <w:rPr>
          <w:color w:val="000000" w:themeColor="text1"/>
          <w:lang w:val="en-US"/>
        </w:rPr>
        <w:t>Để cải thiện việc phòng ngừa ô nhiễm do các hoạt động của mình, doanh nghiệp cần phải: Xác định các khía cạnh và tác động của các quyết định và hoạt động của tổ chức lên môi trường xung quanh; xác định nguồn gây ô nhiễm và chất thải liên quan đến hoạt động của tổ chức; áp dụng các biện pháp nhằm phòng ngừa ô nhiễm và chất thải, sử dụng hệ thống quản lý rác thải và đảm bảo quản lý phù hợp ô nhiễm và rác thải có khả năng tránh được; tham gia với cộng đồng địa phương về các phát thải và chất thải gây ô nhiễm thực tế và tiềm ẩn, các rủi ro sức khỏe liên quan cũng như các biện pháp giảm thiểu thực tế và đề xuất; công bố về lượng và loại vật liệu độc và nguy hiểm có liên quan và đáng kể được sử dụng và thải ra; tránh sử dụng các hóa chất cấm như: Chất phá hủy tầng ôzôn, chất gây ô nhiễm hữu cơ bền, các hóa chất, thuốc trừ sâu nguy hiểm, hóa chất gây ung thư, gây đột biến, ảnh hưởng tới sinh sản, rối loạn nội tiết hay tích tụ sinh học lâu dài và độc hại.</w:t>
      </w:r>
    </w:p>
    <w:p w:rsidR="00F65A1A" w:rsidRPr="002A2A4E" w:rsidRDefault="007C1295" w:rsidP="00C72131">
      <w:pPr>
        <w:spacing w:afterLines="60" w:after="144" w:line="320" w:lineRule="atLeast"/>
        <w:ind w:firstLine="284"/>
        <w:jc w:val="both"/>
        <w:rPr>
          <w:color w:val="000000" w:themeColor="text1"/>
          <w:lang w:val="en-US"/>
        </w:rPr>
      </w:pPr>
      <w:r w:rsidRPr="002A2A4E">
        <w:rPr>
          <w:color w:val="000000" w:themeColor="text1"/>
          <w:lang w:val="en-US"/>
        </w:rPr>
        <w:t xml:space="preserve">* </w:t>
      </w:r>
      <w:r w:rsidR="00F65A1A" w:rsidRPr="002A2A4E">
        <w:rPr>
          <w:color w:val="000000" w:themeColor="text1"/>
          <w:lang w:val="en-US"/>
        </w:rPr>
        <w:t>Sử dụng tài nguyên bền vững</w:t>
      </w:r>
    </w:p>
    <w:p w:rsidR="00F65A1A" w:rsidRPr="002A2A4E" w:rsidRDefault="00F65A1A" w:rsidP="00C72131">
      <w:pPr>
        <w:spacing w:afterLines="60" w:after="144" w:line="320" w:lineRule="atLeast"/>
        <w:ind w:firstLine="284"/>
        <w:jc w:val="both"/>
        <w:rPr>
          <w:color w:val="000000" w:themeColor="text1"/>
          <w:lang w:val="en-US"/>
        </w:rPr>
      </w:pPr>
      <w:r w:rsidRPr="002A2A4E">
        <w:rPr>
          <w:color w:val="000000" w:themeColor="text1"/>
          <w:lang w:val="en-US"/>
        </w:rPr>
        <w:t xml:space="preserve">Để duy trì tài nguyên trong tương lai thì quy mô, khối lượng tiêu thụ và sản </w:t>
      </w:r>
      <w:r w:rsidRPr="002A2A4E">
        <w:rPr>
          <w:color w:val="000000" w:themeColor="text1"/>
          <w:lang w:val="en-US"/>
        </w:rPr>
        <w:lastRenderedPageBreak/>
        <w:t>xuất hiện tại cần thay đổi sao cho chúng hoạt động trong phạm vi khả năng của trái đất. Việc sử dụng bền vững nguồn tài nguyên tái tạo có nghĩa là chúng được sử dụng với tỷ lệ nhỏ hơn hoặc bằng với tỷ lệ bổ sung của tự nhiên đối với các nguồn tài nguyên không thể tái tạo (như nhiên liệu hóa thạch, kim loại, khoáng sản), tính bền vững lâu dài đòi hỏi tỷ lệ sử dụng nhỏ hơn tỷ lệ nguồn tài nguyên có thể thay thế. Tổ chức có thể tiến tới việc sử dụng tài nguyên bền vững bằng cách sử dụng điện, nhiên liệu, nguyên liệu thô, đã qua xử lý, sử dụng đất và nước một cách có trách nhiệm hơn.</w:t>
      </w:r>
    </w:p>
    <w:p w:rsidR="00F65A1A" w:rsidRPr="002A2A4E" w:rsidRDefault="007C1295" w:rsidP="00C72131">
      <w:pPr>
        <w:spacing w:afterLines="60" w:after="144" w:line="320" w:lineRule="atLeast"/>
        <w:ind w:firstLine="284"/>
        <w:jc w:val="both"/>
        <w:rPr>
          <w:color w:val="000000" w:themeColor="text1"/>
          <w:lang w:val="en-US"/>
        </w:rPr>
      </w:pPr>
      <w:r w:rsidRPr="002A2A4E">
        <w:rPr>
          <w:color w:val="000000" w:themeColor="text1"/>
          <w:lang w:val="en-US"/>
        </w:rPr>
        <w:t xml:space="preserve">* </w:t>
      </w:r>
      <w:r w:rsidR="00F65A1A" w:rsidRPr="002A2A4E">
        <w:rPr>
          <w:color w:val="000000" w:themeColor="text1"/>
          <w:lang w:val="en-US"/>
        </w:rPr>
        <w:t>Giảm nhẹ và thích nghi với biến đổi khí hậu</w:t>
      </w:r>
    </w:p>
    <w:p w:rsidR="00F65A1A" w:rsidRPr="002A2A4E" w:rsidRDefault="00F65A1A" w:rsidP="00C72131">
      <w:pPr>
        <w:spacing w:afterLines="60" w:after="144" w:line="320" w:lineRule="atLeast"/>
        <w:ind w:firstLine="284"/>
        <w:jc w:val="both"/>
        <w:rPr>
          <w:color w:val="000000" w:themeColor="text1"/>
          <w:lang w:val="en-US"/>
        </w:rPr>
      </w:pPr>
      <w:r w:rsidRPr="002A2A4E">
        <w:rPr>
          <w:color w:val="000000" w:themeColor="text1"/>
          <w:lang w:val="en-US"/>
        </w:rPr>
        <w:t>Phát thải khí nhà kính (GHG) từ các hoạt động của con người như cácbon đioxit, mêtan, và nito oxit là một trong những nguyên nhân dẫn đến biến đổi khí hậu toàn cầu, có tác động lớn đến môi trường tự nhiên và con người. Mọi tổ chức cần có trách nhiệm về phát thải khí nhà kính và sẽ bị ảnh hưởng bởi biến đổi khí hậu theo một cách thức nhất định.</w:t>
      </w:r>
    </w:p>
    <w:p w:rsidR="00F65A1A" w:rsidRPr="002A2A4E" w:rsidRDefault="00F65A1A" w:rsidP="00C72131">
      <w:pPr>
        <w:spacing w:afterLines="60" w:after="144" w:line="320" w:lineRule="atLeast"/>
        <w:ind w:firstLine="284"/>
        <w:jc w:val="both"/>
        <w:rPr>
          <w:color w:val="000000" w:themeColor="text1"/>
          <w:lang w:val="en-US"/>
        </w:rPr>
      </w:pPr>
      <w:r w:rsidRPr="002A2A4E">
        <w:rPr>
          <w:color w:val="000000" w:themeColor="text1"/>
          <w:lang w:val="en-US"/>
        </w:rPr>
        <w:t xml:space="preserve">Để giảm nhẹ tác động của biến đổi khí hậu liên quan đến hoạt động, </w:t>
      </w:r>
      <w:r w:rsidR="00371AF4" w:rsidRPr="002A2A4E">
        <w:rPr>
          <w:color w:val="000000" w:themeColor="text1"/>
          <w:lang w:val="en-US"/>
        </w:rPr>
        <w:t xml:space="preserve">doanh nghiệp </w:t>
      </w:r>
      <w:r w:rsidRPr="002A2A4E">
        <w:rPr>
          <w:color w:val="000000" w:themeColor="text1"/>
          <w:lang w:val="en-US"/>
        </w:rPr>
        <w:t xml:space="preserve">cần: Xác định nguồn phát thải GHG trực tiếp hoặc gián tiếp và xác định phạm vi trách nhiệm của mình; đo lường, lập hồ sơ và báo cáo về phát thải GHG đáng kể của tổ chức; áp dụng các biện pháp tối ưu nhằm giảm dần phát thải GHG trực tiếp và gián tiếp trong phạm vi kiểm soát của tổ chức và khuyến khích những hành động tương tự trong phạm vi của tổ chức; thực hiện tiết kiệm năng lượng; áp dụng các biện pháp nhằm ứng phó với các tác động hiện có hoặc dự đoán và đóng góp vào việc nâng cao năng </w:t>
      </w:r>
      <w:r w:rsidRPr="002A2A4E">
        <w:rPr>
          <w:color w:val="000000" w:themeColor="text1"/>
          <w:lang w:val="en-US"/>
        </w:rPr>
        <w:lastRenderedPageBreak/>
        <w:t>lực thích ứng của các bên liên quan trong phạm vi ảnh hưởng của mình.</w:t>
      </w:r>
    </w:p>
    <w:p w:rsidR="00F65A1A" w:rsidRPr="002A2A4E" w:rsidRDefault="007C1295" w:rsidP="00C72131">
      <w:pPr>
        <w:spacing w:afterLines="60" w:after="144" w:line="320" w:lineRule="atLeast"/>
        <w:ind w:firstLine="284"/>
        <w:jc w:val="both"/>
        <w:rPr>
          <w:color w:val="000000" w:themeColor="text1"/>
          <w:lang w:val="en-US"/>
        </w:rPr>
      </w:pPr>
      <w:r w:rsidRPr="002A2A4E">
        <w:rPr>
          <w:color w:val="000000" w:themeColor="text1"/>
          <w:lang w:val="en-US"/>
        </w:rPr>
        <w:t xml:space="preserve">* </w:t>
      </w:r>
      <w:r w:rsidR="00F65A1A" w:rsidRPr="002A2A4E">
        <w:rPr>
          <w:color w:val="000000" w:themeColor="text1"/>
          <w:lang w:val="en-US"/>
        </w:rPr>
        <w:t>Bảo vệ môi trường, đa dạng sinh học và khắc phục môi trường sống tự nhiên</w:t>
      </w:r>
    </w:p>
    <w:p w:rsidR="00F65A1A" w:rsidRPr="002A2A4E" w:rsidRDefault="00F65A1A" w:rsidP="00C72131">
      <w:pPr>
        <w:spacing w:afterLines="60" w:after="144" w:line="320" w:lineRule="atLeast"/>
        <w:ind w:firstLine="284"/>
        <w:jc w:val="both"/>
        <w:rPr>
          <w:color w:val="000000" w:themeColor="text1"/>
          <w:lang w:val="en-US"/>
        </w:rPr>
      </w:pPr>
      <w:r w:rsidRPr="002A2A4E">
        <w:rPr>
          <w:color w:val="000000" w:themeColor="text1"/>
          <w:lang w:val="en-US"/>
        </w:rPr>
        <w:t>Tổ chức có thể trở nên có trách nhiệm xã hội hơn bằng cách hoạt động để bảo vệ môi trường và khôi phục môi trường sống tự nhiên cũng như nhiều chức năng và dịch vụ khác mà hệ sinh thái cung cấp (như thức ăn và nước uống, điều hòa khí hậu, hình thành đất trồng và các cơ hội tái tạo. Các khía cạnh của vấn đề này bao gồm: Xác định giá trị và bảo vệ đa dạng sinh học; xác định giá trị, bảo vệ và khôi phục các dịch vụ của hệ sinh thái, sử dụng đất và tài nguyên thiên nhiên một cách bền vững, phát triển thành thị và nông thôn với môi trường tốt.</w:t>
      </w:r>
    </w:p>
    <w:p w:rsidR="00222D7A" w:rsidRPr="002A2A4E" w:rsidRDefault="00222D7A" w:rsidP="003D729E">
      <w:pPr>
        <w:spacing w:afterLines="60" w:after="144" w:line="320" w:lineRule="atLeast"/>
        <w:ind w:firstLine="0"/>
        <w:jc w:val="both"/>
        <w:rPr>
          <w:b/>
          <w:bCs/>
          <w:color w:val="000000" w:themeColor="text1"/>
          <w:lang w:val="en-US"/>
        </w:rPr>
      </w:pPr>
      <w:r w:rsidRPr="002A2A4E">
        <w:rPr>
          <w:b/>
          <w:bCs/>
          <w:color w:val="000000" w:themeColor="text1"/>
          <w:lang w:val="en-US"/>
        </w:rPr>
        <w:t>3. Thực trạng thực hành nhiệm xã hội với môi trường tại tập đoàn công nghiệp Than - Khoáng sản Việt Nam</w:t>
      </w:r>
    </w:p>
    <w:p w:rsidR="009A11A7" w:rsidRPr="002A2A4E" w:rsidRDefault="005601B8" w:rsidP="00C72131">
      <w:pPr>
        <w:spacing w:afterLines="60" w:after="144" w:line="320" w:lineRule="atLeast"/>
        <w:ind w:firstLine="284"/>
        <w:jc w:val="both"/>
        <w:rPr>
          <w:b/>
          <w:bCs/>
          <w:i/>
          <w:iCs/>
          <w:color w:val="000000" w:themeColor="text1"/>
          <w:lang w:val="en-US"/>
        </w:rPr>
      </w:pPr>
      <w:r w:rsidRPr="002A2A4E">
        <w:rPr>
          <w:b/>
          <w:bCs/>
          <w:i/>
          <w:iCs/>
          <w:color w:val="000000" w:themeColor="text1"/>
          <w:lang w:val="en-US"/>
        </w:rPr>
        <w:t xml:space="preserve">3.1. </w:t>
      </w:r>
      <w:r w:rsidR="00480A31" w:rsidRPr="002A2A4E">
        <w:rPr>
          <w:b/>
          <w:bCs/>
          <w:i/>
          <w:iCs/>
          <w:color w:val="000000" w:themeColor="text1"/>
          <w:lang w:val="en-US"/>
        </w:rPr>
        <w:t>Phòng ngừa ô nhiễm</w:t>
      </w:r>
    </w:p>
    <w:p w:rsidR="009A11A7" w:rsidRPr="002A2A4E" w:rsidRDefault="00BE3B73" w:rsidP="00C72131">
      <w:pPr>
        <w:spacing w:afterLines="60" w:after="144" w:line="320" w:lineRule="atLeast"/>
        <w:ind w:firstLine="284"/>
        <w:jc w:val="both"/>
        <w:rPr>
          <w:color w:val="000000" w:themeColor="text1"/>
          <w:lang w:val="en-US"/>
        </w:rPr>
      </w:pPr>
      <w:r w:rsidRPr="002A2A4E">
        <w:rPr>
          <w:color w:val="000000" w:themeColor="text1"/>
          <w:lang w:val="en-US"/>
        </w:rPr>
        <w:t>Để tăng cường quản lý, kiểm soát ô nhiễm môi trường, bên cạnh việc quan trắc môi trường định kỳ theo báo cáo đánh giá tác động môi trường, hàng năm TKV còn tổ chức quan trắc môi trường tập trung tại các khu vực có nguy cơ ảnh hưởng ngoài ranh giới ở các vùng sản xuất tập trung như Quảng Ninh, Thái Nguyên, Lạng Sơn, Lào Cai, Tây Nguyên; đầu tư các trạm quan trắc môi trường tự động nước thải, khí thải theo quy định, kết nối và truyền dưc liệu trực tiếp về. Sở Tài nguyên và Môi trường các địa phương và TKV.</w:t>
      </w:r>
    </w:p>
    <w:p w:rsidR="00BE3B73" w:rsidRPr="002A2A4E" w:rsidRDefault="00BE3B73" w:rsidP="00C72131">
      <w:pPr>
        <w:spacing w:afterLines="60" w:after="144" w:line="320" w:lineRule="atLeast"/>
        <w:ind w:firstLine="284"/>
        <w:jc w:val="both"/>
        <w:rPr>
          <w:color w:val="000000" w:themeColor="text1"/>
          <w:lang w:val="en-US"/>
        </w:rPr>
      </w:pPr>
      <w:r w:rsidRPr="002A2A4E">
        <w:rPr>
          <w:color w:val="000000" w:themeColor="text1"/>
          <w:lang w:val="en-US"/>
        </w:rPr>
        <w:t xml:space="preserve">Xây dựng đê đập chắn đất đá chân các bãi thải để chống trôi lấp đất đá, đảm bảo an toàn cho dân cư và môi trường. Cải tạo, nạo vét thường xuyên hệ thống sông suối thoát nước ngăn ngừa nguy cơ đất đá </w:t>
      </w:r>
      <w:r w:rsidRPr="002A2A4E">
        <w:rPr>
          <w:color w:val="000000" w:themeColor="text1"/>
          <w:lang w:val="en-US"/>
        </w:rPr>
        <w:lastRenderedPageBreak/>
        <w:t>bồi lấp, ngập lụt các khu dân cư và vùng hạ lưu. Di dời trên 400 hộ dân khỏi các vùng có nguy cơ sạt lở, ngập lụt trên địa bàn tỉnh Quảng Ninh.</w:t>
      </w:r>
    </w:p>
    <w:p w:rsidR="003C2948" w:rsidRPr="002A2A4E" w:rsidRDefault="003C2948" w:rsidP="00C72131">
      <w:pPr>
        <w:spacing w:afterLines="60" w:after="144" w:line="320" w:lineRule="atLeast"/>
        <w:ind w:firstLine="284"/>
        <w:jc w:val="both"/>
        <w:rPr>
          <w:color w:val="000000" w:themeColor="text1"/>
          <w:lang w:val="en-US"/>
        </w:rPr>
      </w:pPr>
      <w:r w:rsidRPr="002A2A4E">
        <w:rPr>
          <w:color w:val="000000" w:themeColor="text1"/>
          <w:lang w:val="en-US"/>
        </w:rPr>
        <w:t>Đầu tư xây dựng nhà máy xử lý chất thải nguy hại công nghiệp của TKV tại Cẩm Phả - Quảng Ninh với công suất 6.900 ttấn/năm, đủ năng lực xử lý chất thải nguy hại phát sinh trong sản xuất của các đơn vị thành viên và các doanh nghiệp khác trên địa bàn tỉnh Quảng Ninh, khắc phục tình trạng chuyển giao chất thải đi xử lý ở các tỉnh/thành khác, ngăn ngừa nguy cơ xảy ra sự cố trong quá trình vận chuyển liên tỉnh, sản phẩm sau xử lý tái sử dụng cho sản xuất trên 50%. Chất thải rắn công nghiệp thông thường (đá xít sàng tuyển than, tro xỉ nhiệt điện,...) được thu gom, đổ thải đúng quy hoạch. Chất thải rắn sinh hoạt thuê các công ty vệ sinh môi trường địa phương thu gom, xử lý theo quy định.</w:t>
      </w:r>
    </w:p>
    <w:p w:rsidR="003C2948" w:rsidRPr="002A2A4E" w:rsidRDefault="003C2948" w:rsidP="00C72131">
      <w:pPr>
        <w:spacing w:afterLines="60" w:after="144" w:line="320" w:lineRule="atLeast"/>
        <w:ind w:firstLine="284"/>
        <w:jc w:val="both"/>
        <w:rPr>
          <w:color w:val="000000" w:themeColor="text1"/>
          <w:lang w:val="en-US"/>
        </w:rPr>
      </w:pPr>
      <w:r w:rsidRPr="002A2A4E">
        <w:rPr>
          <w:color w:val="000000" w:themeColor="text1"/>
          <w:lang w:val="en-US"/>
        </w:rPr>
        <w:t>Bùn đỏ nhà máy alumin được thải và lưu giữ trong các hồ chứa xây dựng với tiêu chuẩn tương đương quy định đối với chứa chất thải nguy hại, chống thấm tuyệt đối, luôn có 01 khoang hoạt động và 01 khoang dự phòng không để rò rỉ bùn đỏ ra môi trường. Các nhà máy alumin đã đầu tư bổ sung hệ thống cửa chặn, phát hiện và tự động đóng trong trường hợp xảy ra sự cố, hạn chế nguy cơ rò rỉ xút ra ngoài nhà máy. Bùn quặng đuôi các nhà máy tuyển khoáng sản được thải trong các hồ chứa thiết kế theo quy định hồ thủy lợi, đập chắn thường xuyên được quan trắc dịch động, kịp thời củng cố đảm bảo an toàn.</w:t>
      </w:r>
    </w:p>
    <w:p w:rsidR="00480A31" w:rsidRPr="002A2A4E" w:rsidRDefault="005601B8" w:rsidP="00C72131">
      <w:pPr>
        <w:spacing w:afterLines="60" w:after="144" w:line="320" w:lineRule="atLeast"/>
        <w:ind w:firstLine="284"/>
        <w:jc w:val="both"/>
        <w:rPr>
          <w:b/>
          <w:bCs/>
          <w:i/>
          <w:iCs/>
          <w:color w:val="000000" w:themeColor="text1"/>
          <w:lang w:val="en-US"/>
        </w:rPr>
      </w:pPr>
      <w:r w:rsidRPr="002A2A4E">
        <w:rPr>
          <w:b/>
          <w:bCs/>
          <w:i/>
          <w:iCs/>
          <w:color w:val="000000" w:themeColor="text1"/>
          <w:lang w:val="en-US"/>
        </w:rPr>
        <w:t xml:space="preserve">3.2. </w:t>
      </w:r>
      <w:r w:rsidR="00480A31" w:rsidRPr="002A2A4E">
        <w:rPr>
          <w:b/>
          <w:bCs/>
          <w:i/>
          <w:iCs/>
          <w:color w:val="000000" w:themeColor="text1"/>
          <w:lang w:val="en-US"/>
        </w:rPr>
        <w:t>Sử dụng tài nguyên bền vững</w:t>
      </w:r>
    </w:p>
    <w:p w:rsidR="009A11A7" w:rsidRPr="002A2A4E" w:rsidRDefault="003C2948" w:rsidP="00C72131">
      <w:pPr>
        <w:spacing w:afterLines="60" w:after="144" w:line="320" w:lineRule="atLeast"/>
        <w:ind w:firstLine="284"/>
        <w:jc w:val="both"/>
        <w:rPr>
          <w:color w:val="000000" w:themeColor="text1"/>
          <w:lang w:val="en-US"/>
        </w:rPr>
      </w:pPr>
      <w:r w:rsidRPr="002A2A4E">
        <w:rPr>
          <w:color w:val="000000" w:themeColor="text1"/>
          <w:lang w:val="en-US"/>
        </w:rPr>
        <w:t xml:space="preserve">Bên cạnh việc đầu tư trực tiếp cho công tác BVMT, TKV cũng đã sắp xếp, đầu tư cải tạo, đổi mới công nghệ bốc rót </w:t>
      </w:r>
      <w:r w:rsidRPr="002A2A4E">
        <w:rPr>
          <w:color w:val="000000" w:themeColor="text1"/>
          <w:lang w:val="en-US"/>
        </w:rPr>
        <w:lastRenderedPageBreak/>
        <w:t>tại các bến cảng góp phần giảm thiểu bụi, bẩn quá trình tiêu thụ than; đầu tư đổi mới công nghệ khai thác than, khoáng sản theo hướng cơ giới hoá, hiện đại hóa, ít ảnh hưởng đến môi trường (cột chống thuỷ lực, dàn chống thuỷ lực, máy khấu... trong khai thác hầm lò; máy xúc dung tích gầu xúc 10 m3, ô tô tải trọng 100 tấn trong khai thác lộ thiên...), nhờ đó đã giảm suất tiêu hao gỗ chống lò từ 45 - 50 m3/1000 tấn xuống 7,5 m3/1000 tấn than, giảm tỷ lệ tổn thất tài nguyên trong khai thác hầm lò từ 45 - 50 xuống 21,7% và trong khai thác lộ thiên từ 15 - 18% xuống 4,5%; đầu tư thiết bị lọc ép bùn các nhà máy tuyển than tăng tỷ lệ thu hồi, sử dụng nước tuần hoàn, giảm xả thải ra môi trường; các nhà máy nhiệt điện đầu tư theo công nghệ lò hơi tầng sôi tuần hoàn giảm phát thải khí nhà kính, sử dụng than chất lượng thấp tận thu tài nguyên, góp phần BVMT.</w:t>
      </w:r>
    </w:p>
    <w:p w:rsidR="00480A31" w:rsidRPr="002A2A4E" w:rsidRDefault="005601B8" w:rsidP="00C72131">
      <w:pPr>
        <w:spacing w:afterLines="60" w:after="144" w:line="320" w:lineRule="atLeast"/>
        <w:ind w:firstLine="284"/>
        <w:jc w:val="both"/>
        <w:rPr>
          <w:b/>
          <w:bCs/>
          <w:i/>
          <w:iCs/>
          <w:color w:val="000000" w:themeColor="text1"/>
          <w:lang w:val="en-US"/>
        </w:rPr>
      </w:pPr>
      <w:r w:rsidRPr="002A2A4E">
        <w:rPr>
          <w:b/>
          <w:bCs/>
          <w:i/>
          <w:iCs/>
          <w:color w:val="000000" w:themeColor="text1"/>
          <w:lang w:val="en-US"/>
        </w:rPr>
        <w:t xml:space="preserve">3.3. </w:t>
      </w:r>
      <w:r w:rsidR="00480A31" w:rsidRPr="002A2A4E">
        <w:rPr>
          <w:b/>
          <w:bCs/>
          <w:i/>
          <w:iCs/>
          <w:color w:val="000000" w:themeColor="text1"/>
          <w:lang w:val="en-US"/>
        </w:rPr>
        <w:t>Giảm nhẹ và thích nghi với biến đổi khí hậu</w:t>
      </w:r>
    </w:p>
    <w:p w:rsidR="009D6116" w:rsidRPr="002A2A4E" w:rsidRDefault="009D6116" w:rsidP="00C72131">
      <w:pPr>
        <w:spacing w:afterLines="60" w:after="144" w:line="320" w:lineRule="atLeast"/>
        <w:ind w:firstLine="284"/>
        <w:jc w:val="both"/>
        <w:rPr>
          <w:color w:val="000000" w:themeColor="text1"/>
          <w:lang w:val="en-US"/>
        </w:rPr>
      </w:pPr>
      <w:r w:rsidRPr="002A2A4E">
        <w:rPr>
          <w:color w:val="000000" w:themeColor="text1"/>
          <w:lang w:val="en-US"/>
        </w:rPr>
        <w:t>Khí thải các nhà máy luyện kim, nhiệt điện, xi măng của TKV có hệ thống lọc bụi, xử lý đầu tư đồng bộ cùng dây truyền công nghệ, đảm bảo quy chuẩn trước khi xả ra môi trường. Lắp đặt hệ thống quan trắc môi trường tự động khí thải, truyền dữ liệu trực tiếp về Sở Tài nguyên và Môi trường các địa phương theo quy định.</w:t>
      </w:r>
    </w:p>
    <w:p w:rsidR="001F7CF4" w:rsidRPr="002A2A4E" w:rsidRDefault="001F7CF4" w:rsidP="00C72131">
      <w:pPr>
        <w:spacing w:afterLines="60" w:after="144" w:line="320" w:lineRule="atLeast"/>
        <w:ind w:firstLine="284"/>
        <w:jc w:val="both"/>
        <w:rPr>
          <w:color w:val="000000" w:themeColor="text1"/>
          <w:lang w:val="en-US"/>
        </w:rPr>
      </w:pPr>
      <w:r w:rsidRPr="002A2A4E">
        <w:rPr>
          <w:color w:val="000000" w:themeColor="text1"/>
          <w:lang w:val="en-US"/>
        </w:rPr>
        <w:t xml:space="preserve">Đầu tư xây dựng các tuyến đường ô tô chuyên dụng nên từ năm 2008 không còn vận chuyển than trên các tuyến quốc lộ, tỉnh lộ; đầu tư bổ sung 01 tuyến đường sắt và 08 tuyến băng tải thay thế ô tô, hiện việc vận chuyển than ra cảng và đến các nhà máy điện trên địa bàn Quảng Ninh, Thái Nguyên, Lạng Sơn chủ yếu thực hiện bằng băng tải, đường sắt; tinh quặng bauxit vận chuyển từ nhà máy </w:t>
      </w:r>
      <w:r w:rsidRPr="002A2A4E">
        <w:rPr>
          <w:color w:val="000000" w:themeColor="text1"/>
          <w:lang w:val="en-US"/>
        </w:rPr>
        <w:lastRenderedPageBreak/>
        <w:t>tuyển về nhà máy alumin được thực hiện bằng băng tải; nhờ đó đã giảm thiểu bụi, bẩn ảnh hưởng của quá trình vận chuyển đến dân cư, đô thị. Công tác chống bụi thường xuyên (phủ bạt xe và kho đống, phun sương và tưới nước dập bụi, làm tường chắn và trồng cây xanh ngăn bụi...) được quan tâm thực hiện.</w:t>
      </w:r>
    </w:p>
    <w:p w:rsidR="001F7CF4" w:rsidRPr="002A2A4E" w:rsidRDefault="001F7CF4" w:rsidP="00C72131">
      <w:pPr>
        <w:spacing w:afterLines="60" w:after="144" w:line="320" w:lineRule="atLeast"/>
        <w:ind w:firstLine="284"/>
        <w:jc w:val="both"/>
        <w:rPr>
          <w:color w:val="000000" w:themeColor="text1"/>
          <w:lang w:val="en-US"/>
        </w:rPr>
      </w:pPr>
      <w:r w:rsidRPr="002A2A4E">
        <w:rPr>
          <w:color w:val="000000" w:themeColor="text1"/>
          <w:lang w:val="en-US"/>
        </w:rPr>
        <w:t>Đầu tư xây dựng các tuyến đường ô tô chuyên dụng nên từ năm 2008 không còn vận chuyển than trên các tuyến quốc lộ, tỉnh lộ; đầu tư bổ sung 01 tuyến đường sắt và 08 tuyến băng tải thay thế ô tô, hiện việc vận chuyển than ra cảng và đến các nhà máy điện trên địa bàn Quảng Ninh, Thái Nguyên, Lạng Sơn chủ yếu thực hiện bằng băng tải, đường sắt; tinh quặng bauxit vận chuyển từ nhà máy tuyển về nhà máy alumin được thực hiện bằng băng tải; nhờ đó đã giảm thiểu bụi, bẩn ảnh hưởng của quá trình vận chuyển đến dân cư, đô thị. Công tác chống bụi thường xuyên (phủ bạt xe và kho đống, phun sương và tưới nước dập bụi, làm tường chắn và trồng cây xanh ngăn bụi...) được quan tâm thực hiện.</w:t>
      </w:r>
    </w:p>
    <w:p w:rsidR="00480A31" w:rsidRPr="002A2A4E" w:rsidRDefault="005601B8" w:rsidP="00C72131">
      <w:pPr>
        <w:spacing w:afterLines="60" w:after="144" w:line="320" w:lineRule="atLeast"/>
        <w:ind w:firstLine="284"/>
        <w:jc w:val="both"/>
        <w:rPr>
          <w:b/>
          <w:bCs/>
          <w:i/>
          <w:iCs/>
          <w:color w:val="000000" w:themeColor="text1"/>
          <w:lang w:val="en-US"/>
        </w:rPr>
      </w:pPr>
      <w:r w:rsidRPr="002A2A4E">
        <w:rPr>
          <w:b/>
          <w:bCs/>
          <w:i/>
          <w:iCs/>
          <w:color w:val="000000" w:themeColor="text1"/>
          <w:lang w:val="en-US"/>
        </w:rPr>
        <w:t xml:space="preserve">3.4. </w:t>
      </w:r>
      <w:r w:rsidR="00480A31" w:rsidRPr="002A2A4E">
        <w:rPr>
          <w:b/>
          <w:bCs/>
          <w:i/>
          <w:iCs/>
          <w:color w:val="000000" w:themeColor="text1"/>
          <w:lang w:val="en-US"/>
        </w:rPr>
        <w:t>Bảo vệ môi trường, đa dạng sinh học và khắc phục môi trường sống tự nhiên</w:t>
      </w:r>
    </w:p>
    <w:p w:rsidR="003C2948" w:rsidRPr="002A2A4E" w:rsidRDefault="003C2948" w:rsidP="00C72131">
      <w:pPr>
        <w:spacing w:afterLines="60" w:after="144" w:line="320" w:lineRule="atLeast"/>
        <w:ind w:firstLine="284"/>
        <w:jc w:val="both"/>
        <w:rPr>
          <w:color w:val="000000" w:themeColor="text1"/>
          <w:lang w:val="en-US"/>
        </w:rPr>
      </w:pPr>
      <w:r w:rsidRPr="002A2A4E">
        <w:rPr>
          <w:color w:val="000000" w:themeColor="text1"/>
          <w:lang w:val="en-US"/>
        </w:rPr>
        <w:t xml:space="preserve">Xây dựng và đưa vào vận hành 50 trạm xử lý nước thải mỏ với tổng công suất trên 150 triệu m3/năm, cơ bản đủ năng lực xử lý lượng nước thải phát sinh trong sản xuất đảm bảo quy chuẩn môi trường. Các nhà máy tuyển than có hệ thống ép bùn, lắng lọc sử dụng tuần hoàn nước, cơ bản không thải ra môi trường. Các nhà máy nhiệt điện, luyện kim có hệ thống xử lý nước thải đầu tư đồng bộ, kiểm soát tự động cùng dây truyền sản xuất. Lắp đặt hệ thống quan trắc môi trường tự động nước thải, truyền dữ liệu trực tiếp về Sở </w:t>
      </w:r>
      <w:r w:rsidRPr="002A2A4E">
        <w:rPr>
          <w:color w:val="000000" w:themeColor="text1"/>
          <w:lang w:val="en-US"/>
        </w:rPr>
        <w:lastRenderedPageBreak/>
        <w:t>Tài nguyên và Môi trường các địa phương theo quy định</w:t>
      </w:r>
      <w:r w:rsidR="003620D1" w:rsidRPr="002A2A4E">
        <w:rPr>
          <w:color w:val="000000" w:themeColor="text1"/>
          <w:lang w:val="en-US"/>
        </w:rPr>
        <w:t>.</w:t>
      </w:r>
    </w:p>
    <w:p w:rsidR="003620D1" w:rsidRPr="002A2A4E" w:rsidRDefault="003620D1" w:rsidP="00C72131">
      <w:pPr>
        <w:spacing w:afterLines="60" w:after="144" w:line="320" w:lineRule="atLeast"/>
        <w:ind w:firstLine="284"/>
        <w:jc w:val="both"/>
        <w:rPr>
          <w:color w:val="000000" w:themeColor="text1"/>
          <w:lang w:val="en-US"/>
        </w:rPr>
      </w:pPr>
      <w:r w:rsidRPr="002A2A4E">
        <w:rPr>
          <w:color w:val="000000" w:themeColor="text1"/>
          <w:lang w:val="en-US"/>
        </w:rPr>
        <w:t>Cải tạo phục hồi môi trường, trồng cây phủ xanh trên 1.000 ha bãi thải, khai trường các mỏ than, khoáng sản đã kết thúc; một số khu vực gần dân cư, đô thị thực hiện trồng cây phủ xanh nhanh với mật độ cao, rút ngắn thời gian phủ xanh xuống còn 2 - 3 năm. Việc cải tạo phục hồi môi trường các mỏ Bauxit được thực hiện cuốn chiếu đồng thời với quá trình khai thác. Các bãi thải đang hoạt động cơ bản thực hiện đổ thải tầng thấp với chiều cao tầng ≤15m để giảm nguy cơ sạt lở, giảm phát sinh bụi, hạn chế xói mòn đất đá.</w:t>
      </w:r>
    </w:p>
    <w:p w:rsidR="00CF3427" w:rsidRPr="002A2A4E" w:rsidRDefault="00222D7A" w:rsidP="007C39F1">
      <w:pPr>
        <w:spacing w:afterLines="60" w:after="144" w:line="320" w:lineRule="atLeast"/>
        <w:ind w:firstLine="0"/>
        <w:jc w:val="both"/>
        <w:rPr>
          <w:b/>
          <w:bCs/>
          <w:color w:val="000000" w:themeColor="text1"/>
          <w:lang w:val="en-US"/>
        </w:rPr>
      </w:pPr>
      <w:r w:rsidRPr="002A2A4E">
        <w:rPr>
          <w:b/>
          <w:bCs/>
          <w:color w:val="000000" w:themeColor="text1"/>
          <w:lang w:val="en-US"/>
        </w:rPr>
        <w:t xml:space="preserve">4. </w:t>
      </w:r>
      <w:r w:rsidR="005601B8" w:rsidRPr="002A2A4E">
        <w:rPr>
          <w:b/>
          <w:bCs/>
          <w:color w:val="000000" w:themeColor="text1"/>
          <w:lang w:val="en-US"/>
        </w:rPr>
        <w:t xml:space="preserve">Một số đề xuất nhằm nâng cao </w:t>
      </w:r>
      <w:r w:rsidR="00726985" w:rsidRPr="002A2A4E">
        <w:rPr>
          <w:b/>
          <w:bCs/>
          <w:color w:val="000000" w:themeColor="text1"/>
          <w:lang w:val="en-US"/>
        </w:rPr>
        <w:t xml:space="preserve">thực </w:t>
      </w:r>
      <w:r w:rsidR="00ED0CBC">
        <w:rPr>
          <w:b/>
          <w:bCs/>
          <w:color w:val="000000" w:themeColor="text1"/>
          <w:lang w:val="en-US"/>
        </w:rPr>
        <w:t xml:space="preserve">hiện </w:t>
      </w:r>
      <w:r w:rsidR="005601B8" w:rsidRPr="002A2A4E">
        <w:rPr>
          <w:b/>
          <w:bCs/>
          <w:color w:val="000000" w:themeColor="text1"/>
          <w:lang w:val="en-US"/>
        </w:rPr>
        <w:t>trách nhiệm xã hội</w:t>
      </w:r>
      <w:r w:rsidR="00726985" w:rsidRPr="002A2A4E">
        <w:rPr>
          <w:b/>
          <w:bCs/>
          <w:color w:val="000000" w:themeColor="text1"/>
          <w:lang w:val="en-US"/>
        </w:rPr>
        <w:t xml:space="preserve"> với môi trường</w:t>
      </w:r>
      <w:r w:rsidR="006434B9" w:rsidRPr="002A2A4E">
        <w:rPr>
          <w:b/>
          <w:bCs/>
          <w:color w:val="000000" w:themeColor="text1"/>
          <w:lang w:val="en-US"/>
        </w:rPr>
        <w:t xml:space="preserve"> tại TKV</w:t>
      </w:r>
    </w:p>
    <w:p w:rsidR="001531A4" w:rsidRPr="002A2A4E" w:rsidRDefault="001531A4" w:rsidP="00C72131">
      <w:pPr>
        <w:spacing w:afterLines="60" w:after="144" w:line="320" w:lineRule="atLeast"/>
        <w:ind w:firstLine="284"/>
        <w:jc w:val="both"/>
        <w:rPr>
          <w:color w:val="000000" w:themeColor="text1"/>
          <w:lang w:val="en-US"/>
        </w:rPr>
      </w:pPr>
      <w:r w:rsidRPr="002A2A4E">
        <w:rPr>
          <w:color w:val="000000" w:themeColor="text1"/>
          <w:lang w:val="en-US"/>
        </w:rPr>
        <w:t>Tiếp tục triển khai đồng bộ các giải pháp BVMT: Trồng cây cải tạo phục hồi môi trường; tiếp tục đầu tư các tuyến băng tải, tăng cường các giải pháp chống bụi ồn; vệ sinh công nghiệp, cải thiện cảnh quan môi trường; ngăn ngừa, hạn chế đất đá trôi lấp; thu gom, xử lý triệt để các loại chất thải; phòng ngừa sự cố môi trường, nhất là đối với các bãi thải, đập hồ chứa, nhà máy sử dụng hóa chất... Nghiên cứu kết hợp cải tạo phục hồi môi trường với phát triển các ngành kinh tế khác thân thiện với môi trường trên các vùng đất sau khai thác mỏ (du lịch sinh thái, điện mặt trời, cây công nghiệp, lâm nghiệp...); xử lý, tái chế các loại chất thải phát sinh trong sản xuất thành các sản phẩm để tái sử dụng cho sản xuất của ngành và cung cấp cho nền kinh tế.</w:t>
      </w:r>
    </w:p>
    <w:p w:rsidR="001531A4" w:rsidRPr="002A2A4E" w:rsidRDefault="001531A4" w:rsidP="00C72131">
      <w:pPr>
        <w:spacing w:afterLines="60" w:after="144" w:line="320" w:lineRule="atLeast"/>
        <w:ind w:firstLine="284"/>
        <w:jc w:val="both"/>
        <w:rPr>
          <w:color w:val="000000" w:themeColor="text1"/>
          <w:lang w:val="en-US"/>
        </w:rPr>
      </w:pPr>
      <w:r w:rsidRPr="002A2A4E">
        <w:rPr>
          <w:color w:val="000000" w:themeColor="text1"/>
          <w:lang w:val="en-US"/>
        </w:rPr>
        <w:t xml:space="preserve">Tiếp tục nghiên cứu đổi mới công nghệ sản xuất theo hướng hiện đại hóa, sử dụng ít năng lượng và nguyên vật liệu, ít phát thải ra môi trường; các dự án mới </w:t>
      </w:r>
      <w:r w:rsidRPr="002A2A4E">
        <w:rPr>
          <w:color w:val="000000" w:themeColor="text1"/>
          <w:lang w:val="en-US"/>
        </w:rPr>
        <w:lastRenderedPageBreak/>
        <w:t>cần lựa chọn công nghệ kỹ thuật hiện đại, đầu tư đồng bộ các hạng mục BVMT trước khi đưa công trình vào hoạt động sản xuất. Tăng cường hợp tác quốc tế, nghiên cứu áp dụng công nghệ BVMT mới để nâng cao hiệu quả, giảm chi phí cho công tác BVMT.</w:t>
      </w:r>
    </w:p>
    <w:p w:rsidR="001531A4" w:rsidRPr="002A2A4E" w:rsidRDefault="001531A4" w:rsidP="00C72131">
      <w:pPr>
        <w:spacing w:afterLines="60" w:after="144" w:line="320" w:lineRule="atLeast"/>
        <w:ind w:firstLine="284"/>
        <w:jc w:val="both"/>
        <w:rPr>
          <w:color w:val="000000" w:themeColor="text1"/>
          <w:lang w:val="en-US"/>
        </w:rPr>
      </w:pPr>
      <w:r w:rsidRPr="002A2A4E">
        <w:rPr>
          <w:color w:val="000000" w:themeColor="text1"/>
          <w:lang w:val="en-US"/>
        </w:rPr>
        <w:t>Ưu tiên dành nguồn lực tài chính, chi tối thiểu 1,5 - 2,0% chi phí sản xuất cho công tác BVMT. Duy trì và phát triển đơn vị làm công tác BVMT chuyên nghiệp trong ngành. Tổ chức hệ thống quản lý công tác BVMT chuyên trách, thống nhất từ Tập đoàn đến các đơn vị thành viên. Tăng cường đào tạo nâng cao trình độ chuyên môn, nghiệp vụ cho đội ngũ cán bộ làm công tác BVMT; đẩy mạnh tuyên truyền, tập huấn nâng cao nhận thức chung về BVMT.</w:t>
      </w:r>
    </w:p>
    <w:p w:rsidR="006434B9" w:rsidRPr="002A2A4E" w:rsidRDefault="001531A4" w:rsidP="00C72131">
      <w:pPr>
        <w:spacing w:afterLines="60" w:after="144" w:line="320" w:lineRule="atLeast"/>
        <w:ind w:firstLine="284"/>
        <w:jc w:val="both"/>
        <w:rPr>
          <w:color w:val="000000" w:themeColor="text1"/>
          <w:lang w:val="en-US"/>
        </w:rPr>
      </w:pPr>
      <w:r w:rsidRPr="002A2A4E">
        <w:rPr>
          <w:color w:val="000000" w:themeColor="text1"/>
          <w:lang w:val="en-US"/>
        </w:rPr>
        <w:t>Tham gia hoàn thiện các quy định của pháp luật BVMT theo hướng giảm nhẹ thủ tục hành chính, tăng cường giám sát tuân thủ trong thực tế. Xây dựng cơ chế, chính sách, nhất là cơ chế về tài chính (trích lập quỹ môi trường từ chi phí sản xuất, chi tối thiểu cho công tác BVMT...) tạo điều kiện thuận lợi, chủ động cho công tác BVMT, khuyến khích các doanh nghiệp đầu tư xử lý, tái chế chất thải./.</w:t>
      </w:r>
    </w:p>
    <w:p w:rsidR="00726985" w:rsidRPr="002A2A4E" w:rsidRDefault="00CF3427" w:rsidP="00C72131">
      <w:pPr>
        <w:spacing w:afterLines="60" w:after="144" w:line="320" w:lineRule="atLeast"/>
        <w:ind w:firstLine="0"/>
        <w:jc w:val="center"/>
        <w:rPr>
          <w:b/>
          <w:bCs/>
          <w:color w:val="000000" w:themeColor="text1"/>
          <w:lang w:val="en-US"/>
        </w:rPr>
      </w:pPr>
      <w:r w:rsidRPr="002A2A4E">
        <w:rPr>
          <w:b/>
          <w:bCs/>
          <w:color w:val="000000" w:themeColor="text1"/>
          <w:lang w:val="en-US"/>
        </w:rPr>
        <w:t>TÀI LIỆU THAM KHẢO</w:t>
      </w:r>
    </w:p>
    <w:p w:rsidR="00C07B85" w:rsidRPr="002A2A4E" w:rsidRDefault="00C07B85" w:rsidP="00C72131">
      <w:pPr>
        <w:spacing w:afterLines="60" w:after="144" w:line="320" w:lineRule="atLeast"/>
        <w:ind w:firstLine="0"/>
        <w:jc w:val="both"/>
        <w:rPr>
          <w:color w:val="000000" w:themeColor="text1"/>
          <w:lang w:val="en-US"/>
        </w:rPr>
      </w:pPr>
      <w:r w:rsidRPr="002A2A4E">
        <w:rPr>
          <w:color w:val="000000" w:themeColor="text1"/>
          <w:lang w:val="en-US"/>
        </w:rPr>
        <w:t xml:space="preserve">Bộ Khoa học và Công nghệ (2013). </w:t>
      </w:r>
      <w:r w:rsidRPr="002A2A4E">
        <w:rPr>
          <w:i/>
          <w:iCs/>
          <w:color w:val="000000" w:themeColor="text1"/>
          <w:lang w:val="en-US"/>
        </w:rPr>
        <w:t>Bộ tiêu chuẩn quốc gia TCVN ISO 6000:2013</w:t>
      </w:r>
      <w:r w:rsidRPr="002A2A4E">
        <w:rPr>
          <w:color w:val="000000" w:themeColor="text1"/>
          <w:lang w:val="en-US"/>
        </w:rPr>
        <w:t>. Hướng dẫn về trách nhiệm xã hội.</w:t>
      </w:r>
    </w:p>
    <w:p w:rsidR="00C07B85" w:rsidRPr="002A2A4E" w:rsidRDefault="00C07B85" w:rsidP="00C72131">
      <w:pPr>
        <w:spacing w:afterLines="60" w:after="144" w:line="320" w:lineRule="atLeast"/>
        <w:ind w:firstLine="0"/>
        <w:jc w:val="both"/>
        <w:rPr>
          <w:color w:val="000000" w:themeColor="text1"/>
          <w:lang w:val="en-US"/>
        </w:rPr>
      </w:pPr>
      <w:r w:rsidRPr="002A2A4E">
        <w:rPr>
          <w:color w:val="000000" w:themeColor="text1"/>
          <w:lang w:val="en-US"/>
        </w:rPr>
        <w:t xml:space="preserve">Ban môi trường Tập đoàn công nghiệp Than-Khoáng sản Việt Nam (2019). </w:t>
      </w:r>
      <w:r w:rsidRPr="002A2A4E">
        <w:rPr>
          <w:i/>
          <w:iCs/>
          <w:color w:val="000000" w:themeColor="text1"/>
          <w:lang w:val="en-US"/>
        </w:rPr>
        <w:t>Báo cáo tổng kết công tác môi trường Tập đoàn công nghiệp Than - Khoáng sản Việt Nam</w:t>
      </w:r>
    </w:p>
    <w:p w:rsidR="00FA3264" w:rsidRPr="002A2A4E" w:rsidRDefault="00FA3264" w:rsidP="00C72131">
      <w:pPr>
        <w:spacing w:afterLines="60" w:after="144" w:line="320" w:lineRule="atLeast"/>
        <w:ind w:firstLine="0"/>
        <w:jc w:val="both"/>
        <w:rPr>
          <w:color w:val="000000" w:themeColor="text1"/>
          <w:lang w:val="en-US"/>
        </w:rPr>
      </w:pPr>
      <w:r w:rsidRPr="002A2A4E">
        <w:rPr>
          <w:color w:val="000000" w:themeColor="text1"/>
          <w:lang w:val="en-US"/>
        </w:rPr>
        <w:lastRenderedPageBreak/>
        <w:t xml:space="preserve">Bowen, H. R. (1953).  Social responsibilities  of the businessman. </w:t>
      </w:r>
      <w:r w:rsidRPr="002A2A4E">
        <w:rPr>
          <w:i/>
          <w:iCs/>
          <w:color w:val="000000" w:themeColor="text1"/>
          <w:lang w:val="en-US"/>
        </w:rPr>
        <w:t>New York: Harper &amp; Row</w:t>
      </w:r>
      <w:r w:rsidRPr="002A2A4E">
        <w:rPr>
          <w:color w:val="000000" w:themeColor="text1"/>
          <w:lang w:val="en-US"/>
        </w:rPr>
        <w:t>.</w:t>
      </w:r>
    </w:p>
    <w:p w:rsidR="00FA3264" w:rsidRPr="002A2A4E" w:rsidRDefault="00FA3264" w:rsidP="00C72131">
      <w:pPr>
        <w:spacing w:afterLines="60" w:after="144" w:line="320" w:lineRule="atLeast"/>
        <w:ind w:firstLine="0"/>
        <w:jc w:val="both"/>
        <w:rPr>
          <w:color w:val="000000" w:themeColor="text1"/>
          <w:lang w:val="en-US"/>
        </w:rPr>
      </w:pPr>
      <w:r w:rsidRPr="002A2A4E">
        <w:rPr>
          <w:color w:val="000000" w:themeColor="text1"/>
          <w:lang w:val="en-US"/>
        </w:rPr>
        <w:t>Nguyễn Đình Cung &amp; Lưu Minh Đức (2008</w:t>
      </w:r>
      <w:r w:rsidRPr="002A2A4E">
        <w:rPr>
          <w:i/>
          <w:iCs/>
          <w:color w:val="000000" w:themeColor="text1"/>
          <w:lang w:val="en-US"/>
        </w:rPr>
        <w:t>). CSR: một số vấn đề lý luận và yêu cầu đổi mới trong quản lý nhà nước đối với CSR Việt Nam</w:t>
      </w:r>
      <w:r w:rsidRPr="002A2A4E">
        <w:rPr>
          <w:color w:val="000000" w:themeColor="text1"/>
          <w:lang w:val="en-US"/>
        </w:rPr>
        <w:t>. Tạp chí Quản lý kinh tế.</w:t>
      </w:r>
    </w:p>
    <w:p w:rsidR="00FA3264" w:rsidRPr="002A2A4E" w:rsidRDefault="00FA3264" w:rsidP="00C72131">
      <w:pPr>
        <w:spacing w:afterLines="60" w:after="144" w:line="320" w:lineRule="atLeast"/>
        <w:ind w:firstLine="0"/>
        <w:jc w:val="both"/>
        <w:rPr>
          <w:color w:val="000000" w:themeColor="text1"/>
          <w:lang w:val="en-US"/>
        </w:rPr>
      </w:pPr>
      <w:r w:rsidRPr="002A2A4E">
        <w:rPr>
          <w:color w:val="000000" w:themeColor="text1"/>
          <w:lang w:val="en-US"/>
        </w:rPr>
        <w:t xml:space="preserve">Carroll, A.(1999). Corporate Social Responsibility - evolution of a definitional construct. </w:t>
      </w:r>
      <w:r w:rsidRPr="002A2A4E">
        <w:rPr>
          <w:i/>
          <w:iCs/>
          <w:color w:val="000000" w:themeColor="text1"/>
          <w:lang w:val="en-US"/>
        </w:rPr>
        <w:t>Business &amp;</w:t>
      </w:r>
      <w:r w:rsidR="002A2A4E" w:rsidRPr="002A2A4E">
        <w:rPr>
          <w:i/>
          <w:iCs/>
          <w:color w:val="000000" w:themeColor="text1"/>
          <w:lang w:val="en-US"/>
        </w:rPr>
        <w:t xml:space="preserve"> </w:t>
      </w:r>
      <w:r w:rsidRPr="002A2A4E">
        <w:rPr>
          <w:i/>
          <w:iCs/>
          <w:color w:val="000000" w:themeColor="text1"/>
          <w:lang w:val="en-US"/>
        </w:rPr>
        <w:t>Society</w:t>
      </w:r>
      <w:r w:rsidRPr="002A2A4E">
        <w:rPr>
          <w:color w:val="000000" w:themeColor="text1"/>
          <w:lang w:val="en-US"/>
        </w:rPr>
        <w:t xml:space="preserve">, Vol. 38, p. 268 </w:t>
      </w:r>
      <w:r w:rsidR="00B32052" w:rsidRPr="002A2A4E">
        <w:rPr>
          <w:color w:val="000000" w:themeColor="text1"/>
          <w:lang w:val="en-US"/>
        </w:rPr>
        <w:t xml:space="preserve">- </w:t>
      </w:r>
      <w:r w:rsidRPr="002A2A4E">
        <w:rPr>
          <w:color w:val="000000" w:themeColor="text1"/>
          <w:lang w:val="en-US"/>
        </w:rPr>
        <w:t>295.</w:t>
      </w:r>
    </w:p>
    <w:p w:rsidR="00FA3264" w:rsidRPr="002A2A4E" w:rsidRDefault="00FA3264" w:rsidP="00C72131">
      <w:pPr>
        <w:spacing w:afterLines="60" w:after="144" w:line="320" w:lineRule="atLeast"/>
        <w:ind w:firstLine="0"/>
        <w:jc w:val="both"/>
        <w:rPr>
          <w:color w:val="000000" w:themeColor="text1"/>
          <w:lang w:val="en-US"/>
        </w:rPr>
      </w:pPr>
      <w:r w:rsidRPr="002A2A4E">
        <w:rPr>
          <w:color w:val="000000" w:themeColor="text1"/>
          <w:lang w:val="en-US"/>
        </w:rPr>
        <w:t xml:space="preserve">Davis, K.(1973).The Case For and Against Business  Assumption  of  Social Responsibilities. </w:t>
      </w:r>
      <w:r w:rsidRPr="002A2A4E">
        <w:rPr>
          <w:i/>
          <w:iCs/>
          <w:color w:val="000000" w:themeColor="text1"/>
          <w:lang w:val="en-US"/>
        </w:rPr>
        <w:t>Academy of Management Journal</w:t>
      </w:r>
      <w:r w:rsidRPr="002A2A4E">
        <w:rPr>
          <w:color w:val="000000" w:themeColor="text1"/>
          <w:lang w:val="en-US"/>
        </w:rPr>
        <w:t>, 1, 312 - 322.</w:t>
      </w:r>
    </w:p>
    <w:p w:rsidR="00FA3264" w:rsidRPr="002A2A4E" w:rsidRDefault="00FA3264" w:rsidP="00C72131">
      <w:pPr>
        <w:spacing w:afterLines="60" w:after="144" w:line="320" w:lineRule="atLeast"/>
        <w:ind w:firstLine="0"/>
        <w:rPr>
          <w:color w:val="000000" w:themeColor="text1"/>
          <w:lang w:val="en-US"/>
        </w:rPr>
      </w:pPr>
      <w:r w:rsidRPr="002A2A4E">
        <w:rPr>
          <w:color w:val="000000" w:themeColor="text1"/>
          <w:lang w:val="en-US"/>
        </w:rPr>
        <w:t>Dahlsrud, A.(2008). How corporate social responsibility is defined: an analysis of 37 definitions.</w:t>
      </w:r>
      <w:r w:rsidR="00C72131">
        <w:rPr>
          <w:color w:val="000000" w:themeColor="text1"/>
          <w:lang w:val="en-US"/>
        </w:rPr>
        <w:t xml:space="preserve"> </w:t>
      </w:r>
      <w:r w:rsidRPr="002A2A4E">
        <w:rPr>
          <w:i/>
          <w:iCs/>
          <w:color w:val="000000" w:themeColor="text1"/>
          <w:lang w:val="en-US"/>
        </w:rPr>
        <w:t>Corporate social responsibility and environmental management</w:t>
      </w:r>
      <w:r w:rsidRPr="002A2A4E">
        <w:rPr>
          <w:color w:val="000000" w:themeColor="text1"/>
          <w:lang w:val="en-US"/>
        </w:rPr>
        <w:t>, 15/1, 1 - 13</w:t>
      </w:r>
    </w:p>
    <w:p w:rsidR="00FA3264" w:rsidRPr="002A2A4E" w:rsidRDefault="00FA3264" w:rsidP="00C72131">
      <w:pPr>
        <w:spacing w:afterLines="60" w:after="144" w:line="320" w:lineRule="atLeast"/>
        <w:ind w:firstLine="0"/>
        <w:jc w:val="both"/>
        <w:rPr>
          <w:color w:val="000000" w:themeColor="text1"/>
          <w:lang w:val="en-US"/>
        </w:rPr>
      </w:pPr>
      <w:r w:rsidRPr="002A2A4E">
        <w:rPr>
          <w:color w:val="000000" w:themeColor="text1"/>
          <w:lang w:val="en-US"/>
        </w:rPr>
        <w:t xml:space="preserve">Garriga, E., &amp; Melé, D. (2004). Corporate social responsibility theories: Mapping the territory. </w:t>
      </w:r>
      <w:r w:rsidRPr="002A2A4E">
        <w:rPr>
          <w:i/>
          <w:iCs/>
          <w:color w:val="000000" w:themeColor="text1"/>
          <w:lang w:val="en-US"/>
        </w:rPr>
        <w:t>Journal of Business Ethics</w:t>
      </w:r>
      <w:r w:rsidRPr="002A2A4E">
        <w:rPr>
          <w:color w:val="000000" w:themeColor="text1"/>
          <w:lang w:val="en-US"/>
        </w:rPr>
        <w:t>, 53 (1 - 2), 51 - 71</w:t>
      </w:r>
    </w:p>
    <w:p w:rsidR="00FA3264" w:rsidRPr="002A2A4E" w:rsidRDefault="00FA3264" w:rsidP="00C72131">
      <w:pPr>
        <w:spacing w:afterLines="60" w:after="144" w:line="320" w:lineRule="atLeast"/>
        <w:ind w:firstLine="0"/>
        <w:jc w:val="both"/>
        <w:rPr>
          <w:color w:val="000000" w:themeColor="text1"/>
          <w:lang w:val="en-US"/>
        </w:rPr>
      </w:pPr>
      <w:r w:rsidRPr="002A2A4E">
        <w:rPr>
          <w:color w:val="000000" w:themeColor="text1"/>
          <w:lang w:val="en-US"/>
        </w:rPr>
        <w:t xml:space="preserve">Skudiene, V., &amp; Auruskeviciene, V. (2012). The contribution of corporate social responsibility to internal employee motivation. </w:t>
      </w:r>
      <w:r w:rsidRPr="002A2A4E">
        <w:rPr>
          <w:i/>
          <w:iCs/>
          <w:color w:val="000000" w:themeColor="text1"/>
          <w:lang w:val="en-US"/>
        </w:rPr>
        <w:t>Baltic Journal of Management</w:t>
      </w:r>
      <w:r w:rsidRPr="002A2A4E">
        <w:rPr>
          <w:color w:val="000000" w:themeColor="text1"/>
          <w:lang w:val="en-US"/>
        </w:rPr>
        <w:t>, 7(1), 49-67.</w:t>
      </w:r>
    </w:p>
    <w:p w:rsidR="00FA3264" w:rsidRPr="002A2A4E" w:rsidRDefault="00FA3264" w:rsidP="00C72131">
      <w:pPr>
        <w:spacing w:afterLines="60" w:after="144" w:line="320" w:lineRule="atLeast"/>
        <w:ind w:firstLine="0"/>
        <w:jc w:val="both"/>
        <w:rPr>
          <w:color w:val="000000" w:themeColor="text1"/>
          <w:lang w:val="en-US"/>
        </w:rPr>
      </w:pPr>
      <w:r w:rsidRPr="002A2A4E">
        <w:rPr>
          <w:color w:val="000000" w:themeColor="text1"/>
          <w:lang w:val="en-US"/>
        </w:rPr>
        <w:t xml:space="preserve">Henri, S., &amp; Ane, T. (2013). The Impact of Corporate   Social   Responsibility   on   Firm Value: The Role of Customer Awareness. </w:t>
      </w:r>
      <w:r w:rsidRPr="002A2A4E">
        <w:rPr>
          <w:i/>
          <w:iCs/>
          <w:color w:val="000000" w:themeColor="text1"/>
          <w:lang w:val="en-US"/>
        </w:rPr>
        <w:t>Management Science</w:t>
      </w:r>
      <w:r w:rsidRPr="002A2A4E">
        <w:rPr>
          <w:color w:val="000000" w:themeColor="text1"/>
          <w:lang w:val="en-US"/>
        </w:rPr>
        <w:t>, 59(5), pp. 1045 -1061.</w:t>
      </w:r>
    </w:p>
    <w:p w:rsidR="00222D7A" w:rsidRPr="002A2A4E" w:rsidRDefault="005B29FC" w:rsidP="00C72131">
      <w:pPr>
        <w:spacing w:afterLines="60" w:after="144" w:line="320" w:lineRule="atLeast"/>
        <w:ind w:firstLine="0"/>
        <w:jc w:val="both"/>
        <w:rPr>
          <w:color w:val="000000" w:themeColor="text1"/>
          <w:lang w:val="en-US"/>
        </w:rPr>
      </w:pPr>
      <w:r w:rsidRPr="002A2A4E">
        <w:rPr>
          <w:color w:val="000000" w:themeColor="text1"/>
          <w:lang w:val="en-US"/>
        </w:rPr>
        <w:t xml:space="preserve">Nguyễn Ngọc Thắng (2010). </w:t>
      </w:r>
      <w:r w:rsidRPr="002A2A4E">
        <w:rPr>
          <w:i/>
          <w:iCs/>
          <w:color w:val="000000" w:themeColor="text1"/>
          <w:lang w:val="en-US"/>
        </w:rPr>
        <w:t>Gắn quản trị nhân sự với CSR</w:t>
      </w:r>
      <w:r w:rsidRPr="002A2A4E">
        <w:rPr>
          <w:color w:val="000000" w:themeColor="text1"/>
          <w:lang w:val="en-US"/>
        </w:rPr>
        <w:t>. Tạp chí Khoa học Đại học Quốc gia Hà Nội. Kinh tế và Kinh doanh, 26 (2010) 232 - 238.</w:t>
      </w:r>
    </w:p>
    <w:p w:rsidR="005B29FC" w:rsidRPr="002A2A4E" w:rsidRDefault="005B29FC" w:rsidP="00C72131">
      <w:pPr>
        <w:spacing w:afterLines="60" w:after="144" w:line="320" w:lineRule="atLeast"/>
        <w:ind w:firstLine="0"/>
        <w:jc w:val="both"/>
        <w:rPr>
          <w:color w:val="000000" w:themeColor="text1"/>
          <w:lang w:val="en-US"/>
        </w:rPr>
      </w:pPr>
      <w:r w:rsidRPr="002A2A4E">
        <w:rPr>
          <w:color w:val="000000" w:themeColor="text1"/>
          <w:lang w:val="en-US"/>
        </w:rPr>
        <w:lastRenderedPageBreak/>
        <w:t xml:space="preserve">Wood, D. J. (2010). Measuring corporate social performance: A review. </w:t>
      </w:r>
      <w:r w:rsidRPr="002A2A4E">
        <w:rPr>
          <w:i/>
          <w:iCs/>
          <w:color w:val="000000" w:themeColor="text1"/>
          <w:lang w:val="en-US"/>
        </w:rPr>
        <w:t>International</w:t>
      </w:r>
      <w:r w:rsidR="002A2A4E" w:rsidRPr="002A2A4E">
        <w:rPr>
          <w:i/>
          <w:iCs/>
          <w:color w:val="000000" w:themeColor="text1"/>
          <w:lang w:val="en-US"/>
        </w:rPr>
        <w:t xml:space="preserve"> </w:t>
      </w:r>
      <w:r w:rsidRPr="002A2A4E">
        <w:rPr>
          <w:i/>
          <w:iCs/>
          <w:color w:val="000000" w:themeColor="text1"/>
          <w:lang w:val="en-US"/>
        </w:rPr>
        <w:t>Journal of Management  Reviews</w:t>
      </w:r>
      <w:r w:rsidRPr="002A2A4E">
        <w:rPr>
          <w:color w:val="000000" w:themeColor="text1"/>
          <w:lang w:val="en-US"/>
        </w:rPr>
        <w:t>, 12, 50</w:t>
      </w:r>
      <w:r w:rsidR="00706FD0" w:rsidRPr="002A2A4E">
        <w:rPr>
          <w:color w:val="000000" w:themeColor="text1"/>
          <w:lang w:val="en-US"/>
        </w:rPr>
        <w:t xml:space="preserve"> - </w:t>
      </w:r>
      <w:r w:rsidRPr="002A2A4E">
        <w:rPr>
          <w:color w:val="000000" w:themeColor="text1"/>
          <w:lang w:val="en-US"/>
        </w:rPr>
        <w:t>84</w:t>
      </w:r>
    </w:p>
    <w:sectPr w:rsidR="005B29FC" w:rsidRPr="002A2A4E" w:rsidSect="00C72131">
      <w:type w:val="continuous"/>
      <w:pgSz w:w="11907" w:h="16840" w:code="9"/>
      <w:pgMar w:top="1134" w:right="1418" w:bottom="1134" w:left="1418" w:header="624" w:footer="709" w:gutter="0"/>
      <w:cols w:num="2" w:space="284"/>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EAB" w:rsidRDefault="00C97EAB" w:rsidP="00C72131">
      <w:pPr>
        <w:spacing w:line="240" w:lineRule="auto"/>
      </w:pPr>
      <w:r>
        <w:separator/>
      </w:r>
    </w:p>
  </w:endnote>
  <w:endnote w:type="continuationSeparator" w:id="0">
    <w:p w:rsidR="00C97EAB" w:rsidRDefault="00C97EAB" w:rsidP="00C721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EAB" w:rsidRDefault="00C97EAB" w:rsidP="00C72131">
      <w:pPr>
        <w:spacing w:line="240" w:lineRule="auto"/>
      </w:pPr>
      <w:r>
        <w:separator/>
      </w:r>
    </w:p>
  </w:footnote>
  <w:footnote w:type="continuationSeparator" w:id="0">
    <w:p w:rsidR="00C97EAB" w:rsidRDefault="00C97EAB" w:rsidP="00C7213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208694"/>
      <w:docPartObj>
        <w:docPartGallery w:val="Page Numbers (Top of Page)"/>
        <w:docPartUnique/>
      </w:docPartObj>
    </w:sdtPr>
    <w:sdtEndPr/>
    <w:sdtContent>
      <w:p w:rsidR="00C72131" w:rsidRDefault="00C72131" w:rsidP="00C72131">
        <w:pPr>
          <w:pStyle w:val="Header"/>
          <w:jc w:val="center"/>
        </w:pPr>
        <w:r>
          <w:fldChar w:fldCharType="begin"/>
        </w:r>
        <w:r>
          <w:instrText>PAGE   \* MERGEFORMAT</w:instrText>
        </w:r>
        <w:r>
          <w:fldChar w:fldCharType="separate"/>
        </w:r>
        <w:r w:rsidR="00F25817">
          <w:rPr>
            <w:noProof/>
          </w:rPr>
          <w:t>1</w:t>
        </w:r>
        <w:r>
          <w:fldChar w:fldCharType="end"/>
        </w:r>
      </w:p>
    </w:sdtContent>
  </w:sdt>
  <w:p w:rsidR="00C72131" w:rsidRDefault="00C7213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D6468"/>
    <w:multiLevelType w:val="hybridMultilevel"/>
    <w:tmpl w:val="C76AA3B2"/>
    <w:lvl w:ilvl="0" w:tplc="947CDCF2">
      <w:start w:val="1"/>
      <w:numFmt w:val="decimal"/>
      <w:lvlText w:val="%1."/>
      <w:lvlJc w:val="left"/>
      <w:pPr>
        <w:ind w:left="720" w:hanging="360"/>
      </w:pPr>
      <w:rPr>
        <w:rFonts w:ascii="Times New Roman" w:hAnsi="Times New Roman"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2A"/>
    <w:rsid w:val="00012321"/>
    <w:rsid w:val="00036775"/>
    <w:rsid w:val="00125D1B"/>
    <w:rsid w:val="001531A4"/>
    <w:rsid w:val="0019742A"/>
    <w:rsid w:val="001F7CF4"/>
    <w:rsid w:val="0020725D"/>
    <w:rsid w:val="00210ED3"/>
    <w:rsid w:val="00222D7A"/>
    <w:rsid w:val="002441BB"/>
    <w:rsid w:val="002A2A4E"/>
    <w:rsid w:val="003620D1"/>
    <w:rsid w:val="00371AF4"/>
    <w:rsid w:val="00390352"/>
    <w:rsid w:val="00392010"/>
    <w:rsid w:val="003C2948"/>
    <w:rsid w:val="003D729E"/>
    <w:rsid w:val="00433F4A"/>
    <w:rsid w:val="00480A31"/>
    <w:rsid w:val="004D5856"/>
    <w:rsid w:val="00500BA9"/>
    <w:rsid w:val="005601B8"/>
    <w:rsid w:val="00582D65"/>
    <w:rsid w:val="005B29FC"/>
    <w:rsid w:val="00607EEE"/>
    <w:rsid w:val="00621515"/>
    <w:rsid w:val="006434B9"/>
    <w:rsid w:val="00655FBB"/>
    <w:rsid w:val="0068073F"/>
    <w:rsid w:val="006B2013"/>
    <w:rsid w:val="006E531E"/>
    <w:rsid w:val="00706FD0"/>
    <w:rsid w:val="00726985"/>
    <w:rsid w:val="0075329F"/>
    <w:rsid w:val="00785062"/>
    <w:rsid w:val="007C1295"/>
    <w:rsid w:val="007C39F1"/>
    <w:rsid w:val="007E197D"/>
    <w:rsid w:val="007E2D29"/>
    <w:rsid w:val="00866158"/>
    <w:rsid w:val="008C3CA3"/>
    <w:rsid w:val="008D58E9"/>
    <w:rsid w:val="008E2E53"/>
    <w:rsid w:val="008E6852"/>
    <w:rsid w:val="00920B8F"/>
    <w:rsid w:val="0092726B"/>
    <w:rsid w:val="00934990"/>
    <w:rsid w:val="009666D8"/>
    <w:rsid w:val="009A11A7"/>
    <w:rsid w:val="009B0EF3"/>
    <w:rsid w:val="009D6116"/>
    <w:rsid w:val="00A9086C"/>
    <w:rsid w:val="00AA3AEA"/>
    <w:rsid w:val="00AD11FD"/>
    <w:rsid w:val="00B307C7"/>
    <w:rsid w:val="00B32052"/>
    <w:rsid w:val="00B54EF4"/>
    <w:rsid w:val="00B5595F"/>
    <w:rsid w:val="00B81F51"/>
    <w:rsid w:val="00BE3B73"/>
    <w:rsid w:val="00C04962"/>
    <w:rsid w:val="00C07B85"/>
    <w:rsid w:val="00C4763C"/>
    <w:rsid w:val="00C72131"/>
    <w:rsid w:val="00C97EAB"/>
    <w:rsid w:val="00CC3BDD"/>
    <w:rsid w:val="00CF3427"/>
    <w:rsid w:val="00D45B4D"/>
    <w:rsid w:val="00D550A0"/>
    <w:rsid w:val="00D67B04"/>
    <w:rsid w:val="00DA4FA4"/>
    <w:rsid w:val="00E16BDD"/>
    <w:rsid w:val="00E302C8"/>
    <w:rsid w:val="00E330C1"/>
    <w:rsid w:val="00E359B2"/>
    <w:rsid w:val="00E7044A"/>
    <w:rsid w:val="00EC2FC9"/>
    <w:rsid w:val="00ED0CBC"/>
    <w:rsid w:val="00F25817"/>
    <w:rsid w:val="00F65A1A"/>
    <w:rsid w:val="00F74156"/>
    <w:rsid w:val="00F80CB6"/>
    <w:rsid w:val="00F87B67"/>
    <w:rsid w:val="00FA3264"/>
    <w:rsid w:val="00FD085B"/>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vi-VN" w:eastAsia="en-US" w:bidi="ar-SA"/>
      </w:rPr>
    </w:rPrDefault>
    <w:pPrDefault>
      <w:pPr>
        <w:spacing w:line="360" w:lineRule="auto"/>
        <w:ind w:firstLine="567"/>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1BB"/>
  </w:style>
  <w:style w:type="paragraph" w:styleId="Heading1">
    <w:name w:val="heading 1"/>
    <w:basedOn w:val="Normal"/>
    <w:next w:val="Normal"/>
    <w:link w:val="Heading1Char"/>
    <w:uiPriority w:val="9"/>
    <w:qFormat/>
    <w:rsid w:val="002441BB"/>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2441BB"/>
    <w:pPr>
      <w:keepNext/>
      <w:spacing w:before="240" w:after="60"/>
      <w:outlineLvl w:val="1"/>
    </w:pPr>
    <w:rPr>
      <w:rFonts w:eastAsia="Times New Roman"/>
      <w:b/>
      <w:bCs/>
      <w:i/>
      <w:iCs/>
    </w:rPr>
  </w:style>
  <w:style w:type="paragraph" w:styleId="Heading3">
    <w:name w:val="heading 3"/>
    <w:basedOn w:val="Normal"/>
    <w:next w:val="Normal"/>
    <w:link w:val="Heading3Char1"/>
    <w:qFormat/>
    <w:rsid w:val="002441BB"/>
    <w:pPr>
      <w:keepNext/>
      <w:suppressAutoHyphens/>
      <w:ind w:left="2160" w:hanging="180"/>
      <w:jc w:val="both"/>
      <w:outlineLvl w:val="2"/>
    </w:pPr>
    <w:rPr>
      <w:rFonts w:eastAsia="Times New Roman"/>
      <w:b/>
      <w:szCs w:val="24"/>
      <w:lang w:eastAsia="ar-SA"/>
    </w:rPr>
  </w:style>
  <w:style w:type="paragraph" w:styleId="Heading4">
    <w:name w:val="heading 4"/>
    <w:basedOn w:val="Normal"/>
    <w:next w:val="Normal"/>
    <w:link w:val="Heading4Char"/>
    <w:uiPriority w:val="9"/>
    <w:semiHidden/>
    <w:unhideWhenUsed/>
    <w:qFormat/>
    <w:rsid w:val="002441BB"/>
    <w:pPr>
      <w:keepNext/>
      <w:spacing w:before="240" w:after="60"/>
      <w:outlineLvl w:val="3"/>
    </w:pPr>
    <w:rPr>
      <w:rFonts w:ascii="Arial" w:eastAsia="Times New Roman" w:hAnsi="Arial"/>
      <w:b/>
      <w:bCs/>
    </w:rPr>
  </w:style>
  <w:style w:type="paragraph" w:styleId="Heading8">
    <w:name w:val="heading 8"/>
    <w:basedOn w:val="Normal"/>
    <w:next w:val="Normal"/>
    <w:link w:val="Heading8Char"/>
    <w:uiPriority w:val="9"/>
    <w:semiHidden/>
    <w:unhideWhenUsed/>
    <w:qFormat/>
    <w:rsid w:val="002441BB"/>
    <w:pPr>
      <w:spacing w:before="240" w:after="60"/>
      <w:outlineLvl w:val="7"/>
    </w:pPr>
    <w:rPr>
      <w:rFonts w:ascii="Arial" w:eastAsia="Times New Roman" w:hAnsi="Arial"/>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2441BB"/>
    <w:pPr>
      <w:spacing w:line="312" w:lineRule="auto"/>
      <w:jc w:val="both"/>
    </w:pPr>
    <w:rPr>
      <w:rFonts w:eastAsia="Times New Roman" w:cs="Tahoma"/>
      <w:szCs w:val="20"/>
    </w:rPr>
  </w:style>
  <w:style w:type="paragraph" w:customStyle="1" w:styleId="Char0">
    <w:name w:val="Char"/>
    <w:basedOn w:val="Normal"/>
    <w:rsid w:val="002441BB"/>
    <w:pPr>
      <w:spacing w:after="160" w:line="240" w:lineRule="exact"/>
    </w:pPr>
    <w:rPr>
      <w:rFonts w:eastAsia="Times New Roman" w:cs="Tahoma"/>
      <w:bCs/>
      <w:color w:val="333399"/>
      <w:sz w:val="20"/>
      <w:szCs w:val="20"/>
      <w:lang w:val="en-GB"/>
    </w:rPr>
  </w:style>
  <w:style w:type="character" w:customStyle="1" w:styleId="Heading3Char">
    <w:name w:val="Heading 3 Char"/>
    <w:uiPriority w:val="9"/>
    <w:semiHidden/>
    <w:rsid w:val="002441BB"/>
    <w:rPr>
      <w:rFonts w:ascii="Times New Roman" w:eastAsia="Times New Roman" w:hAnsi="Times New Roman" w:cs="Times New Roman"/>
      <w:b/>
      <w:bCs/>
      <w:sz w:val="26"/>
      <w:szCs w:val="26"/>
      <w:lang w:val="en-US" w:eastAsia="en-US"/>
    </w:rPr>
  </w:style>
  <w:style w:type="paragraph" w:customStyle="1" w:styleId="TableParagraph">
    <w:name w:val="Table Paragraph"/>
    <w:basedOn w:val="Normal"/>
    <w:uiPriority w:val="1"/>
    <w:qFormat/>
    <w:rsid w:val="002441BB"/>
    <w:pPr>
      <w:widowControl w:val="0"/>
      <w:autoSpaceDE w:val="0"/>
      <w:autoSpaceDN w:val="0"/>
    </w:pPr>
    <w:rPr>
      <w:rFonts w:eastAsia="Times New Roman"/>
      <w:sz w:val="22"/>
      <w:szCs w:val="22"/>
    </w:rPr>
  </w:style>
  <w:style w:type="paragraph" w:customStyle="1" w:styleId="MTDisplayEquation">
    <w:name w:val="MTDisplayEquation"/>
    <w:basedOn w:val="Normal"/>
    <w:next w:val="Normal"/>
    <w:link w:val="MTDisplayEquationChar"/>
    <w:rsid w:val="002441BB"/>
    <w:pPr>
      <w:tabs>
        <w:tab w:val="center" w:pos="4480"/>
        <w:tab w:val="right" w:pos="8940"/>
      </w:tabs>
      <w:jc w:val="both"/>
    </w:pPr>
    <w:rPr>
      <w:rFonts w:eastAsia="Arial"/>
      <w:bCs/>
      <w:iCs/>
      <w:lang w:eastAsia="x-none"/>
    </w:rPr>
  </w:style>
  <w:style w:type="character" w:customStyle="1" w:styleId="MTDisplayEquationChar">
    <w:name w:val="MTDisplayEquation Char"/>
    <w:link w:val="MTDisplayEquation"/>
    <w:rsid w:val="002441BB"/>
    <w:rPr>
      <w:rFonts w:eastAsia="Arial"/>
      <w:bCs/>
      <w:iCs/>
      <w:szCs w:val="26"/>
      <w:lang w:val="en-US" w:eastAsia="x-none"/>
    </w:rPr>
  </w:style>
  <w:style w:type="character" w:customStyle="1" w:styleId="Heading1Char">
    <w:name w:val="Heading 1 Char"/>
    <w:link w:val="Heading1"/>
    <w:uiPriority w:val="9"/>
    <w:rsid w:val="002441BB"/>
    <w:rPr>
      <w:rFonts w:eastAsia="Times New Roman"/>
      <w:b/>
      <w:bCs/>
      <w:kern w:val="32"/>
      <w:sz w:val="32"/>
      <w:szCs w:val="32"/>
      <w:lang w:val="en-US"/>
    </w:rPr>
  </w:style>
  <w:style w:type="character" w:customStyle="1" w:styleId="Heading2Char">
    <w:name w:val="Heading 2 Char"/>
    <w:link w:val="Heading2"/>
    <w:uiPriority w:val="9"/>
    <w:semiHidden/>
    <w:rsid w:val="002441BB"/>
    <w:rPr>
      <w:rFonts w:eastAsia="Times New Roman"/>
      <w:b/>
      <w:bCs/>
      <w:i/>
      <w:iCs/>
      <w:sz w:val="24"/>
      <w:lang w:val="en-US"/>
    </w:rPr>
  </w:style>
  <w:style w:type="character" w:customStyle="1" w:styleId="Heading3Char1">
    <w:name w:val="Heading 3 Char1"/>
    <w:link w:val="Heading3"/>
    <w:rsid w:val="002441BB"/>
    <w:rPr>
      <w:rFonts w:eastAsia="Times New Roman"/>
      <w:b/>
      <w:sz w:val="24"/>
      <w:szCs w:val="24"/>
      <w:lang w:val="en-US" w:eastAsia="ar-SA"/>
    </w:rPr>
  </w:style>
  <w:style w:type="character" w:customStyle="1" w:styleId="Heading4Char">
    <w:name w:val="Heading 4 Char"/>
    <w:link w:val="Heading4"/>
    <w:uiPriority w:val="9"/>
    <w:semiHidden/>
    <w:rsid w:val="002441BB"/>
    <w:rPr>
      <w:rFonts w:ascii="Arial" w:eastAsia="Times New Roman" w:hAnsi="Arial"/>
      <w:b/>
      <w:bCs/>
      <w:sz w:val="24"/>
      <w:lang w:val="en-US"/>
    </w:rPr>
  </w:style>
  <w:style w:type="character" w:customStyle="1" w:styleId="Heading8Char">
    <w:name w:val="Heading 8 Char"/>
    <w:link w:val="Heading8"/>
    <w:uiPriority w:val="9"/>
    <w:semiHidden/>
    <w:rsid w:val="002441BB"/>
    <w:rPr>
      <w:rFonts w:ascii="Arial" w:eastAsia="Times New Roman" w:hAnsi="Arial"/>
      <w:i/>
      <w:iCs/>
      <w:sz w:val="24"/>
      <w:szCs w:val="24"/>
      <w:lang w:val="en-US"/>
    </w:rPr>
  </w:style>
  <w:style w:type="paragraph" w:styleId="TOC1">
    <w:name w:val="toc 1"/>
    <w:basedOn w:val="Normal"/>
    <w:next w:val="Normal"/>
    <w:autoRedefine/>
    <w:uiPriority w:val="39"/>
    <w:qFormat/>
    <w:rsid w:val="002441BB"/>
    <w:pPr>
      <w:tabs>
        <w:tab w:val="right" w:leader="dot" w:pos="8749"/>
      </w:tabs>
      <w:spacing w:line="276" w:lineRule="auto"/>
      <w:ind w:right="-1"/>
      <w:jc w:val="both"/>
    </w:pPr>
    <w:rPr>
      <w:rFonts w:eastAsia="Times New Roman"/>
      <w:noProof/>
    </w:rPr>
  </w:style>
  <w:style w:type="paragraph" w:styleId="TOC2">
    <w:name w:val="toc 2"/>
    <w:basedOn w:val="Normal"/>
    <w:next w:val="Normal"/>
    <w:autoRedefine/>
    <w:uiPriority w:val="39"/>
    <w:qFormat/>
    <w:rsid w:val="002441BB"/>
    <w:pPr>
      <w:tabs>
        <w:tab w:val="left" w:pos="709"/>
        <w:tab w:val="right" w:leader="dot" w:pos="8789"/>
      </w:tabs>
      <w:spacing w:line="276" w:lineRule="auto"/>
      <w:ind w:left="284" w:right="-1"/>
      <w:jc w:val="both"/>
    </w:pPr>
    <w:rPr>
      <w:rFonts w:eastAsia="Times New Roman"/>
      <w:b/>
      <w:noProof/>
      <w:szCs w:val="24"/>
    </w:rPr>
  </w:style>
  <w:style w:type="paragraph" w:styleId="TOC3">
    <w:name w:val="toc 3"/>
    <w:basedOn w:val="Normal"/>
    <w:next w:val="Normal"/>
    <w:autoRedefine/>
    <w:uiPriority w:val="39"/>
    <w:qFormat/>
    <w:rsid w:val="002441BB"/>
    <w:pPr>
      <w:tabs>
        <w:tab w:val="right" w:leader="dot" w:pos="8789"/>
      </w:tabs>
      <w:spacing w:line="276" w:lineRule="auto"/>
      <w:ind w:left="567" w:right="-1"/>
    </w:pPr>
    <w:rPr>
      <w:rFonts w:eastAsia="Times New Roman"/>
      <w:noProof/>
      <w:szCs w:val="24"/>
    </w:rPr>
  </w:style>
  <w:style w:type="paragraph" w:styleId="TOC4">
    <w:name w:val="toc 4"/>
    <w:basedOn w:val="Normal"/>
    <w:next w:val="Normal"/>
    <w:autoRedefine/>
    <w:uiPriority w:val="39"/>
    <w:unhideWhenUsed/>
    <w:rsid w:val="002441BB"/>
    <w:pPr>
      <w:ind w:left="840"/>
    </w:pPr>
    <w:rPr>
      <w:rFonts w:eastAsia="Times New Roman"/>
    </w:rPr>
  </w:style>
  <w:style w:type="paragraph" w:styleId="CommentText">
    <w:name w:val="annotation text"/>
    <w:basedOn w:val="Normal"/>
    <w:link w:val="CommentTextChar"/>
    <w:uiPriority w:val="99"/>
    <w:unhideWhenUsed/>
    <w:rsid w:val="002441BB"/>
    <w:rPr>
      <w:rFonts w:eastAsia="Times New Roman"/>
      <w:sz w:val="20"/>
      <w:szCs w:val="20"/>
    </w:rPr>
  </w:style>
  <w:style w:type="character" w:customStyle="1" w:styleId="CommentTextChar">
    <w:name w:val="Comment Text Char"/>
    <w:link w:val="CommentText"/>
    <w:uiPriority w:val="99"/>
    <w:rsid w:val="002441BB"/>
    <w:rPr>
      <w:rFonts w:eastAsia="Times New Roman"/>
      <w:sz w:val="20"/>
      <w:szCs w:val="20"/>
      <w:lang w:val="en-US"/>
    </w:rPr>
  </w:style>
  <w:style w:type="paragraph" w:styleId="Header">
    <w:name w:val="header"/>
    <w:basedOn w:val="Normal"/>
    <w:link w:val="HeaderChar"/>
    <w:uiPriority w:val="99"/>
    <w:unhideWhenUsed/>
    <w:rsid w:val="002441BB"/>
    <w:pPr>
      <w:tabs>
        <w:tab w:val="center" w:pos="4680"/>
        <w:tab w:val="right" w:pos="9360"/>
      </w:tabs>
    </w:pPr>
    <w:rPr>
      <w:rFonts w:eastAsia="Times New Roman"/>
    </w:rPr>
  </w:style>
  <w:style w:type="character" w:customStyle="1" w:styleId="HeaderChar">
    <w:name w:val="Header Char"/>
    <w:link w:val="Header"/>
    <w:uiPriority w:val="99"/>
    <w:rsid w:val="002441BB"/>
    <w:rPr>
      <w:rFonts w:eastAsia="Times New Roman"/>
      <w:sz w:val="24"/>
      <w:lang w:val="en-US"/>
    </w:rPr>
  </w:style>
  <w:style w:type="paragraph" w:styleId="Footer">
    <w:name w:val="footer"/>
    <w:basedOn w:val="Normal"/>
    <w:link w:val="FooterChar"/>
    <w:uiPriority w:val="99"/>
    <w:unhideWhenUsed/>
    <w:rsid w:val="002441BB"/>
    <w:pPr>
      <w:tabs>
        <w:tab w:val="center" w:pos="4680"/>
        <w:tab w:val="right" w:pos="9360"/>
      </w:tabs>
    </w:pPr>
    <w:rPr>
      <w:rFonts w:eastAsia="Times New Roman"/>
    </w:rPr>
  </w:style>
  <w:style w:type="character" w:customStyle="1" w:styleId="FooterChar">
    <w:name w:val="Footer Char"/>
    <w:link w:val="Footer"/>
    <w:uiPriority w:val="99"/>
    <w:rsid w:val="002441BB"/>
    <w:rPr>
      <w:rFonts w:eastAsia="Times New Roman"/>
      <w:sz w:val="24"/>
      <w:lang w:val="en-US"/>
    </w:rPr>
  </w:style>
  <w:style w:type="paragraph" w:styleId="TableofFigures">
    <w:name w:val="table of figures"/>
    <w:basedOn w:val="Normal"/>
    <w:next w:val="Normal"/>
    <w:uiPriority w:val="99"/>
    <w:unhideWhenUsed/>
    <w:rsid w:val="002441BB"/>
    <w:rPr>
      <w:rFonts w:eastAsia="Times New Roman"/>
    </w:rPr>
  </w:style>
  <w:style w:type="character" w:styleId="CommentReference">
    <w:name w:val="annotation reference"/>
    <w:uiPriority w:val="99"/>
    <w:semiHidden/>
    <w:unhideWhenUsed/>
    <w:rsid w:val="002441BB"/>
    <w:rPr>
      <w:sz w:val="16"/>
      <w:szCs w:val="16"/>
    </w:rPr>
  </w:style>
  <w:style w:type="character" w:styleId="PageNumber">
    <w:name w:val="page number"/>
    <w:rsid w:val="002441BB"/>
  </w:style>
  <w:style w:type="paragraph" w:styleId="BodyText">
    <w:name w:val="Body Text"/>
    <w:basedOn w:val="Normal"/>
    <w:link w:val="BodyTextChar"/>
    <w:uiPriority w:val="99"/>
    <w:unhideWhenUsed/>
    <w:rsid w:val="002441BB"/>
    <w:pPr>
      <w:spacing w:after="120"/>
    </w:pPr>
    <w:rPr>
      <w:rFonts w:eastAsia="Times New Roman"/>
    </w:rPr>
  </w:style>
  <w:style w:type="character" w:customStyle="1" w:styleId="BodyTextChar">
    <w:name w:val="Body Text Char"/>
    <w:link w:val="BodyText"/>
    <w:uiPriority w:val="99"/>
    <w:rsid w:val="002441BB"/>
    <w:rPr>
      <w:rFonts w:eastAsia="Times New Roman"/>
      <w:sz w:val="24"/>
      <w:lang w:val="en-US"/>
    </w:rPr>
  </w:style>
  <w:style w:type="paragraph" w:styleId="BodyTextIndent">
    <w:name w:val="Body Text Indent"/>
    <w:basedOn w:val="Normal"/>
    <w:link w:val="BodyTextIndentChar"/>
    <w:uiPriority w:val="99"/>
    <w:semiHidden/>
    <w:unhideWhenUsed/>
    <w:rsid w:val="002441BB"/>
    <w:pPr>
      <w:spacing w:after="120"/>
      <w:ind w:left="283"/>
    </w:pPr>
    <w:rPr>
      <w:rFonts w:eastAsia="Times New Roman"/>
    </w:rPr>
  </w:style>
  <w:style w:type="character" w:customStyle="1" w:styleId="BodyTextIndentChar">
    <w:name w:val="Body Text Indent Char"/>
    <w:link w:val="BodyTextIndent"/>
    <w:uiPriority w:val="99"/>
    <w:semiHidden/>
    <w:rsid w:val="002441BB"/>
    <w:rPr>
      <w:rFonts w:eastAsia="Times New Roman"/>
      <w:sz w:val="24"/>
      <w:lang w:val="en-US"/>
    </w:rPr>
  </w:style>
  <w:style w:type="paragraph" w:styleId="BodyText2">
    <w:name w:val="Body Text 2"/>
    <w:basedOn w:val="Normal"/>
    <w:link w:val="BodyText2Char"/>
    <w:rsid w:val="002441BB"/>
    <w:rPr>
      <w:rFonts w:eastAsia="Times New Roman"/>
      <w:b/>
      <w:bCs/>
      <w:sz w:val="40"/>
      <w:szCs w:val="20"/>
    </w:rPr>
  </w:style>
  <w:style w:type="character" w:customStyle="1" w:styleId="BodyText2Char">
    <w:name w:val="Body Text 2 Char"/>
    <w:link w:val="BodyText2"/>
    <w:rsid w:val="002441BB"/>
    <w:rPr>
      <w:rFonts w:eastAsia="Times New Roman"/>
      <w:b/>
      <w:bCs/>
      <w:sz w:val="40"/>
      <w:szCs w:val="20"/>
      <w:lang w:val="en-US"/>
    </w:rPr>
  </w:style>
  <w:style w:type="character" w:styleId="Hyperlink">
    <w:name w:val="Hyperlink"/>
    <w:uiPriority w:val="99"/>
    <w:unhideWhenUsed/>
    <w:rsid w:val="002441BB"/>
    <w:rPr>
      <w:color w:val="0563C1"/>
      <w:u w:val="single"/>
    </w:rPr>
  </w:style>
  <w:style w:type="paragraph" w:styleId="CommentSubject">
    <w:name w:val="annotation subject"/>
    <w:basedOn w:val="CommentText"/>
    <w:next w:val="CommentText"/>
    <w:link w:val="CommentSubjectChar"/>
    <w:uiPriority w:val="99"/>
    <w:semiHidden/>
    <w:unhideWhenUsed/>
    <w:rsid w:val="002441BB"/>
    <w:rPr>
      <w:b/>
      <w:bCs/>
    </w:rPr>
  </w:style>
  <w:style w:type="character" w:customStyle="1" w:styleId="CommentSubjectChar">
    <w:name w:val="Comment Subject Char"/>
    <w:link w:val="CommentSubject"/>
    <w:uiPriority w:val="99"/>
    <w:semiHidden/>
    <w:rsid w:val="002441BB"/>
    <w:rPr>
      <w:rFonts w:eastAsia="Times New Roman"/>
      <w:b/>
      <w:bCs/>
      <w:sz w:val="20"/>
      <w:szCs w:val="20"/>
      <w:lang w:val="en-US"/>
    </w:rPr>
  </w:style>
  <w:style w:type="paragraph" w:styleId="BalloonText">
    <w:name w:val="Balloon Text"/>
    <w:basedOn w:val="Normal"/>
    <w:link w:val="BalloonTextChar"/>
    <w:uiPriority w:val="99"/>
    <w:semiHidden/>
    <w:unhideWhenUsed/>
    <w:rsid w:val="002441BB"/>
    <w:rPr>
      <w:rFonts w:ascii="Tahoma" w:eastAsia="Times New Roman" w:hAnsi="Tahoma" w:cs="Tahoma"/>
      <w:sz w:val="16"/>
      <w:szCs w:val="16"/>
    </w:rPr>
  </w:style>
  <w:style w:type="character" w:customStyle="1" w:styleId="BalloonTextChar">
    <w:name w:val="Balloon Text Char"/>
    <w:link w:val="BalloonText"/>
    <w:uiPriority w:val="99"/>
    <w:semiHidden/>
    <w:rsid w:val="002441BB"/>
    <w:rPr>
      <w:rFonts w:ascii="Tahoma" w:eastAsia="Times New Roman" w:hAnsi="Tahoma" w:cs="Tahoma"/>
      <w:sz w:val="16"/>
      <w:szCs w:val="16"/>
      <w:lang w:val="en-US"/>
    </w:rPr>
  </w:style>
  <w:style w:type="table" w:styleId="TableGrid">
    <w:name w:val="Table Grid"/>
    <w:basedOn w:val="TableNormal"/>
    <w:uiPriority w:val="59"/>
    <w:rsid w:val="002441BB"/>
    <w:rPr>
      <w:rFonts w:eastAsia="Calibri"/>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2441BB"/>
    <w:rPr>
      <w:rFonts w:ascii="Calibri" w:eastAsia="Times New Roman" w:hAnsi="Calibri"/>
      <w:sz w:val="22"/>
      <w:szCs w:val="22"/>
      <w:lang w:val="en-US"/>
    </w:rPr>
  </w:style>
  <w:style w:type="character" w:customStyle="1" w:styleId="NoSpacingChar">
    <w:name w:val="No Spacing Char"/>
    <w:link w:val="NoSpacing"/>
    <w:uiPriority w:val="1"/>
    <w:rsid w:val="002441BB"/>
    <w:rPr>
      <w:rFonts w:ascii="Calibri" w:eastAsia="Times New Roman" w:hAnsi="Calibri"/>
      <w:sz w:val="22"/>
      <w:szCs w:val="22"/>
      <w:lang w:val="en-US"/>
    </w:rPr>
  </w:style>
  <w:style w:type="paragraph" w:styleId="ListParagraph">
    <w:name w:val="List Paragraph"/>
    <w:basedOn w:val="Normal"/>
    <w:uiPriority w:val="1"/>
    <w:qFormat/>
    <w:rsid w:val="002441BB"/>
    <w:pPr>
      <w:ind w:left="720"/>
      <w:contextualSpacing/>
    </w:pPr>
    <w:rPr>
      <w:rFonts w:eastAsia="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vi-VN" w:eastAsia="en-US" w:bidi="ar-SA"/>
      </w:rPr>
    </w:rPrDefault>
    <w:pPrDefault>
      <w:pPr>
        <w:spacing w:line="360" w:lineRule="auto"/>
        <w:ind w:firstLine="567"/>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1BB"/>
  </w:style>
  <w:style w:type="paragraph" w:styleId="Heading1">
    <w:name w:val="heading 1"/>
    <w:basedOn w:val="Normal"/>
    <w:next w:val="Normal"/>
    <w:link w:val="Heading1Char"/>
    <w:uiPriority w:val="9"/>
    <w:qFormat/>
    <w:rsid w:val="002441BB"/>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2441BB"/>
    <w:pPr>
      <w:keepNext/>
      <w:spacing w:before="240" w:after="60"/>
      <w:outlineLvl w:val="1"/>
    </w:pPr>
    <w:rPr>
      <w:rFonts w:eastAsia="Times New Roman"/>
      <w:b/>
      <w:bCs/>
      <w:i/>
      <w:iCs/>
    </w:rPr>
  </w:style>
  <w:style w:type="paragraph" w:styleId="Heading3">
    <w:name w:val="heading 3"/>
    <w:basedOn w:val="Normal"/>
    <w:next w:val="Normal"/>
    <w:link w:val="Heading3Char1"/>
    <w:qFormat/>
    <w:rsid w:val="002441BB"/>
    <w:pPr>
      <w:keepNext/>
      <w:suppressAutoHyphens/>
      <w:ind w:left="2160" w:hanging="180"/>
      <w:jc w:val="both"/>
      <w:outlineLvl w:val="2"/>
    </w:pPr>
    <w:rPr>
      <w:rFonts w:eastAsia="Times New Roman"/>
      <w:b/>
      <w:szCs w:val="24"/>
      <w:lang w:eastAsia="ar-SA"/>
    </w:rPr>
  </w:style>
  <w:style w:type="paragraph" w:styleId="Heading4">
    <w:name w:val="heading 4"/>
    <w:basedOn w:val="Normal"/>
    <w:next w:val="Normal"/>
    <w:link w:val="Heading4Char"/>
    <w:uiPriority w:val="9"/>
    <w:semiHidden/>
    <w:unhideWhenUsed/>
    <w:qFormat/>
    <w:rsid w:val="002441BB"/>
    <w:pPr>
      <w:keepNext/>
      <w:spacing w:before="240" w:after="60"/>
      <w:outlineLvl w:val="3"/>
    </w:pPr>
    <w:rPr>
      <w:rFonts w:ascii="Arial" w:eastAsia="Times New Roman" w:hAnsi="Arial"/>
      <w:b/>
      <w:bCs/>
    </w:rPr>
  </w:style>
  <w:style w:type="paragraph" w:styleId="Heading8">
    <w:name w:val="heading 8"/>
    <w:basedOn w:val="Normal"/>
    <w:next w:val="Normal"/>
    <w:link w:val="Heading8Char"/>
    <w:uiPriority w:val="9"/>
    <w:semiHidden/>
    <w:unhideWhenUsed/>
    <w:qFormat/>
    <w:rsid w:val="002441BB"/>
    <w:pPr>
      <w:spacing w:before="240" w:after="60"/>
      <w:outlineLvl w:val="7"/>
    </w:pPr>
    <w:rPr>
      <w:rFonts w:ascii="Arial" w:eastAsia="Times New Roman" w:hAnsi="Arial"/>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2441BB"/>
    <w:pPr>
      <w:spacing w:line="312" w:lineRule="auto"/>
      <w:jc w:val="both"/>
    </w:pPr>
    <w:rPr>
      <w:rFonts w:eastAsia="Times New Roman" w:cs="Tahoma"/>
      <w:szCs w:val="20"/>
    </w:rPr>
  </w:style>
  <w:style w:type="paragraph" w:customStyle="1" w:styleId="Char0">
    <w:name w:val="Char"/>
    <w:basedOn w:val="Normal"/>
    <w:rsid w:val="002441BB"/>
    <w:pPr>
      <w:spacing w:after="160" w:line="240" w:lineRule="exact"/>
    </w:pPr>
    <w:rPr>
      <w:rFonts w:eastAsia="Times New Roman" w:cs="Tahoma"/>
      <w:bCs/>
      <w:color w:val="333399"/>
      <w:sz w:val="20"/>
      <w:szCs w:val="20"/>
      <w:lang w:val="en-GB"/>
    </w:rPr>
  </w:style>
  <w:style w:type="character" w:customStyle="1" w:styleId="Heading3Char">
    <w:name w:val="Heading 3 Char"/>
    <w:uiPriority w:val="9"/>
    <w:semiHidden/>
    <w:rsid w:val="002441BB"/>
    <w:rPr>
      <w:rFonts w:ascii="Times New Roman" w:eastAsia="Times New Roman" w:hAnsi="Times New Roman" w:cs="Times New Roman"/>
      <w:b/>
      <w:bCs/>
      <w:sz w:val="26"/>
      <w:szCs w:val="26"/>
      <w:lang w:val="en-US" w:eastAsia="en-US"/>
    </w:rPr>
  </w:style>
  <w:style w:type="paragraph" w:customStyle="1" w:styleId="TableParagraph">
    <w:name w:val="Table Paragraph"/>
    <w:basedOn w:val="Normal"/>
    <w:uiPriority w:val="1"/>
    <w:qFormat/>
    <w:rsid w:val="002441BB"/>
    <w:pPr>
      <w:widowControl w:val="0"/>
      <w:autoSpaceDE w:val="0"/>
      <w:autoSpaceDN w:val="0"/>
    </w:pPr>
    <w:rPr>
      <w:rFonts w:eastAsia="Times New Roman"/>
      <w:sz w:val="22"/>
      <w:szCs w:val="22"/>
    </w:rPr>
  </w:style>
  <w:style w:type="paragraph" w:customStyle="1" w:styleId="MTDisplayEquation">
    <w:name w:val="MTDisplayEquation"/>
    <w:basedOn w:val="Normal"/>
    <w:next w:val="Normal"/>
    <w:link w:val="MTDisplayEquationChar"/>
    <w:rsid w:val="002441BB"/>
    <w:pPr>
      <w:tabs>
        <w:tab w:val="center" w:pos="4480"/>
        <w:tab w:val="right" w:pos="8940"/>
      </w:tabs>
      <w:jc w:val="both"/>
    </w:pPr>
    <w:rPr>
      <w:rFonts w:eastAsia="Arial"/>
      <w:bCs/>
      <w:iCs/>
      <w:lang w:eastAsia="x-none"/>
    </w:rPr>
  </w:style>
  <w:style w:type="character" w:customStyle="1" w:styleId="MTDisplayEquationChar">
    <w:name w:val="MTDisplayEquation Char"/>
    <w:link w:val="MTDisplayEquation"/>
    <w:rsid w:val="002441BB"/>
    <w:rPr>
      <w:rFonts w:eastAsia="Arial"/>
      <w:bCs/>
      <w:iCs/>
      <w:szCs w:val="26"/>
      <w:lang w:val="en-US" w:eastAsia="x-none"/>
    </w:rPr>
  </w:style>
  <w:style w:type="character" w:customStyle="1" w:styleId="Heading1Char">
    <w:name w:val="Heading 1 Char"/>
    <w:link w:val="Heading1"/>
    <w:uiPriority w:val="9"/>
    <w:rsid w:val="002441BB"/>
    <w:rPr>
      <w:rFonts w:eastAsia="Times New Roman"/>
      <w:b/>
      <w:bCs/>
      <w:kern w:val="32"/>
      <w:sz w:val="32"/>
      <w:szCs w:val="32"/>
      <w:lang w:val="en-US"/>
    </w:rPr>
  </w:style>
  <w:style w:type="character" w:customStyle="1" w:styleId="Heading2Char">
    <w:name w:val="Heading 2 Char"/>
    <w:link w:val="Heading2"/>
    <w:uiPriority w:val="9"/>
    <w:semiHidden/>
    <w:rsid w:val="002441BB"/>
    <w:rPr>
      <w:rFonts w:eastAsia="Times New Roman"/>
      <w:b/>
      <w:bCs/>
      <w:i/>
      <w:iCs/>
      <w:sz w:val="24"/>
      <w:lang w:val="en-US"/>
    </w:rPr>
  </w:style>
  <w:style w:type="character" w:customStyle="1" w:styleId="Heading3Char1">
    <w:name w:val="Heading 3 Char1"/>
    <w:link w:val="Heading3"/>
    <w:rsid w:val="002441BB"/>
    <w:rPr>
      <w:rFonts w:eastAsia="Times New Roman"/>
      <w:b/>
      <w:sz w:val="24"/>
      <w:szCs w:val="24"/>
      <w:lang w:val="en-US" w:eastAsia="ar-SA"/>
    </w:rPr>
  </w:style>
  <w:style w:type="character" w:customStyle="1" w:styleId="Heading4Char">
    <w:name w:val="Heading 4 Char"/>
    <w:link w:val="Heading4"/>
    <w:uiPriority w:val="9"/>
    <w:semiHidden/>
    <w:rsid w:val="002441BB"/>
    <w:rPr>
      <w:rFonts w:ascii="Arial" w:eastAsia="Times New Roman" w:hAnsi="Arial"/>
      <w:b/>
      <w:bCs/>
      <w:sz w:val="24"/>
      <w:lang w:val="en-US"/>
    </w:rPr>
  </w:style>
  <w:style w:type="character" w:customStyle="1" w:styleId="Heading8Char">
    <w:name w:val="Heading 8 Char"/>
    <w:link w:val="Heading8"/>
    <w:uiPriority w:val="9"/>
    <w:semiHidden/>
    <w:rsid w:val="002441BB"/>
    <w:rPr>
      <w:rFonts w:ascii="Arial" w:eastAsia="Times New Roman" w:hAnsi="Arial"/>
      <w:i/>
      <w:iCs/>
      <w:sz w:val="24"/>
      <w:szCs w:val="24"/>
      <w:lang w:val="en-US"/>
    </w:rPr>
  </w:style>
  <w:style w:type="paragraph" w:styleId="TOC1">
    <w:name w:val="toc 1"/>
    <w:basedOn w:val="Normal"/>
    <w:next w:val="Normal"/>
    <w:autoRedefine/>
    <w:uiPriority w:val="39"/>
    <w:qFormat/>
    <w:rsid w:val="002441BB"/>
    <w:pPr>
      <w:tabs>
        <w:tab w:val="right" w:leader="dot" w:pos="8749"/>
      </w:tabs>
      <w:spacing w:line="276" w:lineRule="auto"/>
      <w:ind w:right="-1"/>
      <w:jc w:val="both"/>
    </w:pPr>
    <w:rPr>
      <w:rFonts w:eastAsia="Times New Roman"/>
      <w:noProof/>
    </w:rPr>
  </w:style>
  <w:style w:type="paragraph" w:styleId="TOC2">
    <w:name w:val="toc 2"/>
    <w:basedOn w:val="Normal"/>
    <w:next w:val="Normal"/>
    <w:autoRedefine/>
    <w:uiPriority w:val="39"/>
    <w:qFormat/>
    <w:rsid w:val="002441BB"/>
    <w:pPr>
      <w:tabs>
        <w:tab w:val="left" w:pos="709"/>
        <w:tab w:val="right" w:leader="dot" w:pos="8789"/>
      </w:tabs>
      <w:spacing w:line="276" w:lineRule="auto"/>
      <w:ind w:left="284" w:right="-1"/>
      <w:jc w:val="both"/>
    </w:pPr>
    <w:rPr>
      <w:rFonts w:eastAsia="Times New Roman"/>
      <w:b/>
      <w:noProof/>
      <w:szCs w:val="24"/>
    </w:rPr>
  </w:style>
  <w:style w:type="paragraph" w:styleId="TOC3">
    <w:name w:val="toc 3"/>
    <w:basedOn w:val="Normal"/>
    <w:next w:val="Normal"/>
    <w:autoRedefine/>
    <w:uiPriority w:val="39"/>
    <w:qFormat/>
    <w:rsid w:val="002441BB"/>
    <w:pPr>
      <w:tabs>
        <w:tab w:val="right" w:leader="dot" w:pos="8789"/>
      </w:tabs>
      <w:spacing w:line="276" w:lineRule="auto"/>
      <w:ind w:left="567" w:right="-1"/>
    </w:pPr>
    <w:rPr>
      <w:rFonts w:eastAsia="Times New Roman"/>
      <w:noProof/>
      <w:szCs w:val="24"/>
    </w:rPr>
  </w:style>
  <w:style w:type="paragraph" w:styleId="TOC4">
    <w:name w:val="toc 4"/>
    <w:basedOn w:val="Normal"/>
    <w:next w:val="Normal"/>
    <w:autoRedefine/>
    <w:uiPriority w:val="39"/>
    <w:unhideWhenUsed/>
    <w:rsid w:val="002441BB"/>
    <w:pPr>
      <w:ind w:left="840"/>
    </w:pPr>
    <w:rPr>
      <w:rFonts w:eastAsia="Times New Roman"/>
    </w:rPr>
  </w:style>
  <w:style w:type="paragraph" w:styleId="CommentText">
    <w:name w:val="annotation text"/>
    <w:basedOn w:val="Normal"/>
    <w:link w:val="CommentTextChar"/>
    <w:uiPriority w:val="99"/>
    <w:unhideWhenUsed/>
    <w:rsid w:val="002441BB"/>
    <w:rPr>
      <w:rFonts w:eastAsia="Times New Roman"/>
      <w:sz w:val="20"/>
      <w:szCs w:val="20"/>
    </w:rPr>
  </w:style>
  <w:style w:type="character" w:customStyle="1" w:styleId="CommentTextChar">
    <w:name w:val="Comment Text Char"/>
    <w:link w:val="CommentText"/>
    <w:uiPriority w:val="99"/>
    <w:rsid w:val="002441BB"/>
    <w:rPr>
      <w:rFonts w:eastAsia="Times New Roman"/>
      <w:sz w:val="20"/>
      <w:szCs w:val="20"/>
      <w:lang w:val="en-US"/>
    </w:rPr>
  </w:style>
  <w:style w:type="paragraph" w:styleId="Header">
    <w:name w:val="header"/>
    <w:basedOn w:val="Normal"/>
    <w:link w:val="HeaderChar"/>
    <w:uiPriority w:val="99"/>
    <w:unhideWhenUsed/>
    <w:rsid w:val="002441BB"/>
    <w:pPr>
      <w:tabs>
        <w:tab w:val="center" w:pos="4680"/>
        <w:tab w:val="right" w:pos="9360"/>
      </w:tabs>
    </w:pPr>
    <w:rPr>
      <w:rFonts w:eastAsia="Times New Roman"/>
    </w:rPr>
  </w:style>
  <w:style w:type="character" w:customStyle="1" w:styleId="HeaderChar">
    <w:name w:val="Header Char"/>
    <w:link w:val="Header"/>
    <w:uiPriority w:val="99"/>
    <w:rsid w:val="002441BB"/>
    <w:rPr>
      <w:rFonts w:eastAsia="Times New Roman"/>
      <w:sz w:val="24"/>
      <w:lang w:val="en-US"/>
    </w:rPr>
  </w:style>
  <w:style w:type="paragraph" w:styleId="Footer">
    <w:name w:val="footer"/>
    <w:basedOn w:val="Normal"/>
    <w:link w:val="FooterChar"/>
    <w:uiPriority w:val="99"/>
    <w:unhideWhenUsed/>
    <w:rsid w:val="002441BB"/>
    <w:pPr>
      <w:tabs>
        <w:tab w:val="center" w:pos="4680"/>
        <w:tab w:val="right" w:pos="9360"/>
      </w:tabs>
    </w:pPr>
    <w:rPr>
      <w:rFonts w:eastAsia="Times New Roman"/>
    </w:rPr>
  </w:style>
  <w:style w:type="character" w:customStyle="1" w:styleId="FooterChar">
    <w:name w:val="Footer Char"/>
    <w:link w:val="Footer"/>
    <w:uiPriority w:val="99"/>
    <w:rsid w:val="002441BB"/>
    <w:rPr>
      <w:rFonts w:eastAsia="Times New Roman"/>
      <w:sz w:val="24"/>
      <w:lang w:val="en-US"/>
    </w:rPr>
  </w:style>
  <w:style w:type="paragraph" w:styleId="TableofFigures">
    <w:name w:val="table of figures"/>
    <w:basedOn w:val="Normal"/>
    <w:next w:val="Normal"/>
    <w:uiPriority w:val="99"/>
    <w:unhideWhenUsed/>
    <w:rsid w:val="002441BB"/>
    <w:rPr>
      <w:rFonts w:eastAsia="Times New Roman"/>
    </w:rPr>
  </w:style>
  <w:style w:type="character" w:styleId="CommentReference">
    <w:name w:val="annotation reference"/>
    <w:uiPriority w:val="99"/>
    <w:semiHidden/>
    <w:unhideWhenUsed/>
    <w:rsid w:val="002441BB"/>
    <w:rPr>
      <w:sz w:val="16"/>
      <w:szCs w:val="16"/>
    </w:rPr>
  </w:style>
  <w:style w:type="character" w:styleId="PageNumber">
    <w:name w:val="page number"/>
    <w:rsid w:val="002441BB"/>
  </w:style>
  <w:style w:type="paragraph" w:styleId="BodyText">
    <w:name w:val="Body Text"/>
    <w:basedOn w:val="Normal"/>
    <w:link w:val="BodyTextChar"/>
    <w:uiPriority w:val="99"/>
    <w:unhideWhenUsed/>
    <w:rsid w:val="002441BB"/>
    <w:pPr>
      <w:spacing w:after="120"/>
    </w:pPr>
    <w:rPr>
      <w:rFonts w:eastAsia="Times New Roman"/>
    </w:rPr>
  </w:style>
  <w:style w:type="character" w:customStyle="1" w:styleId="BodyTextChar">
    <w:name w:val="Body Text Char"/>
    <w:link w:val="BodyText"/>
    <w:uiPriority w:val="99"/>
    <w:rsid w:val="002441BB"/>
    <w:rPr>
      <w:rFonts w:eastAsia="Times New Roman"/>
      <w:sz w:val="24"/>
      <w:lang w:val="en-US"/>
    </w:rPr>
  </w:style>
  <w:style w:type="paragraph" w:styleId="BodyTextIndent">
    <w:name w:val="Body Text Indent"/>
    <w:basedOn w:val="Normal"/>
    <w:link w:val="BodyTextIndentChar"/>
    <w:uiPriority w:val="99"/>
    <w:semiHidden/>
    <w:unhideWhenUsed/>
    <w:rsid w:val="002441BB"/>
    <w:pPr>
      <w:spacing w:after="120"/>
      <w:ind w:left="283"/>
    </w:pPr>
    <w:rPr>
      <w:rFonts w:eastAsia="Times New Roman"/>
    </w:rPr>
  </w:style>
  <w:style w:type="character" w:customStyle="1" w:styleId="BodyTextIndentChar">
    <w:name w:val="Body Text Indent Char"/>
    <w:link w:val="BodyTextIndent"/>
    <w:uiPriority w:val="99"/>
    <w:semiHidden/>
    <w:rsid w:val="002441BB"/>
    <w:rPr>
      <w:rFonts w:eastAsia="Times New Roman"/>
      <w:sz w:val="24"/>
      <w:lang w:val="en-US"/>
    </w:rPr>
  </w:style>
  <w:style w:type="paragraph" w:styleId="BodyText2">
    <w:name w:val="Body Text 2"/>
    <w:basedOn w:val="Normal"/>
    <w:link w:val="BodyText2Char"/>
    <w:rsid w:val="002441BB"/>
    <w:rPr>
      <w:rFonts w:eastAsia="Times New Roman"/>
      <w:b/>
      <w:bCs/>
      <w:sz w:val="40"/>
      <w:szCs w:val="20"/>
    </w:rPr>
  </w:style>
  <w:style w:type="character" w:customStyle="1" w:styleId="BodyText2Char">
    <w:name w:val="Body Text 2 Char"/>
    <w:link w:val="BodyText2"/>
    <w:rsid w:val="002441BB"/>
    <w:rPr>
      <w:rFonts w:eastAsia="Times New Roman"/>
      <w:b/>
      <w:bCs/>
      <w:sz w:val="40"/>
      <w:szCs w:val="20"/>
      <w:lang w:val="en-US"/>
    </w:rPr>
  </w:style>
  <w:style w:type="character" w:styleId="Hyperlink">
    <w:name w:val="Hyperlink"/>
    <w:uiPriority w:val="99"/>
    <w:unhideWhenUsed/>
    <w:rsid w:val="002441BB"/>
    <w:rPr>
      <w:color w:val="0563C1"/>
      <w:u w:val="single"/>
    </w:rPr>
  </w:style>
  <w:style w:type="paragraph" w:styleId="CommentSubject">
    <w:name w:val="annotation subject"/>
    <w:basedOn w:val="CommentText"/>
    <w:next w:val="CommentText"/>
    <w:link w:val="CommentSubjectChar"/>
    <w:uiPriority w:val="99"/>
    <w:semiHidden/>
    <w:unhideWhenUsed/>
    <w:rsid w:val="002441BB"/>
    <w:rPr>
      <w:b/>
      <w:bCs/>
    </w:rPr>
  </w:style>
  <w:style w:type="character" w:customStyle="1" w:styleId="CommentSubjectChar">
    <w:name w:val="Comment Subject Char"/>
    <w:link w:val="CommentSubject"/>
    <w:uiPriority w:val="99"/>
    <w:semiHidden/>
    <w:rsid w:val="002441BB"/>
    <w:rPr>
      <w:rFonts w:eastAsia="Times New Roman"/>
      <w:b/>
      <w:bCs/>
      <w:sz w:val="20"/>
      <w:szCs w:val="20"/>
      <w:lang w:val="en-US"/>
    </w:rPr>
  </w:style>
  <w:style w:type="paragraph" w:styleId="BalloonText">
    <w:name w:val="Balloon Text"/>
    <w:basedOn w:val="Normal"/>
    <w:link w:val="BalloonTextChar"/>
    <w:uiPriority w:val="99"/>
    <w:semiHidden/>
    <w:unhideWhenUsed/>
    <w:rsid w:val="002441BB"/>
    <w:rPr>
      <w:rFonts w:ascii="Tahoma" w:eastAsia="Times New Roman" w:hAnsi="Tahoma" w:cs="Tahoma"/>
      <w:sz w:val="16"/>
      <w:szCs w:val="16"/>
    </w:rPr>
  </w:style>
  <w:style w:type="character" w:customStyle="1" w:styleId="BalloonTextChar">
    <w:name w:val="Balloon Text Char"/>
    <w:link w:val="BalloonText"/>
    <w:uiPriority w:val="99"/>
    <w:semiHidden/>
    <w:rsid w:val="002441BB"/>
    <w:rPr>
      <w:rFonts w:ascii="Tahoma" w:eastAsia="Times New Roman" w:hAnsi="Tahoma" w:cs="Tahoma"/>
      <w:sz w:val="16"/>
      <w:szCs w:val="16"/>
      <w:lang w:val="en-US"/>
    </w:rPr>
  </w:style>
  <w:style w:type="table" w:styleId="TableGrid">
    <w:name w:val="Table Grid"/>
    <w:basedOn w:val="TableNormal"/>
    <w:uiPriority w:val="59"/>
    <w:rsid w:val="002441BB"/>
    <w:rPr>
      <w:rFonts w:eastAsia="Calibri"/>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2441BB"/>
    <w:rPr>
      <w:rFonts w:ascii="Calibri" w:eastAsia="Times New Roman" w:hAnsi="Calibri"/>
      <w:sz w:val="22"/>
      <w:szCs w:val="22"/>
      <w:lang w:val="en-US"/>
    </w:rPr>
  </w:style>
  <w:style w:type="character" w:customStyle="1" w:styleId="NoSpacingChar">
    <w:name w:val="No Spacing Char"/>
    <w:link w:val="NoSpacing"/>
    <w:uiPriority w:val="1"/>
    <w:rsid w:val="002441BB"/>
    <w:rPr>
      <w:rFonts w:ascii="Calibri" w:eastAsia="Times New Roman" w:hAnsi="Calibri"/>
      <w:sz w:val="22"/>
      <w:szCs w:val="22"/>
      <w:lang w:val="en-US"/>
    </w:rPr>
  </w:style>
  <w:style w:type="paragraph" w:styleId="ListParagraph">
    <w:name w:val="List Paragraph"/>
    <w:basedOn w:val="Normal"/>
    <w:uiPriority w:val="1"/>
    <w:qFormat/>
    <w:rsid w:val="002441BB"/>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2959</Words>
  <Characters>16868</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Huong Pham Thu</cp:lastModifiedBy>
  <cp:revision>2</cp:revision>
  <dcterms:created xsi:type="dcterms:W3CDTF">2020-06-01T07:58:00Z</dcterms:created>
  <dcterms:modified xsi:type="dcterms:W3CDTF">2020-06-01T07:58:00Z</dcterms:modified>
</cp:coreProperties>
</file>